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bidi w:val="0"/>
        <w:rPr>
          <w:color w:val="auto"/>
          <w:sz w:val="52"/>
          <w:szCs w:val="52"/>
          <w:highlight w:val="none"/>
        </w:rPr>
      </w:pPr>
    </w:p>
    <w:p>
      <w:pPr>
        <w:pStyle w:val="23"/>
        <w:ind w:left="480" w:firstLine="480"/>
        <w:rPr>
          <w:color w:val="auto"/>
          <w:sz w:val="52"/>
          <w:szCs w:val="52"/>
          <w:highlight w:val="none"/>
        </w:rPr>
      </w:pPr>
    </w:p>
    <w:p>
      <w:pPr>
        <w:spacing w:line="360" w:lineRule="auto"/>
        <w:contextualSpacing/>
        <w:jc w:val="center"/>
        <w:rPr>
          <w:rFonts w:hint="eastAsia" w:eastAsia="楷体"/>
          <w:b/>
          <w:bCs/>
          <w:color w:val="auto"/>
          <w:spacing w:val="2"/>
          <w:w w:val="90"/>
          <w:sz w:val="52"/>
          <w:szCs w:val="52"/>
          <w:highlight w:val="none"/>
        </w:rPr>
      </w:pPr>
      <w:r>
        <w:rPr>
          <w:rFonts w:hint="eastAsia" w:eastAsia="楷体"/>
          <w:b/>
          <w:bCs/>
          <w:color w:val="auto"/>
          <w:spacing w:val="2"/>
          <w:w w:val="90"/>
          <w:sz w:val="52"/>
          <w:szCs w:val="52"/>
          <w:highlight w:val="none"/>
        </w:rPr>
        <w:t>林芝市全域旅游发展规划（2018</w:t>
      </w:r>
      <w:r>
        <w:rPr>
          <w:rFonts w:hint="eastAsia" w:eastAsia="楷体"/>
          <w:b/>
          <w:bCs/>
          <w:color w:val="auto"/>
          <w:spacing w:val="2"/>
          <w:w w:val="90"/>
          <w:sz w:val="52"/>
          <w:szCs w:val="52"/>
          <w:highlight w:val="none"/>
          <w:lang w:val="en-US" w:eastAsia="zh-CN"/>
        </w:rPr>
        <w:t>~</w:t>
      </w:r>
      <w:r>
        <w:rPr>
          <w:rFonts w:hint="eastAsia" w:eastAsia="楷体"/>
          <w:b/>
          <w:bCs/>
          <w:color w:val="auto"/>
          <w:spacing w:val="2"/>
          <w:w w:val="90"/>
          <w:sz w:val="52"/>
          <w:szCs w:val="52"/>
          <w:highlight w:val="none"/>
        </w:rPr>
        <w:t>2025）</w:t>
      </w:r>
    </w:p>
    <w:p>
      <w:pPr>
        <w:spacing w:line="360" w:lineRule="auto"/>
        <w:contextualSpacing/>
        <w:jc w:val="center"/>
        <w:rPr>
          <w:rFonts w:eastAsia="楷体"/>
          <w:b/>
          <w:bCs/>
          <w:color w:val="auto"/>
          <w:spacing w:val="2"/>
          <w:w w:val="90"/>
          <w:sz w:val="52"/>
          <w:szCs w:val="52"/>
          <w:highlight w:val="none"/>
        </w:rPr>
      </w:pPr>
      <w:r>
        <w:rPr>
          <w:rFonts w:hint="eastAsia" w:eastAsia="楷体"/>
          <w:b/>
          <w:bCs/>
          <w:color w:val="auto"/>
          <w:spacing w:val="2"/>
          <w:w w:val="90"/>
          <w:sz w:val="52"/>
          <w:szCs w:val="52"/>
          <w:highlight w:val="none"/>
        </w:rPr>
        <w:t>环境影响报告书</w:t>
      </w:r>
    </w:p>
    <w:p>
      <w:pPr>
        <w:spacing w:line="360" w:lineRule="auto"/>
        <w:contextualSpacing/>
        <w:jc w:val="center"/>
        <w:rPr>
          <w:rFonts w:eastAsia="楷体"/>
          <w:b/>
          <w:bCs/>
          <w:color w:val="auto"/>
          <w:spacing w:val="2"/>
          <w:sz w:val="36"/>
          <w:szCs w:val="36"/>
          <w:highlight w:val="none"/>
        </w:rPr>
      </w:pPr>
      <w:r>
        <w:rPr>
          <w:rFonts w:eastAsia="楷体"/>
          <w:b/>
          <w:bCs/>
          <w:color w:val="auto"/>
          <w:spacing w:val="2"/>
          <w:sz w:val="36"/>
          <w:szCs w:val="36"/>
          <w:highlight w:val="none"/>
        </w:rPr>
        <w:t>（</w:t>
      </w:r>
      <w:r>
        <w:rPr>
          <w:rFonts w:hint="eastAsia" w:eastAsia="楷体"/>
          <w:b/>
          <w:bCs/>
          <w:color w:val="auto"/>
          <w:spacing w:val="2"/>
          <w:sz w:val="36"/>
          <w:szCs w:val="36"/>
          <w:highlight w:val="none"/>
        </w:rPr>
        <w:t>送审</w:t>
      </w:r>
      <w:r>
        <w:rPr>
          <w:rFonts w:eastAsia="楷体"/>
          <w:b/>
          <w:bCs/>
          <w:color w:val="auto"/>
          <w:spacing w:val="2"/>
          <w:sz w:val="36"/>
          <w:szCs w:val="36"/>
          <w:highlight w:val="none"/>
        </w:rPr>
        <w:t>稿）</w:t>
      </w:r>
    </w:p>
    <w:p>
      <w:pPr>
        <w:spacing w:line="360" w:lineRule="auto"/>
        <w:contextualSpacing/>
        <w:jc w:val="center"/>
        <w:rPr>
          <w:rFonts w:eastAsia="楷体"/>
          <w:b/>
          <w:bCs/>
          <w:color w:val="auto"/>
          <w:sz w:val="32"/>
          <w:szCs w:val="32"/>
          <w:highlight w:val="none"/>
        </w:rPr>
      </w:pPr>
    </w:p>
    <w:p>
      <w:pPr>
        <w:spacing w:line="360" w:lineRule="auto"/>
        <w:contextualSpacing/>
        <w:jc w:val="center"/>
        <w:rPr>
          <w:rFonts w:eastAsia="楷体"/>
          <w:b/>
          <w:bCs/>
          <w:color w:val="auto"/>
          <w:sz w:val="32"/>
          <w:szCs w:val="32"/>
          <w:highlight w:val="none"/>
        </w:rPr>
      </w:pPr>
    </w:p>
    <w:p>
      <w:pPr>
        <w:spacing w:line="360" w:lineRule="auto"/>
        <w:contextualSpacing/>
        <w:jc w:val="center"/>
        <w:rPr>
          <w:rFonts w:eastAsia="楷体"/>
          <w:b/>
          <w:bCs/>
          <w:color w:val="auto"/>
          <w:sz w:val="32"/>
          <w:szCs w:val="32"/>
          <w:highlight w:val="none"/>
        </w:rPr>
      </w:pPr>
    </w:p>
    <w:p>
      <w:pPr>
        <w:pStyle w:val="4"/>
        <w:rPr>
          <w:highlight w:val="none"/>
        </w:rPr>
      </w:pPr>
    </w:p>
    <w:p>
      <w:pPr>
        <w:spacing w:line="360" w:lineRule="auto"/>
        <w:contextualSpacing/>
        <w:jc w:val="center"/>
        <w:rPr>
          <w:rFonts w:eastAsia="楷体"/>
          <w:b/>
          <w:bCs/>
          <w:color w:val="auto"/>
          <w:sz w:val="32"/>
          <w:szCs w:val="32"/>
          <w:highlight w:val="none"/>
        </w:rPr>
      </w:pPr>
    </w:p>
    <w:p>
      <w:pPr>
        <w:bidi w:val="0"/>
        <w:rPr>
          <w:highlight w:val="none"/>
        </w:rPr>
      </w:pPr>
    </w:p>
    <w:p>
      <w:pPr>
        <w:bidi w:val="0"/>
        <w:rPr>
          <w:highlight w:val="none"/>
        </w:rPr>
      </w:pPr>
    </w:p>
    <w:p>
      <w:pPr>
        <w:bidi w:val="0"/>
        <w:rPr>
          <w:highlight w:val="none"/>
        </w:rPr>
      </w:pPr>
    </w:p>
    <w:p>
      <w:pPr>
        <w:bidi w:val="0"/>
        <w:rPr>
          <w:highlight w:val="none"/>
        </w:rPr>
      </w:pPr>
    </w:p>
    <w:p>
      <w:pPr>
        <w:bidi w:val="0"/>
        <w:rPr>
          <w:highlight w:val="none"/>
        </w:rPr>
      </w:pPr>
    </w:p>
    <w:p>
      <w:pPr>
        <w:spacing w:line="360" w:lineRule="auto"/>
        <w:contextualSpacing/>
        <w:jc w:val="center"/>
        <w:rPr>
          <w:rFonts w:eastAsia="楷体"/>
          <w:b/>
          <w:bCs/>
          <w:color w:val="auto"/>
          <w:sz w:val="32"/>
          <w:szCs w:val="32"/>
          <w:highlight w:val="none"/>
        </w:rPr>
      </w:pPr>
    </w:p>
    <w:p>
      <w:pPr>
        <w:spacing w:line="360" w:lineRule="auto"/>
        <w:contextualSpacing/>
        <w:jc w:val="center"/>
        <w:rPr>
          <w:rFonts w:eastAsia="楷体"/>
          <w:b/>
          <w:bCs/>
          <w:color w:val="auto"/>
          <w:sz w:val="32"/>
          <w:szCs w:val="32"/>
          <w:highlight w:val="none"/>
        </w:rPr>
      </w:pPr>
    </w:p>
    <w:p>
      <w:pPr>
        <w:spacing w:line="360" w:lineRule="auto"/>
        <w:contextualSpacing/>
        <w:jc w:val="center"/>
        <w:rPr>
          <w:rFonts w:eastAsia="楷体"/>
          <w:b/>
          <w:bCs/>
          <w:color w:val="auto"/>
          <w:sz w:val="32"/>
          <w:szCs w:val="32"/>
          <w:highlight w:val="none"/>
        </w:rPr>
      </w:pPr>
    </w:p>
    <w:p>
      <w:pPr>
        <w:spacing w:line="360" w:lineRule="auto"/>
        <w:contextualSpacing/>
        <w:jc w:val="center"/>
        <w:rPr>
          <w:rFonts w:eastAsia="楷体"/>
          <w:b/>
          <w:bCs/>
          <w:color w:val="auto"/>
          <w:sz w:val="32"/>
          <w:szCs w:val="32"/>
          <w:highlight w:val="none"/>
        </w:rPr>
      </w:pPr>
    </w:p>
    <w:p>
      <w:pPr>
        <w:spacing w:line="460" w:lineRule="exact"/>
        <w:ind w:firstLine="1928" w:firstLineChars="600"/>
        <w:contextualSpacing/>
        <w:rPr>
          <w:rFonts w:hint="eastAsia" w:eastAsia="楷体"/>
          <w:b/>
          <w:bCs/>
          <w:color w:val="auto"/>
          <w:sz w:val="32"/>
          <w:szCs w:val="32"/>
          <w:highlight w:val="none"/>
          <w:lang w:eastAsia="zh-CN"/>
        </w:rPr>
      </w:pPr>
      <w:r>
        <w:rPr>
          <w:rFonts w:eastAsia="楷体"/>
          <w:b/>
          <w:bCs/>
          <w:color w:val="auto"/>
          <w:sz w:val="32"/>
          <w:szCs w:val="32"/>
          <w:highlight w:val="none"/>
        </w:rPr>
        <w:t>委托单位：</w:t>
      </w:r>
      <w:r>
        <w:rPr>
          <w:rFonts w:hint="eastAsia" w:eastAsia="楷体"/>
          <w:b/>
          <w:bCs/>
          <w:color w:val="auto"/>
          <w:sz w:val="32"/>
          <w:szCs w:val="32"/>
          <w:highlight w:val="none"/>
        </w:rPr>
        <w:t>林芝市旅游发展</w:t>
      </w:r>
      <w:r>
        <w:rPr>
          <w:rFonts w:hint="eastAsia" w:eastAsia="楷体"/>
          <w:b/>
          <w:bCs/>
          <w:color w:val="auto"/>
          <w:sz w:val="32"/>
          <w:szCs w:val="32"/>
          <w:highlight w:val="none"/>
          <w:lang w:eastAsia="zh-CN"/>
        </w:rPr>
        <w:t>局</w:t>
      </w:r>
    </w:p>
    <w:p>
      <w:pPr>
        <w:spacing w:line="460" w:lineRule="exact"/>
        <w:ind w:firstLine="1928" w:firstLineChars="600"/>
        <w:contextualSpacing/>
        <w:rPr>
          <w:rFonts w:eastAsia="楷体"/>
          <w:b/>
          <w:bCs/>
          <w:color w:val="auto"/>
          <w:sz w:val="32"/>
          <w:szCs w:val="32"/>
          <w:highlight w:val="none"/>
        </w:rPr>
      </w:pPr>
      <w:r>
        <w:rPr>
          <w:rFonts w:eastAsia="楷体"/>
          <w:b/>
          <w:bCs/>
          <w:color w:val="auto"/>
          <w:sz w:val="32"/>
          <w:szCs w:val="32"/>
          <w:highlight w:val="none"/>
        </w:rPr>
        <w:t>编制单位：云南湖柏环保科技有限公司</w:t>
      </w:r>
    </w:p>
    <w:p>
      <w:pPr>
        <w:spacing w:line="460" w:lineRule="exact"/>
        <w:ind w:firstLine="1928" w:firstLineChars="600"/>
        <w:contextualSpacing/>
        <w:rPr>
          <w:rFonts w:eastAsia="楷体"/>
          <w:b/>
          <w:bCs/>
          <w:color w:val="auto"/>
          <w:spacing w:val="1"/>
          <w:sz w:val="32"/>
          <w:szCs w:val="32"/>
          <w:highlight w:val="none"/>
        </w:rPr>
      </w:pPr>
      <w:r>
        <w:rPr>
          <w:rFonts w:eastAsia="楷体"/>
          <w:b/>
          <w:bCs/>
          <w:color w:val="auto"/>
          <w:sz w:val="32"/>
          <w:szCs w:val="32"/>
          <w:highlight w:val="none"/>
        </w:rPr>
        <w:t>编制时间：二0二</w:t>
      </w:r>
      <w:r>
        <w:rPr>
          <w:rFonts w:hint="eastAsia" w:eastAsia="楷体"/>
          <w:b/>
          <w:bCs/>
          <w:color w:val="auto"/>
          <w:sz w:val="32"/>
          <w:szCs w:val="32"/>
          <w:highlight w:val="none"/>
        </w:rPr>
        <w:t>二</w:t>
      </w:r>
      <w:r>
        <w:rPr>
          <w:rFonts w:eastAsia="楷体"/>
          <w:b/>
          <w:bCs/>
          <w:color w:val="auto"/>
          <w:spacing w:val="1"/>
          <w:sz w:val="32"/>
          <w:szCs w:val="32"/>
          <w:highlight w:val="none"/>
        </w:rPr>
        <w:t>年</w:t>
      </w:r>
      <w:r>
        <w:rPr>
          <w:rFonts w:hint="eastAsia" w:eastAsia="楷体"/>
          <w:b/>
          <w:bCs/>
          <w:color w:val="auto"/>
          <w:spacing w:val="1"/>
          <w:sz w:val="32"/>
          <w:szCs w:val="32"/>
          <w:highlight w:val="none"/>
          <w:lang w:val="en-US" w:eastAsia="zh-CN"/>
        </w:rPr>
        <w:t>八</w:t>
      </w:r>
      <w:r>
        <w:rPr>
          <w:rFonts w:eastAsia="楷体"/>
          <w:b/>
          <w:bCs/>
          <w:color w:val="auto"/>
          <w:spacing w:val="1"/>
          <w:sz w:val="32"/>
          <w:szCs w:val="32"/>
          <w:highlight w:val="none"/>
        </w:rPr>
        <w:t>月</w:t>
      </w:r>
    </w:p>
    <w:p>
      <w:pPr>
        <w:pStyle w:val="18"/>
        <w:rPr>
          <w:rFonts w:eastAsiaTheme="minorEastAsia"/>
          <w:color w:val="auto"/>
          <w:highlight w:val="none"/>
        </w:rPr>
        <w:sectPr>
          <w:footerReference r:id="rId3" w:type="default"/>
          <w:pgSz w:w="11906" w:h="16838"/>
          <w:pgMar w:top="1440" w:right="1588" w:bottom="1440" w:left="1418" w:header="851" w:footer="992" w:gutter="0"/>
          <w:pgNumType w:fmt="decimal" w:start="1"/>
          <w:cols w:space="425" w:num="1"/>
          <w:docGrid w:linePitch="312" w:charSpace="0"/>
        </w:sectPr>
      </w:pPr>
    </w:p>
    <w:p>
      <w:pPr>
        <w:pStyle w:val="21"/>
        <w:rPr>
          <w:color w:val="auto"/>
          <w:highlight w:val="none"/>
        </w:rPr>
      </w:pPr>
      <w:bookmarkStart w:id="0" w:name="_Toc25659"/>
      <w:bookmarkStart w:id="1" w:name="_Toc26124"/>
      <w:r>
        <w:rPr>
          <w:color w:val="auto"/>
          <w:highlight w:val="none"/>
        </w:rPr>
        <w:t>目</w:t>
      </w:r>
      <w:r>
        <w:rPr>
          <w:rFonts w:hint="eastAsia"/>
          <w:color w:val="auto"/>
          <w:highlight w:val="none"/>
        </w:rPr>
        <w:t xml:space="preserve"> </w:t>
      </w:r>
      <w:r>
        <w:rPr>
          <w:color w:val="auto"/>
          <w:highlight w:val="none"/>
        </w:rPr>
        <w:t>录</w:t>
      </w:r>
      <w:bookmarkEnd w:id="0"/>
      <w:bookmarkEnd w:id="1"/>
    </w:p>
    <w:p>
      <w:pPr>
        <w:pStyle w:val="18"/>
        <w:tabs>
          <w:tab w:val="right" w:leader="dot" w:pos="8306"/>
        </w:tabs>
      </w:pPr>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highlight w:val="none"/>
        </w:rPr>
        <w:instrText xml:space="preserve"> HYPERLINK \l _Toc25659 </w:instrText>
      </w:r>
      <w:r>
        <w:rPr>
          <w:highlight w:val="none"/>
        </w:rPr>
        <w:fldChar w:fldCharType="separate"/>
      </w:r>
      <w:r>
        <w:rPr>
          <w:highlight w:val="none"/>
        </w:rPr>
        <w:t>目</w:t>
      </w:r>
      <w:r>
        <w:rPr>
          <w:rFonts w:hint="eastAsia"/>
          <w:highlight w:val="none"/>
        </w:rPr>
        <w:t xml:space="preserve"> </w:t>
      </w:r>
      <w:r>
        <w:rPr>
          <w:highlight w:val="none"/>
        </w:rPr>
        <w:t>录</w:t>
      </w:r>
      <w:r>
        <w:tab/>
      </w:r>
      <w:r>
        <w:fldChar w:fldCharType="begin"/>
      </w:r>
      <w:r>
        <w:instrText xml:space="preserve"> PAGEREF _Toc25659 \h </w:instrText>
      </w:r>
      <w:r>
        <w:fldChar w:fldCharType="separate"/>
      </w:r>
      <w:r>
        <w:t>I</w:t>
      </w:r>
      <w:r>
        <w:fldChar w:fldCharType="end"/>
      </w:r>
      <w:r>
        <w:rPr>
          <w:color w:val="auto"/>
          <w:highlight w:val="none"/>
        </w:rPr>
        <w:fldChar w:fldCharType="end"/>
      </w:r>
    </w:p>
    <w:p>
      <w:pPr>
        <w:pStyle w:val="18"/>
        <w:tabs>
          <w:tab w:val="right" w:leader="dot" w:pos="8306"/>
        </w:tabs>
      </w:pPr>
      <w:r>
        <w:fldChar w:fldCharType="begin"/>
      </w:r>
      <w:r>
        <w:instrText xml:space="preserve"> HYPERLINK \l _Toc179 </w:instrText>
      </w:r>
      <w:r>
        <w:fldChar w:fldCharType="separate"/>
      </w:r>
      <w:r>
        <w:rPr>
          <w:rFonts w:hint="eastAsia"/>
          <w:highlight w:val="none"/>
        </w:rPr>
        <w:t>1</w:t>
      </w:r>
      <w:r>
        <w:rPr>
          <w:rFonts w:hint="eastAsia"/>
          <w:highlight w:val="none"/>
          <w:lang w:val="en-US" w:eastAsia="zh-CN"/>
        </w:rPr>
        <w:t xml:space="preserve"> 总则</w:t>
      </w:r>
      <w:r>
        <w:tab/>
      </w:r>
      <w:r>
        <w:fldChar w:fldCharType="begin"/>
      </w:r>
      <w:r>
        <w:instrText xml:space="preserve"> PAGEREF _Toc179 \h </w:instrText>
      </w:r>
      <w:r>
        <w:fldChar w:fldCharType="separate"/>
      </w:r>
      <w:r>
        <w:t>1</w:t>
      </w:r>
      <w:r>
        <w:fldChar w:fldCharType="end"/>
      </w:r>
      <w:r>
        <w:fldChar w:fldCharType="end"/>
      </w:r>
    </w:p>
    <w:p>
      <w:pPr>
        <w:pStyle w:val="19"/>
        <w:tabs>
          <w:tab w:val="right" w:leader="dot" w:pos="8306"/>
        </w:tabs>
      </w:pPr>
      <w:r>
        <w:fldChar w:fldCharType="begin"/>
      </w:r>
      <w:r>
        <w:instrText xml:space="preserve"> HYPERLINK \l _Toc32037 </w:instrText>
      </w:r>
      <w:r>
        <w:fldChar w:fldCharType="separate"/>
      </w:r>
      <w:r>
        <w:rPr>
          <w:rFonts w:hint="eastAsia"/>
          <w:highlight w:val="none"/>
        </w:rPr>
        <w:t>1.1</w:t>
      </w:r>
      <w:r>
        <w:rPr>
          <w:rFonts w:hint="eastAsia"/>
          <w:highlight w:val="none"/>
          <w:lang w:val="en-US" w:eastAsia="zh-CN"/>
        </w:rPr>
        <w:t>前言</w:t>
      </w:r>
      <w:r>
        <w:tab/>
      </w:r>
      <w:r>
        <w:fldChar w:fldCharType="begin"/>
      </w:r>
      <w:r>
        <w:instrText xml:space="preserve"> PAGEREF _Toc32037 \h </w:instrText>
      </w:r>
      <w:r>
        <w:fldChar w:fldCharType="separate"/>
      </w:r>
      <w:r>
        <w:t>1</w:t>
      </w:r>
      <w:r>
        <w:fldChar w:fldCharType="end"/>
      </w:r>
      <w:r>
        <w:fldChar w:fldCharType="end"/>
      </w:r>
    </w:p>
    <w:p>
      <w:pPr>
        <w:pStyle w:val="19"/>
        <w:tabs>
          <w:tab w:val="right" w:leader="dot" w:pos="8306"/>
        </w:tabs>
      </w:pPr>
      <w:r>
        <w:fldChar w:fldCharType="begin"/>
      </w:r>
      <w:r>
        <w:instrText xml:space="preserve"> HYPERLINK \l _Toc23279 </w:instrText>
      </w:r>
      <w:r>
        <w:fldChar w:fldCharType="separate"/>
      </w:r>
      <w:r>
        <w:rPr>
          <w:rFonts w:hint="eastAsia"/>
          <w:highlight w:val="none"/>
        </w:rPr>
        <w:t>1.2编制依据</w:t>
      </w:r>
      <w:r>
        <w:tab/>
      </w:r>
      <w:r>
        <w:fldChar w:fldCharType="begin"/>
      </w:r>
      <w:r>
        <w:instrText xml:space="preserve"> PAGEREF _Toc23279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_Toc11808 </w:instrText>
      </w:r>
      <w:r>
        <w:fldChar w:fldCharType="separate"/>
      </w:r>
      <w:r>
        <w:rPr>
          <w:rFonts w:hint="eastAsia"/>
          <w:highlight w:val="none"/>
        </w:rPr>
        <w:t>1.2.1国家相关法律、法规</w:t>
      </w:r>
      <w:r>
        <w:tab/>
      </w:r>
      <w:r>
        <w:fldChar w:fldCharType="begin"/>
      </w:r>
      <w:r>
        <w:instrText xml:space="preserve"> PAGEREF _Toc11808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_Toc32017 </w:instrText>
      </w:r>
      <w:r>
        <w:fldChar w:fldCharType="separate"/>
      </w:r>
      <w:r>
        <w:rPr>
          <w:rFonts w:hint="eastAsia"/>
          <w:highlight w:val="none"/>
        </w:rPr>
        <w:t>1.2.2地方政府及其职能部门的法规、政策及规范性文件</w:t>
      </w:r>
      <w:r>
        <w:tab/>
      </w:r>
      <w:r>
        <w:fldChar w:fldCharType="begin"/>
      </w:r>
      <w:r>
        <w:instrText xml:space="preserve"> PAGEREF _Toc32017 \h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_Toc19482 </w:instrText>
      </w:r>
      <w:r>
        <w:fldChar w:fldCharType="separate"/>
      </w:r>
      <w:r>
        <w:rPr>
          <w:rFonts w:hint="eastAsia"/>
          <w:highlight w:val="none"/>
        </w:rPr>
        <w:t>1.2.</w:t>
      </w:r>
      <w:r>
        <w:rPr>
          <w:rFonts w:hint="eastAsia"/>
          <w:highlight w:val="none"/>
          <w:lang w:val="en-US" w:eastAsia="zh-CN"/>
        </w:rPr>
        <w:t>3</w:t>
      </w:r>
      <w:r>
        <w:rPr>
          <w:rFonts w:hint="eastAsia"/>
          <w:highlight w:val="none"/>
        </w:rPr>
        <w:t>环境影响评价导则及相关技术规范、标准</w:t>
      </w:r>
      <w:r>
        <w:tab/>
      </w:r>
      <w:r>
        <w:fldChar w:fldCharType="begin"/>
      </w:r>
      <w:r>
        <w:instrText xml:space="preserve"> PAGEREF _Toc19482 \h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_Toc11035 </w:instrText>
      </w:r>
      <w:r>
        <w:fldChar w:fldCharType="separate"/>
      </w:r>
      <w:r>
        <w:rPr>
          <w:rFonts w:hint="eastAsia"/>
          <w:highlight w:val="none"/>
          <w:lang w:val="en-US" w:eastAsia="zh-CN"/>
        </w:rPr>
        <w:t>1.2.4规划相关资料</w:t>
      </w:r>
      <w:r>
        <w:tab/>
      </w:r>
      <w:r>
        <w:fldChar w:fldCharType="begin"/>
      </w:r>
      <w:r>
        <w:instrText xml:space="preserve"> PAGEREF _Toc11035 \h </w:instrText>
      </w:r>
      <w:r>
        <w:fldChar w:fldCharType="separate"/>
      </w:r>
      <w:r>
        <w:t>5</w:t>
      </w:r>
      <w:r>
        <w:fldChar w:fldCharType="end"/>
      </w:r>
      <w:r>
        <w:fldChar w:fldCharType="end"/>
      </w:r>
    </w:p>
    <w:p>
      <w:pPr>
        <w:pStyle w:val="19"/>
        <w:tabs>
          <w:tab w:val="right" w:leader="dot" w:pos="8306"/>
        </w:tabs>
      </w:pPr>
      <w:r>
        <w:fldChar w:fldCharType="begin"/>
      </w:r>
      <w:r>
        <w:instrText xml:space="preserve"> HYPERLINK \l _Toc27319 </w:instrText>
      </w:r>
      <w:r>
        <w:fldChar w:fldCharType="separate"/>
      </w:r>
      <w:r>
        <w:rPr>
          <w:rFonts w:hint="eastAsia"/>
          <w:highlight w:val="none"/>
        </w:rPr>
        <w:t>1.3评价目的和原则</w:t>
      </w:r>
      <w:r>
        <w:tab/>
      </w:r>
      <w:r>
        <w:fldChar w:fldCharType="begin"/>
      </w:r>
      <w:r>
        <w:instrText xml:space="preserve"> PAGEREF _Toc27319 \h </w:instrText>
      </w:r>
      <w:r>
        <w:fldChar w:fldCharType="separate"/>
      </w:r>
      <w:r>
        <w:t>6</w:t>
      </w:r>
      <w:r>
        <w:fldChar w:fldCharType="end"/>
      </w:r>
      <w:r>
        <w:fldChar w:fldCharType="end"/>
      </w:r>
    </w:p>
    <w:p>
      <w:pPr>
        <w:pStyle w:val="14"/>
        <w:tabs>
          <w:tab w:val="right" w:leader="dot" w:pos="8306"/>
        </w:tabs>
      </w:pPr>
      <w:r>
        <w:fldChar w:fldCharType="begin"/>
      </w:r>
      <w:r>
        <w:instrText xml:space="preserve"> HYPERLINK \l _Toc4923 </w:instrText>
      </w:r>
      <w:r>
        <w:fldChar w:fldCharType="separate"/>
      </w:r>
      <w:r>
        <w:rPr>
          <w:rFonts w:hint="eastAsia"/>
          <w:highlight w:val="none"/>
        </w:rPr>
        <w:t>1.3.1评价目的</w:t>
      </w:r>
      <w:r>
        <w:tab/>
      </w:r>
      <w:r>
        <w:fldChar w:fldCharType="begin"/>
      </w:r>
      <w:r>
        <w:instrText xml:space="preserve"> PAGEREF _Toc4923 \h </w:instrText>
      </w:r>
      <w:r>
        <w:fldChar w:fldCharType="separate"/>
      </w:r>
      <w:r>
        <w:t>6</w:t>
      </w:r>
      <w:r>
        <w:fldChar w:fldCharType="end"/>
      </w:r>
      <w:r>
        <w:fldChar w:fldCharType="end"/>
      </w:r>
    </w:p>
    <w:p>
      <w:pPr>
        <w:pStyle w:val="14"/>
        <w:tabs>
          <w:tab w:val="right" w:leader="dot" w:pos="8306"/>
        </w:tabs>
      </w:pPr>
      <w:r>
        <w:fldChar w:fldCharType="begin"/>
      </w:r>
      <w:r>
        <w:instrText xml:space="preserve"> HYPERLINK \l _Toc11289 </w:instrText>
      </w:r>
      <w:r>
        <w:fldChar w:fldCharType="separate"/>
      </w:r>
      <w:r>
        <w:rPr>
          <w:rFonts w:hint="eastAsia"/>
          <w:highlight w:val="none"/>
        </w:rPr>
        <w:t>1.3.2评价原则</w:t>
      </w:r>
      <w:r>
        <w:tab/>
      </w:r>
      <w:r>
        <w:fldChar w:fldCharType="begin"/>
      </w:r>
      <w:r>
        <w:instrText xml:space="preserve"> PAGEREF _Toc11289 \h </w:instrText>
      </w:r>
      <w:r>
        <w:fldChar w:fldCharType="separate"/>
      </w:r>
      <w:r>
        <w:t>6</w:t>
      </w:r>
      <w:r>
        <w:fldChar w:fldCharType="end"/>
      </w:r>
      <w:r>
        <w:fldChar w:fldCharType="end"/>
      </w:r>
    </w:p>
    <w:p>
      <w:pPr>
        <w:pStyle w:val="19"/>
        <w:tabs>
          <w:tab w:val="right" w:leader="dot" w:pos="8306"/>
        </w:tabs>
      </w:pPr>
      <w:r>
        <w:fldChar w:fldCharType="begin"/>
      </w:r>
      <w:r>
        <w:instrText xml:space="preserve"> HYPERLINK \l _Toc4336 </w:instrText>
      </w:r>
      <w:r>
        <w:fldChar w:fldCharType="separate"/>
      </w:r>
      <w:r>
        <w:rPr>
          <w:rFonts w:hint="eastAsia"/>
          <w:highlight w:val="none"/>
        </w:rPr>
        <w:t>1.4评价空间范围和时段</w:t>
      </w:r>
      <w:r>
        <w:tab/>
      </w:r>
      <w:r>
        <w:fldChar w:fldCharType="begin"/>
      </w:r>
      <w:r>
        <w:instrText xml:space="preserve"> PAGEREF _Toc4336 \h </w:instrText>
      </w:r>
      <w:r>
        <w:fldChar w:fldCharType="separate"/>
      </w:r>
      <w:r>
        <w:t>6</w:t>
      </w:r>
      <w:r>
        <w:fldChar w:fldCharType="end"/>
      </w:r>
      <w:r>
        <w:fldChar w:fldCharType="end"/>
      </w:r>
    </w:p>
    <w:p>
      <w:pPr>
        <w:pStyle w:val="19"/>
        <w:tabs>
          <w:tab w:val="right" w:leader="dot" w:pos="8306"/>
        </w:tabs>
      </w:pPr>
      <w:r>
        <w:fldChar w:fldCharType="begin"/>
      </w:r>
      <w:r>
        <w:instrText xml:space="preserve"> HYPERLINK \l _Toc24580 </w:instrText>
      </w:r>
      <w:r>
        <w:fldChar w:fldCharType="separate"/>
      </w:r>
      <w:r>
        <w:rPr>
          <w:rFonts w:hint="eastAsia"/>
          <w:highlight w:val="none"/>
        </w:rPr>
        <w:t>1.5评价重点及评价方法</w:t>
      </w:r>
      <w:r>
        <w:tab/>
      </w:r>
      <w:r>
        <w:fldChar w:fldCharType="begin"/>
      </w:r>
      <w:r>
        <w:instrText xml:space="preserve"> PAGEREF _Toc24580 \h </w:instrText>
      </w:r>
      <w:r>
        <w:fldChar w:fldCharType="separate"/>
      </w:r>
      <w:r>
        <w:t>6</w:t>
      </w:r>
      <w:r>
        <w:fldChar w:fldCharType="end"/>
      </w:r>
      <w:r>
        <w:fldChar w:fldCharType="end"/>
      </w:r>
    </w:p>
    <w:p>
      <w:pPr>
        <w:pStyle w:val="14"/>
        <w:tabs>
          <w:tab w:val="right" w:leader="dot" w:pos="8306"/>
        </w:tabs>
      </w:pPr>
      <w:r>
        <w:fldChar w:fldCharType="begin"/>
      </w:r>
      <w:r>
        <w:instrText xml:space="preserve"> HYPERLINK \l _Toc5676 </w:instrText>
      </w:r>
      <w:r>
        <w:fldChar w:fldCharType="separate"/>
      </w:r>
      <w:r>
        <w:rPr>
          <w:rFonts w:hint="eastAsia"/>
          <w:highlight w:val="none"/>
        </w:rPr>
        <w:t>1.5.1评价重点</w:t>
      </w:r>
      <w:r>
        <w:tab/>
      </w:r>
      <w:r>
        <w:fldChar w:fldCharType="begin"/>
      </w:r>
      <w:r>
        <w:instrText xml:space="preserve"> PAGEREF _Toc5676 \h </w:instrText>
      </w:r>
      <w:r>
        <w:fldChar w:fldCharType="separate"/>
      </w:r>
      <w:r>
        <w:t>6</w:t>
      </w:r>
      <w:r>
        <w:fldChar w:fldCharType="end"/>
      </w:r>
      <w:r>
        <w:fldChar w:fldCharType="end"/>
      </w:r>
    </w:p>
    <w:p>
      <w:pPr>
        <w:pStyle w:val="14"/>
        <w:tabs>
          <w:tab w:val="right" w:leader="dot" w:pos="8306"/>
        </w:tabs>
      </w:pPr>
      <w:r>
        <w:fldChar w:fldCharType="begin"/>
      </w:r>
      <w:r>
        <w:instrText xml:space="preserve"> HYPERLINK \l _Toc29943 </w:instrText>
      </w:r>
      <w:r>
        <w:fldChar w:fldCharType="separate"/>
      </w:r>
      <w:r>
        <w:rPr>
          <w:rFonts w:hint="eastAsia"/>
          <w:highlight w:val="none"/>
        </w:rPr>
        <w:t>1.5.2评价方法</w:t>
      </w:r>
      <w:r>
        <w:tab/>
      </w:r>
      <w:r>
        <w:fldChar w:fldCharType="begin"/>
      </w:r>
      <w:r>
        <w:instrText xml:space="preserve"> PAGEREF _Toc29943 \h </w:instrText>
      </w:r>
      <w:r>
        <w:fldChar w:fldCharType="separate"/>
      </w:r>
      <w:r>
        <w:t>7</w:t>
      </w:r>
      <w:r>
        <w:fldChar w:fldCharType="end"/>
      </w:r>
      <w:r>
        <w:fldChar w:fldCharType="end"/>
      </w:r>
    </w:p>
    <w:p>
      <w:pPr>
        <w:pStyle w:val="19"/>
        <w:tabs>
          <w:tab w:val="right" w:leader="dot" w:pos="8306"/>
        </w:tabs>
      </w:pPr>
      <w:r>
        <w:fldChar w:fldCharType="begin"/>
      </w:r>
      <w:r>
        <w:instrText xml:space="preserve"> HYPERLINK \l _Toc21116 </w:instrText>
      </w:r>
      <w:r>
        <w:fldChar w:fldCharType="separate"/>
      </w:r>
      <w:r>
        <w:rPr>
          <w:rFonts w:hint="eastAsia"/>
          <w:highlight w:val="none"/>
        </w:rPr>
        <w:t>1.6环境功能区划</w:t>
      </w:r>
      <w:r>
        <w:tab/>
      </w:r>
      <w:r>
        <w:fldChar w:fldCharType="begin"/>
      </w:r>
      <w:r>
        <w:instrText xml:space="preserve"> PAGEREF _Toc21116 \h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_Toc4912 </w:instrText>
      </w:r>
      <w:r>
        <w:fldChar w:fldCharType="separate"/>
      </w:r>
      <w:r>
        <w:rPr>
          <w:rFonts w:hint="eastAsia"/>
          <w:highlight w:val="none"/>
        </w:rPr>
        <w:t>1.6.1生态功能区划</w:t>
      </w:r>
      <w:r>
        <w:tab/>
      </w:r>
      <w:r>
        <w:fldChar w:fldCharType="begin"/>
      </w:r>
      <w:r>
        <w:instrText xml:space="preserve"> PAGEREF _Toc4912 \h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_Toc12417 </w:instrText>
      </w:r>
      <w:r>
        <w:fldChar w:fldCharType="separate"/>
      </w:r>
      <w:r>
        <w:rPr>
          <w:rFonts w:hint="eastAsia"/>
          <w:highlight w:val="none"/>
        </w:rPr>
        <w:t>1.6.</w:t>
      </w:r>
      <w:r>
        <w:rPr>
          <w:rFonts w:hint="eastAsia"/>
          <w:highlight w:val="none"/>
          <w:lang w:val="en-US" w:eastAsia="zh-CN"/>
        </w:rPr>
        <w:t>2</w:t>
      </w:r>
      <w:r>
        <w:rPr>
          <w:rFonts w:hint="eastAsia"/>
          <w:highlight w:val="none"/>
        </w:rPr>
        <w:t>环境空气功能区划</w:t>
      </w:r>
      <w:r>
        <w:tab/>
      </w:r>
      <w:r>
        <w:fldChar w:fldCharType="begin"/>
      </w:r>
      <w:r>
        <w:instrText xml:space="preserve"> PAGEREF _Toc12417 \h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_Toc14518 </w:instrText>
      </w:r>
      <w:r>
        <w:fldChar w:fldCharType="separate"/>
      </w:r>
      <w:r>
        <w:rPr>
          <w:rFonts w:hint="eastAsia"/>
          <w:highlight w:val="none"/>
        </w:rPr>
        <w:t>1.6.</w:t>
      </w:r>
      <w:r>
        <w:rPr>
          <w:rFonts w:hint="eastAsia"/>
          <w:highlight w:val="none"/>
          <w:lang w:val="en-US" w:eastAsia="zh-CN"/>
        </w:rPr>
        <w:t>3</w:t>
      </w:r>
      <w:r>
        <w:rPr>
          <w:rFonts w:hint="eastAsia"/>
          <w:highlight w:val="none"/>
        </w:rPr>
        <w:t>地表水环境功能分区</w:t>
      </w:r>
      <w:r>
        <w:tab/>
      </w:r>
      <w:r>
        <w:fldChar w:fldCharType="begin"/>
      </w:r>
      <w:r>
        <w:instrText xml:space="preserve"> PAGEREF _Toc14518 \h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_Toc17481 </w:instrText>
      </w:r>
      <w:r>
        <w:fldChar w:fldCharType="separate"/>
      </w:r>
      <w:r>
        <w:rPr>
          <w:rFonts w:hint="eastAsia"/>
          <w:highlight w:val="none"/>
        </w:rPr>
        <w:t>1.6.</w:t>
      </w:r>
      <w:r>
        <w:rPr>
          <w:rFonts w:hint="eastAsia"/>
          <w:highlight w:val="none"/>
          <w:lang w:val="en-US" w:eastAsia="zh-CN"/>
        </w:rPr>
        <w:t>4</w:t>
      </w:r>
      <w:r>
        <w:rPr>
          <w:rFonts w:hint="eastAsia"/>
          <w:highlight w:val="none"/>
        </w:rPr>
        <w:t>地下水功能区划</w:t>
      </w:r>
      <w:r>
        <w:tab/>
      </w:r>
      <w:r>
        <w:fldChar w:fldCharType="begin"/>
      </w:r>
      <w:r>
        <w:instrText xml:space="preserve"> PAGEREF _Toc17481 \h </w:instrText>
      </w:r>
      <w:r>
        <w:fldChar w:fldCharType="separate"/>
      </w:r>
      <w:r>
        <w:t>17</w:t>
      </w:r>
      <w:r>
        <w:fldChar w:fldCharType="end"/>
      </w:r>
      <w:r>
        <w:fldChar w:fldCharType="end"/>
      </w:r>
    </w:p>
    <w:p>
      <w:pPr>
        <w:pStyle w:val="14"/>
        <w:tabs>
          <w:tab w:val="right" w:leader="dot" w:pos="8306"/>
        </w:tabs>
      </w:pPr>
      <w:r>
        <w:fldChar w:fldCharType="begin"/>
      </w:r>
      <w:r>
        <w:instrText xml:space="preserve"> HYPERLINK \l _Toc9958 </w:instrText>
      </w:r>
      <w:r>
        <w:fldChar w:fldCharType="separate"/>
      </w:r>
      <w:r>
        <w:rPr>
          <w:rFonts w:hint="eastAsia"/>
          <w:highlight w:val="none"/>
        </w:rPr>
        <w:t>1.6.5声环境功能区划</w:t>
      </w:r>
      <w:r>
        <w:tab/>
      </w:r>
      <w:r>
        <w:fldChar w:fldCharType="begin"/>
      </w:r>
      <w:r>
        <w:instrText xml:space="preserve"> PAGEREF _Toc9958 \h </w:instrText>
      </w:r>
      <w:r>
        <w:fldChar w:fldCharType="separate"/>
      </w:r>
      <w:r>
        <w:t>17</w:t>
      </w:r>
      <w:r>
        <w:fldChar w:fldCharType="end"/>
      </w:r>
      <w:r>
        <w:fldChar w:fldCharType="end"/>
      </w:r>
    </w:p>
    <w:p>
      <w:pPr>
        <w:pStyle w:val="19"/>
        <w:tabs>
          <w:tab w:val="right" w:leader="dot" w:pos="8306"/>
        </w:tabs>
      </w:pPr>
      <w:r>
        <w:fldChar w:fldCharType="begin"/>
      </w:r>
      <w:r>
        <w:instrText xml:space="preserve"> HYPERLINK \l _Toc22850 </w:instrText>
      </w:r>
      <w:r>
        <w:fldChar w:fldCharType="separate"/>
      </w:r>
      <w:r>
        <w:rPr>
          <w:rFonts w:hint="eastAsia"/>
          <w:highlight w:val="none"/>
        </w:rPr>
        <w:t>1.7环境质量标准及污染物排放标准</w:t>
      </w:r>
      <w:r>
        <w:tab/>
      </w:r>
      <w:r>
        <w:fldChar w:fldCharType="begin"/>
      </w:r>
      <w:r>
        <w:instrText xml:space="preserve"> PAGEREF _Toc22850 \h </w:instrText>
      </w:r>
      <w:r>
        <w:fldChar w:fldCharType="separate"/>
      </w:r>
      <w:r>
        <w:t>17</w:t>
      </w:r>
      <w:r>
        <w:fldChar w:fldCharType="end"/>
      </w:r>
      <w:r>
        <w:fldChar w:fldCharType="end"/>
      </w:r>
    </w:p>
    <w:p>
      <w:pPr>
        <w:pStyle w:val="14"/>
        <w:tabs>
          <w:tab w:val="right" w:leader="dot" w:pos="8306"/>
        </w:tabs>
      </w:pPr>
      <w:r>
        <w:fldChar w:fldCharType="begin"/>
      </w:r>
      <w:r>
        <w:instrText xml:space="preserve"> HYPERLINK \l _Toc13575 </w:instrText>
      </w:r>
      <w:r>
        <w:fldChar w:fldCharType="separate"/>
      </w:r>
      <w:r>
        <w:rPr>
          <w:rFonts w:hint="eastAsia"/>
          <w:highlight w:val="none"/>
        </w:rPr>
        <w:t>1.7.1环境质量标准</w:t>
      </w:r>
      <w:r>
        <w:tab/>
      </w:r>
      <w:r>
        <w:fldChar w:fldCharType="begin"/>
      </w:r>
      <w:r>
        <w:instrText xml:space="preserve"> PAGEREF _Toc13575 \h </w:instrText>
      </w:r>
      <w:r>
        <w:fldChar w:fldCharType="separate"/>
      </w:r>
      <w:r>
        <w:t>17</w:t>
      </w:r>
      <w:r>
        <w:fldChar w:fldCharType="end"/>
      </w:r>
      <w:r>
        <w:fldChar w:fldCharType="end"/>
      </w:r>
    </w:p>
    <w:p>
      <w:pPr>
        <w:pStyle w:val="14"/>
        <w:tabs>
          <w:tab w:val="right" w:leader="dot" w:pos="8306"/>
        </w:tabs>
      </w:pPr>
      <w:r>
        <w:fldChar w:fldCharType="begin"/>
      </w:r>
      <w:r>
        <w:instrText xml:space="preserve"> HYPERLINK \l _Toc1239 </w:instrText>
      </w:r>
      <w:r>
        <w:fldChar w:fldCharType="separate"/>
      </w:r>
      <w:r>
        <w:rPr>
          <w:rFonts w:hint="eastAsia"/>
          <w:highlight w:val="none"/>
        </w:rPr>
        <w:t>1.7.2污染物排放标准</w:t>
      </w:r>
      <w:r>
        <w:tab/>
      </w:r>
      <w:r>
        <w:fldChar w:fldCharType="begin"/>
      </w:r>
      <w:r>
        <w:instrText xml:space="preserve"> PAGEREF _Toc1239 \h </w:instrText>
      </w:r>
      <w:r>
        <w:fldChar w:fldCharType="separate"/>
      </w:r>
      <w:r>
        <w:t>21</w:t>
      </w:r>
      <w:r>
        <w:fldChar w:fldCharType="end"/>
      </w:r>
      <w:r>
        <w:fldChar w:fldCharType="end"/>
      </w:r>
    </w:p>
    <w:p>
      <w:pPr>
        <w:pStyle w:val="19"/>
        <w:tabs>
          <w:tab w:val="right" w:leader="dot" w:pos="8306"/>
        </w:tabs>
      </w:pPr>
      <w:r>
        <w:fldChar w:fldCharType="begin"/>
      </w:r>
      <w:r>
        <w:instrText xml:space="preserve"> HYPERLINK \l _Toc30972 </w:instrText>
      </w:r>
      <w:r>
        <w:fldChar w:fldCharType="separate"/>
      </w:r>
      <w:r>
        <w:rPr>
          <w:rFonts w:hint="eastAsia"/>
          <w:highlight w:val="none"/>
        </w:rPr>
        <w:t>1.8环境敏感区</w:t>
      </w:r>
      <w:r>
        <w:tab/>
      </w:r>
      <w:r>
        <w:fldChar w:fldCharType="begin"/>
      </w:r>
      <w:r>
        <w:instrText xml:space="preserve"> PAGEREF _Toc30972 \h </w:instrText>
      </w:r>
      <w:r>
        <w:fldChar w:fldCharType="separate"/>
      </w:r>
      <w:r>
        <w:t>23</w:t>
      </w:r>
      <w:r>
        <w:fldChar w:fldCharType="end"/>
      </w:r>
      <w:r>
        <w:fldChar w:fldCharType="end"/>
      </w:r>
    </w:p>
    <w:p>
      <w:pPr>
        <w:pStyle w:val="19"/>
        <w:tabs>
          <w:tab w:val="right" w:leader="dot" w:pos="8306"/>
        </w:tabs>
      </w:pPr>
      <w:r>
        <w:fldChar w:fldCharType="begin"/>
      </w:r>
      <w:r>
        <w:instrText xml:space="preserve"> HYPERLINK \l _Toc2816 </w:instrText>
      </w:r>
      <w:r>
        <w:fldChar w:fldCharType="separate"/>
      </w:r>
      <w:r>
        <w:rPr>
          <w:rFonts w:hint="eastAsia"/>
          <w:highlight w:val="none"/>
        </w:rPr>
        <w:t>1.9工作程序</w:t>
      </w:r>
      <w:r>
        <w:tab/>
      </w:r>
      <w:r>
        <w:fldChar w:fldCharType="begin"/>
      </w:r>
      <w:r>
        <w:instrText xml:space="preserve"> PAGEREF _Toc2816 \h </w:instrText>
      </w:r>
      <w:r>
        <w:fldChar w:fldCharType="separate"/>
      </w:r>
      <w:r>
        <w:t>28</w:t>
      </w:r>
      <w:r>
        <w:fldChar w:fldCharType="end"/>
      </w:r>
      <w:r>
        <w:fldChar w:fldCharType="end"/>
      </w:r>
    </w:p>
    <w:p>
      <w:pPr>
        <w:pStyle w:val="18"/>
        <w:tabs>
          <w:tab w:val="right" w:leader="dot" w:pos="8306"/>
        </w:tabs>
      </w:pPr>
      <w:r>
        <w:fldChar w:fldCharType="begin"/>
      </w:r>
      <w:r>
        <w:instrText xml:space="preserve"> HYPERLINK \l _Toc32269 </w:instrText>
      </w:r>
      <w:r>
        <w:fldChar w:fldCharType="separate"/>
      </w:r>
      <w:r>
        <w:rPr>
          <w:rFonts w:hint="eastAsia"/>
          <w:highlight w:val="none"/>
        </w:rPr>
        <w:t>2规划分析</w:t>
      </w:r>
      <w:r>
        <w:tab/>
      </w:r>
      <w:r>
        <w:fldChar w:fldCharType="begin"/>
      </w:r>
      <w:r>
        <w:instrText xml:space="preserve"> PAGEREF _Toc32269 \h </w:instrText>
      </w:r>
      <w:r>
        <w:fldChar w:fldCharType="separate"/>
      </w:r>
      <w:r>
        <w:t>29</w:t>
      </w:r>
      <w:r>
        <w:fldChar w:fldCharType="end"/>
      </w:r>
      <w:r>
        <w:fldChar w:fldCharType="end"/>
      </w:r>
    </w:p>
    <w:p>
      <w:pPr>
        <w:pStyle w:val="19"/>
        <w:tabs>
          <w:tab w:val="right" w:leader="dot" w:pos="8306"/>
        </w:tabs>
      </w:pPr>
      <w:r>
        <w:fldChar w:fldCharType="begin"/>
      </w:r>
      <w:r>
        <w:instrText xml:space="preserve"> HYPERLINK \l _Toc3145 </w:instrText>
      </w:r>
      <w:r>
        <w:fldChar w:fldCharType="separate"/>
      </w:r>
      <w:r>
        <w:rPr>
          <w:rFonts w:hint="eastAsia"/>
          <w:highlight w:val="none"/>
        </w:rPr>
        <w:t>2.1规划概述</w:t>
      </w:r>
      <w:r>
        <w:tab/>
      </w:r>
      <w:r>
        <w:fldChar w:fldCharType="begin"/>
      </w:r>
      <w:r>
        <w:instrText xml:space="preserve"> PAGEREF _Toc3145 \h </w:instrText>
      </w:r>
      <w:r>
        <w:fldChar w:fldCharType="separate"/>
      </w:r>
      <w:r>
        <w:t>29</w:t>
      </w:r>
      <w:r>
        <w:fldChar w:fldCharType="end"/>
      </w:r>
      <w:r>
        <w:fldChar w:fldCharType="end"/>
      </w:r>
    </w:p>
    <w:p>
      <w:pPr>
        <w:pStyle w:val="14"/>
        <w:tabs>
          <w:tab w:val="right" w:leader="dot" w:pos="8306"/>
        </w:tabs>
      </w:pPr>
      <w:r>
        <w:fldChar w:fldCharType="begin"/>
      </w:r>
      <w:r>
        <w:instrText xml:space="preserve"> HYPERLINK \l _Toc17238 </w:instrText>
      </w:r>
      <w:r>
        <w:fldChar w:fldCharType="separate"/>
      </w:r>
      <w:r>
        <w:rPr>
          <w:rFonts w:hint="eastAsia"/>
          <w:highlight w:val="none"/>
          <w:lang w:val="en-US" w:eastAsia="zh-CN"/>
        </w:rPr>
        <w:t>2.1.1规划总体安排</w:t>
      </w:r>
      <w:r>
        <w:tab/>
      </w:r>
      <w:r>
        <w:fldChar w:fldCharType="begin"/>
      </w:r>
      <w:r>
        <w:instrText xml:space="preserve"> PAGEREF _Toc17238 \h </w:instrText>
      </w:r>
      <w:r>
        <w:fldChar w:fldCharType="separate"/>
      </w:r>
      <w:r>
        <w:t>29</w:t>
      </w:r>
      <w:r>
        <w:fldChar w:fldCharType="end"/>
      </w:r>
      <w:r>
        <w:fldChar w:fldCharType="end"/>
      </w:r>
    </w:p>
    <w:p>
      <w:pPr>
        <w:pStyle w:val="14"/>
        <w:tabs>
          <w:tab w:val="right" w:leader="dot" w:pos="8306"/>
        </w:tabs>
      </w:pPr>
      <w:r>
        <w:fldChar w:fldCharType="begin"/>
      </w:r>
      <w:r>
        <w:instrText xml:space="preserve"> HYPERLINK \l _Toc28960 </w:instrText>
      </w:r>
      <w:r>
        <w:fldChar w:fldCharType="separate"/>
      </w:r>
      <w:r>
        <w:rPr>
          <w:rFonts w:hint="eastAsia"/>
          <w:highlight w:val="none"/>
          <w:lang w:val="en-US" w:eastAsia="zh-CN"/>
        </w:rPr>
        <w:t>2.1.2</w:t>
      </w:r>
      <w:r>
        <w:rPr>
          <w:rFonts w:hint="eastAsia"/>
          <w:highlight w:val="none"/>
        </w:rPr>
        <w:t>项目及产品规划</w:t>
      </w:r>
      <w:r>
        <w:tab/>
      </w:r>
      <w:r>
        <w:fldChar w:fldCharType="begin"/>
      </w:r>
      <w:r>
        <w:instrText xml:space="preserve"> PAGEREF _Toc28960 \h </w:instrText>
      </w:r>
      <w:r>
        <w:fldChar w:fldCharType="separate"/>
      </w:r>
      <w:r>
        <w:t>42</w:t>
      </w:r>
      <w:r>
        <w:fldChar w:fldCharType="end"/>
      </w:r>
      <w:r>
        <w:fldChar w:fldCharType="end"/>
      </w:r>
    </w:p>
    <w:p>
      <w:pPr>
        <w:pStyle w:val="14"/>
        <w:tabs>
          <w:tab w:val="right" w:leader="dot" w:pos="8306"/>
        </w:tabs>
      </w:pPr>
      <w:r>
        <w:fldChar w:fldCharType="begin"/>
      </w:r>
      <w:r>
        <w:instrText xml:space="preserve"> HYPERLINK \l _Toc18020 </w:instrText>
      </w:r>
      <w:r>
        <w:fldChar w:fldCharType="separate"/>
      </w:r>
      <w:r>
        <w:rPr>
          <w:rFonts w:hint="eastAsia"/>
          <w:highlight w:val="none"/>
          <w:lang w:val="en-US" w:eastAsia="zh-CN"/>
        </w:rPr>
        <w:t>2.1.3全资源整合规划</w:t>
      </w:r>
      <w:r>
        <w:tab/>
      </w:r>
      <w:r>
        <w:fldChar w:fldCharType="begin"/>
      </w:r>
      <w:r>
        <w:instrText xml:space="preserve"> PAGEREF _Toc18020 \h </w:instrText>
      </w:r>
      <w:r>
        <w:fldChar w:fldCharType="separate"/>
      </w:r>
      <w:r>
        <w:t>53</w:t>
      </w:r>
      <w:r>
        <w:fldChar w:fldCharType="end"/>
      </w:r>
      <w:r>
        <w:fldChar w:fldCharType="end"/>
      </w:r>
    </w:p>
    <w:p>
      <w:pPr>
        <w:pStyle w:val="14"/>
        <w:tabs>
          <w:tab w:val="right" w:leader="dot" w:pos="8306"/>
        </w:tabs>
      </w:pPr>
      <w:r>
        <w:fldChar w:fldCharType="begin"/>
      </w:r>
      <w:r>
        <w:instrText xml:space="preserve"> HYPERLINK \l _Toc25695 </w:instrText>
      </w:r>
      <w:r>
        <w:fldChar w:fldCharType="separate"/>
      </w:r>
      <w:r>
        <w:rPr>
          <w:rFonts w:hint="eastAsia"/>
          <w:highlight w:val="none"/>
          <w:lang w:val="en-US" w:eastAsia="zh-CN"/>
        </w:rPr>
        <w:t>2.1.4全产业融合规划</w:t>
      </w:r>
      <w:r>
        <w:tab/>
      </w:r>
      <w:r>
        <w:fldChar w:fldCharType="begin"/>
      </w:r>
      <w:r>
        <w:instrText xml:space="preserve"> PAGEREF _Toc25695 \h </w:instrText>
      </w:r>
      <w:r>
        <w:fldChar w:fldCharType="separate"/>
      </w:r>
      <w:r>
        <w:t>53</w:t>
      </w:r>
      <w:r>
        <w:fldChar w:fldCharType="end"/>
      </w:r>
      <w:r>
        <w:fldChar w:fldCharType="end"/>
      </w:r>
    </w:p>
    <w:p>
      <w:pPr>
        <w:pStyle w:val="14"/>
        <w:tabs>
          <w:tab w:val="right" w:leader="dot" w:pos="8306"/>
        </w:tabs>
      </w:pPr>
      <w:r>
        <w:fldChar w:fldCharType="begin"/>
      </w:r>
      <w:r>
        <w:instrText xml:space="preserve"> HYPERLINK \l _Toc17415 </w:instrText>
      </w:r>
      <w:r>
        <w:fldChar w:fldCharType="separate"/>
      </w:r>
      <w:r>
        <w:rPr>
          <w:rFonts w:hint="eastAsia"/>
          <w:highlight w:val="none"/>
          <w:lang w:val="en-US" w:eastAsia="zh-CN"/>
        </w:rPr>
        <w:t>2.1.5全要素提升规划</w:t>
      </w:r>
      <w:r>
        <w:tab/>
      </w:r>
      <w:r>
        <w:fldChar w:fldCharType="begin"/>
      </w:r>
      <w:r>
        <w:instrText xml:space="preserve"> PAGEREF _Toc17415 \h </w:instrText>
      </w:r>
      <w:r>
        <w:fldChar w:fldCharType="separate"/>
      </w:r>
      <w:r>
        <w:t>54</w:t>
      </w:r>
      <w:r>
        <w:fldChar w:fldCharType="end"/>
      </w:r>
      <w:r>
        <w:fldChar w:fldCharType="end"/>
      </w:r>
    </w:p>
    <w:p>
      <w:pPr>
        <w:pStyle w:val="14"/>
        <w:tabs>
          <w:tab w:val="right" w:leader="dot" w:pos="8306"/>
        </w:tabs>
      </w:pPr>
      <w:r>
        <w:fldChar w:fldCharType="begin"/>
      </w:r>
      <w:r>
        <w:instrText xml:space="preserve"> HYPERLINK \l _Toc32630 </w:instrText>
      </w:r>
      <w:r>
        <w:fldChar w:fldCharType="separate"/>
      </w:r>
      <w:r>
        <w:rPr>
          <w:rFonts w:hint="eastAsia"/>
          <w:highlight w:val="none"/>
          <w:lang w:val="en-US" w:eastAsia="zh-CN"/>
        </w:rPr>
        <w:t>2.1.6</w:t>
      </w:r>
      <w:r>
        <w:rPr>
          <w:rFonts w:hint="default"/>
          <w:highlight w:val="none"/>
          <w:lang w:val="en-US" w:eastAsia="zh-CN"/>
        </w:rPr>
        <w:t>全体系覆盖</w:t>
      </w:r>
      <w:r>
        <w:rPr>
          <w:rFonts w:hint="eastAsia"/>
          <w:highlight w:val="none"/>
          <w:lang w:val="en-US" w:eastAsia="zh-CN"/>
        </w:rPr>
        <w:t>规划</w:t>
      </w:r>
      <w:r>
        <w:tab/>
      </w:r>
      <w:r>
        <w:fldChar w:fldCharType="begin"/>
      </w:r>
      <w:r>
        <w:instrText xml:space="preserve"> PAGEREF _Toc32630 \h </w:instrText>
      </w:r>
      <w:r>
        <w:fldChar w:fldCharType="separate"/>
      </w:r>
      <w:r>
        <w:t>56</w:t>
      </w:r>
      <w:r>
        <w:fldChar w:fldCharType="end"/>
      </w:r>
      <w:r>
        <w:fldChar w:fldCharType="end"/>
      </w:r>
    </w:p>
    <w:p>
      <w:pPr>
        <w:pStyle w:val="19"/>
        <w:tabs>
          <w:tab w:val="right" w:leader="dot" w:pos="8306"/>
        </w:tabs>
      </w:pPr>
      <w:r>
        <w:fldChar w:fldCharType="begin"/>
      </w:r>
      <w:r>
        <w:instrText xml:space="preserve"> HYPERLINK \l _Toc26722 </w:instrText>
      </w:r>
      <w:r>
        <w:fldChar w:fldCharType="separate"/>
      </w:r>
      <w:r>
        <w:rPr>
          <w:rFonts w:hint="eastAsia"/>
          <w:highlight w:val="none"/>
          <w:lang w:val="en-US" w:eastAsia="zh-CN"/>
        </w:rPr>
        <w:t>2.2规划协调性分析</w:t>
      </w:r>
      <w:r>
        <w:tab/>
      </w:r>
      <w:r>
        <w:fldChar w:fldCharType="begin"/>
      </w:r>
      <w:r>
        <w:instrText xml:space="preserve"> PAGEREF _Toc26722 \h </w:instrText>
      </w:r>
      <w:r>
        <w:fldChar w:fldCharType="separate"/>
      </w:r>
      <w:r>
        <w:t>57</w:t>
      </w:r>
      <w:r>
        <w:fldChar w:fldCharType="end"/>
      </w:r>
      <w:r>
        <w:fldChar w:fldCharType="end"/>
      </w:r>
    </w:p>
    <w:p>
      <w:pPr>
        <w:pStyle w:val="14"/>
        <w:tabs>
          <w:tab w:val="right" w:leader="dot" w:pos="8306"/>
        </w:tabs>
      </w:pPr>
      <w:r>
        <w:fldChar w:fldCharType="begin"/>
      </w:r>
      <w:r>
        <w:instrText xml:space="preserve"> HYPERLINK \l _Toc7332 </w:instrText>
      </w:r>
      <w:r>
        <w:fldChar w:fldCharType="separate"/>
      </w:r>
      <w:r>
        <w:rPr>
          <w:rFonts w:hint="eastAsia"/>
          <w:highlight w:val="none"/>
        </w:rPr>
        <w:t>2.2.1规划协调性分析</w:t>
      </w:r>
      <w:r>
        <w:tab/>
      </w:r>
      <w:r>
        <w:fldChar w:fldCharType="begin"/>
      </w:r>
      <w:r>
        <w:instrText xml:space="preserve"> PAGEREF _Toc7332 \h </w:instrText>
      </w:r>
      <w:r>
        <w:fldChar w:fldCharType="separate"/>
      </w:r>
      <w:r>
        <w:t>57</w:t>
      </w:r>
      <w:r>
        <w:fldChar w:fldCharType="end"/>
      </w:r>
      <w:r>
        <w:fldChar w:fldCharType="end"/>
      </w:r>
    </w:p>
    <w:p>
      <w:pPr>
        <w:pStyle w:val="14"/>
        <w:tabs>
          <w:tab w:val="right" w:leader="dot" w:pos="8306"/>
        </w:tabs>
      </w:pPr>
      <w:r>
        <w:fldChar w:fldCharType="begin"/>
      </w:r>
      <w:r>
        <w:instrText xml:space="preserve"> HYPERLINK \l _Toc12474 </w:instrText>
      </w:r>
      <w:r>
        <w:fldChar w:fldCharType="separate"/>
      </w:r>
      <w:r>
        <w:rPr>
          <w:rFonts w:hint="eastAsia"/>
          <w:highlight w:val="none"/>
        </w:rPr>
        <w:t>2.2.2与相关法律、法规的符合性分析</w:t>
      </w:r>
      <w:r>
        <w:tab/>
      </w:r>
      <w:r>
        <w:fldChar w:fldCharType="begin"/>
      </w:r>
      <w:r>
        <w:instrText xml:space="preserve"> PAGEREF _Toc12474 \h </w:instrText>
      </w:r>
      <w:r>
        <w:fldChar w:fldCharType="separate"/>
      </w:r>
      <w:r>
        <w:t>58</w:t>
      </w:r>
      <w:r>
        <w:fldChar w:fldCharType="end"/>
      </w:r>
      <w:r>
        <w:fldChar w:fldCharType="end"/>
      </w:r>
    </w:p>
    <w:p>
      <w:pPr>
        <w:pStyle w:val="14"/>
        <w:tabs>
          <w:tab w:val="right" w:leader="dot" w:pos="8306"/>
        </w:tabs>
      </w:pPr>
      <w:r>
        <w:fldChar w:fldCharType="begin"/>
      </w:r>
      <w:r>
        <w:instrText xml:space="preserve"> HYPERLINK \l _Toc10262 </w:instrText>
      </w:r>
      <w:r>
        <w:fldChar w:fldCharType="separate"/>
      </w:r>
      <w:r>
        <w:rPr>
          <w:rFonts w:hint="eastAsia"/>
          <w:highlight w:val="none"/>
        </w:rPr>
        <w:t>2.2.3与上层位规划的符合性分析</w:t>
      </w:r>
      <w:r>
        <w:tab/>
      </w:r>
      <w:r>
        <w:fldChar w:fldCharType="begin"/>
      </w:r>
      <w:r>
        <w:instrText xml:space="preserve"> PAGEREF _Toc10262 \h </w:instrText>
      </w:r>
      <w:r>
        <w:fldChar w:fldCharType="separate"/>
      </w:r>
      <w:r>
        <w:t>69</w:t>
      </w:r>
      <w:r>
        <w:fldChar w:fldCharType="end"/>
      </w:r>
      <w:r>
        <w:fldChar w:fldCharType="end"/>
      </w:r>
    </w:p>
    <w:p>
      <w:pPr>
        <w:pStyle w:val="14"/>
        <w:tabs>
          <w:tab w:val="right" w:leader="dot" w:pos="8306"/>
        </w:tabs>
      </w:pPr>
      <w:r>
        <w:fldChar w:fldCharType="begin"/>
      </w:r>
      <w:r>
        <w:instrText xml:space="preserve"> HYPERLINK \l _Toc5277 </w:instrText>
      </w:r>
      <w:r>
        <w:fldChar w:fldCharType="separate"/>
      </w:r>
      <w:r>
        <w:rPr>
          <w:rFonts w:hint="eastAsia"/>
          <w:highlight w:val="none"/>
          <w:lang w:val="en-US" w:eastAsia="zh-CN"/>
        </w:rPr>
        <w:t>2.2.4与同层位规划的符合性分析</w:t>
      </w:r>
      <w:r>
        <w:tab/>
      </w:r>
      <w:r>
        <w:fldChar w:fldCharType="begin"/>
      </w:r>
      <w:r>
        <w:instrText xml:space="preserve"> PAGEREF _Toc5277 \h </w:instrText>
      </w:r>
      <w:r>
        <w:fldChar w:fldCharType="separate"/>
      </w:r>
      <w:r>
        <w:t>78</w:t>
      </w:r>
      <w:r>
        <w:fldChar w:fldCharType="end"/>
      </w:r>
      <w:r>
        <w:fldChar w:fldCharType="end"/>
      </w:r>
    </w:p>
    <w:p>
      <w:pPr>
        <w:pStyle w:val="14"/>
        <w:tabs>
          <w:tab w:val="right" w:leader="dot" w:pos="8306"/>
        </w:tabs>
      </w:pPr>
      <w:r>
        <w:fldChar w:fldCharType="begin"/>
      </w:r>
      <w:r>
        <w:instrText xml:space="preserve"> HYPERLINK \l _Toc20201 </w:instrText>
      </w:r>
      <w:r>
        <w:fldChar w:fldCharType="separate"/>
      </w:r>
      <w:r>
        <w:rPr>
          <w:rFonts w:hint="eastAsia"/>
          <w:highlight w:val="none"/>
          <w:lang w:val="en-US" w:eastAsia="zh-CN"/>
        </w:rPr>
        <w:t>2.2.5与相关保护区规划协调性分析</w:t>
      </w:r>
      <w:r>
        <w:tab/>
      </w:r>
      <w:r>
        <w:fldChar w:fldCharType="begin"/>
      </w:r>
      <w:r>
        <w:instrText xml:space="preserve"> PAGEREF _Toc20201 \h </w:instrText>
      </w:r>
      <w:r>
        <w:fldChar w:fldCharType="separate"/>
      </w:r>
      <w:r>
        <w:t>81</w:t>
      </w:r>
      <w:r>
        <w:fldChar w:fldCharType="end"/>
      </w:r>
      <w:r>
        <w:fldChar w:fldCharType="end"/>
      </w:r>
    </w:p>
    <w:p>
      <w:pPr>
        <w:pStyle w:val="14"/>
        <w:tabs>
          <w:tab w:val="right" w:leader="dot" w:pos="8306"/>
        </w:tabs>
      </w:pPr>
      <w:r>
        <w:fldChar w:fldCharType="begin"/>
      </w:r>
      <w:r>
        <w:instrText xml:space="preserve"> HYPERLINK \l _Toc31057 </w:instrText>
      </w:r>
      <w:r>
        <w:fldChar w:fldCharType="separate"/>
      </w:r>
      <w:r>
        <w:rPr>
          <w:rFonts w:hint="eastAsia"/>
          <w:highlight w:val="none"/>
          <w:lang w:val="en-US" w:eastAsia="zh-CN"/>
        </w:rPr>
        <w:t>2.2.6与“三线一单”的符合性</w:t>
      </w:r>
      <w:r>
        <w:tab/>
      </w:r>
      <w:r>
        <w:fldChar w:fldCharType="begin"/>
      </w:r>
      <w:r>
        <w:instrText xml:space="preserve"> PAGEREF _Toc31057 \h </w:instrText>
      </w:r>
      <w:r>
        <w:fldChar w:fldCharType="separate"/>
      </w:r>
      <w:r>
        <w:t>105</w:t>
      </w:r>
      <w:r>
        <w:fldChar w:fldCharType="end"/>
      </w:r>
      <w:r>
        <w:fldChar w:fldCharType="end"/>
      </w:r>
    </w:p>
    <w:p>
      <w:pPr>
        <w:pStyle w:val="19"/>
        <w:tabs>
          <w:tab w:val="right" w:leader="dot" w:pos="8306"/>
        </w:tabs>
      </w:pPr>
      <w:r>
        <w:fldChar w:fldCharType="begin"/>
      </w:r>
      <w:r>
        <w:instrText xml:space="preserve"> HYPERLINK \l _Toc9062 </w:instrText>
      </w:r>
      <w:r>
        <w:fldChar w:fldCharType="separate"/>
      </w:r>
      <w:r>
        <w:rPr>
          <w:rFonts w:hint="eastAsia"/>
          <w:highlight w:val="none"/>
        </w:rPr>
        <w:t>2.3</w:t>
      </w:r>
      <w:r>
        <w:rPr>
          <w:rFonts w:hint="eastAsia"/>
        </w:rPr>
        <w:t>规划的不确定性</w:t>
      </w:r>
      <w:r>
        <w:rPr>
          <w:rFonts w:hint="eastAsia"/>
          <w:lang w:val="en-US" w:eastAsia="zh-CN"/>
        </w:rPr>
        <w:t>及应对分析</w:t>
      </w:r>
      <w:r>
        <w:tab/>
      </w:r>
      <w:r>
        <w:fldChar w:fldCharType="begin"/>
      </w:r>
      <w:r>
        <w:instrText xml:space="preserve"> PAGEREF _Toc9062 \h </w:instrText>
      </w:r>
      <w:r>
        <w:fldChar w:fldCharType="separate"/>
      </w:r>
      <w:r>
        <w:t>134</w:t>
      </w:r>
      <w:r>
        <w:fldChar w:fldCharType="end"/>
      </w:r>
      <w:r>
        <w:fldChar w:fldCharType="end"/>
      </w:r>
    </w:p>
    <w:p>
      <w:pPr>
        <w:pStyle w:val="18"/>
        <w:tabs>
          <w:tab w:val="right" w:leader="dot" w:pos="8306"/>
        </w:tabs>
      </w:pPr>
      <w:r>
        <w:fldChar w:fldCharType="begin"/>
      </w:r>
      <w:r>
        <w:instrText xml:space="preserve"> HYPERLINK \l _Toc18861 </w:instrText>
      </w:r>
      <w:r>
        <w:fldChar w:fldCharType="separate"/>
      </w:r>
      <w:r>
        <w:rPr>
          <w:rFonts w:hint="eastAsia"/>
        </w:rPr>
        <w:t>3规划区域现状调查与评价</w:t>
      </w:r>
      <w:r>
        <w:tab/>
      </w:r>
      <w:r>
        <w:fldChar w:fldCharType="begin"/>
      </w:r>
      <w:r>
        <w:instrText xml:space="preserve"> PAGEREF _Toc18861 \h </w:instrText>
      </w:r>
      <w:r>
        <w:fldChar w:fldCharType="separate"/>
      </w:r>
      <w:r>
        <w:t>136</w:t>
      </w:r>
      <w:r>
        <w:fldChar w:fldCharType="end"/>
      </w:r>
      <w:r>
        <w:fldChar w:fldCharType="end"/>
      </w:r>
    </w:p>
    <w:p>
      <w:pPr>
        <w:pStyle w:val="19"/>
        <w:tabs>
          <w:tab w:val="right" w:leader="dot" w:pos="8306"/>
        </w:tabs>
      </w:pPr>
      <w:r>
        <w:fldChar w:fldCharType="begin"/>
      </w:r>
      <w:r>
        <w:instrText xml:space="preserve"> HYPERLINK \l _Toc18417 </w:instrText>
      </w:r>
      <w:r>
        <w:fldChar w:fldCharType="separate"/>
      </w:r>
      <w:r>
        <w:rPr>
          <w:rFonts w:hint="eastAsia"/>
        </w:rPr>
        <w:t>3.1自然环境概况</w:t>
      </w:r>
      <w:r>
        <w:tab/>
      </w:r>
      <w:r>
        <w:fldChar w:fldCharType="begin"/>
      </w:r>
      <w:r>
        <w:instrText xml:space="preserve"> PAGEREF _Toc18417 \h </w:instrText>
      </w:r>
      <w:r>
        <w:fldChar w:fldCharType="separate"/>
      </w:r>
      <w:r>
        <w:t>136</w:t>
      </w:r>
      <w:r>
        <w:fldChar w:fldCharType="end"/>
      </w:r>
      <w:r>
        <w:fldChar w:fldCharType="end"/>
      </w:r>
    </w:p>
    <w:p>
      <w:pPr>
        <w:pStyle w:val="14"/>
        <w:tabs>
          <w:tab w:val="right" w:leader="dot" w:pos="8306"/>
        </w:tabs>
      </w:pPr>
      <w:r>
        <w:fldChar w:fldCharType="begin"/>
      </w:r>
      <w:r>
        <w:instrText xml:space="preserve"> HYPERLINK \l _Toc7627 </w:instrText>
      </w:r>
      <w:r>
        <w:fldChar w:fldCharType="separate"/>
      </w:r>
      <w:r>
        <w:rPr>
          <w:rFonts w:hint="eastAsia"/>
        </w:rPr>
        <w:t>3.1.1地理</w:t>
      </w:r>
      <w:r>
        <w:rPr>
          <w:rFonts w:hint="eastAsia"/>
          <w:lang w:val="en-US" w:eastAsia="zh-CN"/>
        </w:rPr>
        <w:t>位置</w:t>
      </w:r>
      <w:r>
        <w:tab/>
      </w:r>
      <w:r>
        <w:fldChar w:fldCharType="begin"/>
      </w:r>
      <w:r>
        <w:instrText xml:space="preserve"> PAGEREF _Toc7627 \h </w:instrText>
      </w:r>
      <w:r>
        <w:fldChar w:fldCharType="separate"/>
      </w:r>
      <w:r>
        <w:t>136</w:t>
      </w:r>
      <w:r>
        <w:fldChar w:fldCharType="end"/>
      </w:r>
      <w:r>
        <w:fldChar w:fldCharType="end"/>
      </w:r>
    </w:p>
    <w:p>
      <w:pPr>
        <w:pStyle w:val="14"/>
        <w:tabs>
          <w:tab w:val="right" w:leader="dot" w:pos="8306"/>
        </w:tabs>
      </w:pPr>
      <w:r>
        <w:fldChar w:fldCharType="begin"/>
      </w:r>
      <w:r>
        <w:instrText xml:space="preserve"> HYPERLINK \l _Toc32376 </w:instrText>
      </w:r>
      <w:r>
        <w:fldChar w:fldCharType="separate"/>
      </w:r>
      <w:r>
        <w:rPr>
          <w:rFonts w:hint="eastAsia"/>
        </w:rPr>
        <w:t>3.1.2地形地貌</w:t>
      </w:r>
      <w:r>
        <w:tab/>
      </w:r>
      <w:r>
        <w:fldChar w:fldCharType="begin"/>
      </w:r>
      <w:r>
        <w:instrText xml:space="preserve"> PAGEREF _Toc32376 \h </w:instrText>
      </w:r>
      <w:r>
        <w:fldChar w:fldCharType="separate"/>
      </w:r>
      <w:r>
        <w:t>136</w:t>
      </w:r>
      <w:r>
        <w:fldChar w:fldCharType="end"/>
      </w:r>
      <w:r>
        <w:fldChar w:fldCharType="end"/>
      </w:r>
    </w:p>
    <w:p>
      <w:pPr>
        <w:pStyle w:val="14"/>
        <w:tabs>
          <w:tab w:val="right" w:leader="dot" w:pos="8306"/>
        </w:tabs>
      </w:pPr>
      <w:r>
        <w:fldChar w:fldCharType="begin"/>
      </w:r>
      <w:r>
        <w:instrText xml:space="preserve"> HYPERLINK \l _Toc31027 </w:instrText>
      </w:r>
      <w:r>
        <w:fldChar w:fldCharType="separate"/>
      </w:r>
      <w:r>
        <w:rPr>
          <w:rFonts w:hint="eastAsia"/>
        </w:rPr>
        <w:t>3.1.3气候气象</w:t>
      </w:r>
      <w:r>
        <w:tab/>
      </w:r>
      <w:r>
        <w:fldChar w:fldCharType="begin"/>
      </w:r>
      <w:r>
        <w:instrText xml:space="preserve"> PAGEREF _Toc31027 \h </w:instrText>
      </w:r>
      <w:r>
        <w:fldChar w:fldCharType="separate"/>
      </w:r>
      <w:r>
        <w:t>141</w:t>
      </w:r>
      <w:r>
        <w:fldChar w:fldCharType="end"/>
      </w:r>
      <w:r>
        <w:fldChar w:fldCharType="end"/>
      </w:r>
    </w:p>
    <w:p>
      <w:pPr>
        <w:pStyle w:val="14"/>
        <w:tabs>
          <w:tab w:val="right" w:leader="dot" w:pos="8306"/>
        </w:tabs>
      </w:pPr>
      <w:r>
        <w:fldChar w:fldCharType="begin"/>
      </w:r>
      <w:r>
        <w:instrText xml:space="preserve"> HYPERLINK \l _Toc10350 </w:instrText>
      </w:r>
      <w:r>
        <w:fldChar w:fldCharType="separate"/>
      </w:r>
      <w:r>
        <w:rPr>
          <w:rFonts w:hint="eastAsia"/>
        </w:rPr>
        <w:t>3.1.4</w:t>
      </w:r>
      <w:r>
        <w:rPr>
          <w:rFonts w:hint="eastAsia"/>
          <w:lang w:val="en-US" w:eastAsia="zh-CN"/>
        </w:rPr>
        <w:t>河流</w:t>
      </w:r>
      <w:r>
        <w:rPr>
          <w:rFonts w:hint="eastAsia"/>
        </w:rPr>
        <w:t>水系</w:t>
      </w:r>
      <w:r>
        <w:tab/>
      </w:r>
      <w:r>
        <w:fldChar w:fldCharType="begin"/>
      </w:r>
      <w:r>
        <w:instrText xml:space="preserve"> PAGEREF _Toc10350 \h </w:instrText>
      </w:r>
      <w:r>
        <w:fldChar w:fldCharType="separate"/>
      </w:r>
      <w:r>
        <w:t>141</w:t>
      </w:r>
      <w:r>
        <w:fldChar w:fldCharType="end"/>
      </w:r>
      <w:r>
        <w:fldChar w:fldCharType="end"/>
      </w:r>
    </w:p>
    <w:p>
      <w:pPr>
        <w:pStyle w:val="14"/>
        <w:tabs>
          <w:tab w:val="right" w:leader="dot" w:pos="8306"/>
        </w:tabs>
      </w:pPr>
      <w:r>
        <w:fldChar w:fldCharType="begin"/>
      </w:r>
      <w:r>
        <w:instrText xml:space="preserve"> HYPERLINK \l _Toc7019 </w:instrText>
      </w:r>
      <w:r>
        <w:fldChar w:fldCharType="separate"/>
      </w:r>
      <w:r>
        <w:rPr>
          <w:rFonts w:hint="eastAsia"/>
          <w:lang w:val="en-US" w:eastAsia="zh-CN"/>
        </w:rPr>
        <w:t>3.1.5</w:t>
      </w:r>
      <w:r>
        <w:rPr>
          <w:rFonts w:hint="eastAsia"/>
        </w:rPr>
        <w:t>土壤</w:t>
      </w:r>
      <w:r>
        <w:tab/>
      </w:r>
      <w:r>
        <w:fldChar w:fldCharType="begin"/>
      </w:r>
      <w:r>
        <w:instrText xml:space="preserve"> PAGEREF _Toc7019 \h </w:instrText>
      </w:r>
      <w:r>
        <w:fldChar w:fldCharType="separate"/>
      </w:r>
      <w:r>
        <w:t>143</w:t>
      </w:r>
      <w:r>
        <w:fldChar w:fldCharType="end"/>
      </w:r>
      <w:r>
        <w:fldChar w:fldCharType="end"/>
      </w:r>
    </w:p>
    <w:p>
      <w:pPr>
        <w:pStyle w:val="14"/>
        <w:tabs>
          <w:tab w:val="right" w:leader="dot" w:pos="8306"/>
        </w:tabs>
      </w:pPr>
      <w:r>
        <w:fldChar w:fldCharType="begin"/>
      </w:r>
      <w:r>
        <w:instrText xml:space="preserve"> HYPERLINK \l _Toc25495 </w:instrText>
      </w:r>
      <w:r>
        <w:fldChar w:fldCharType="separate"/>
      </w:r>
      <w:r>
        <w:rPr>
          <w:rFonts w:hint="eastAsia"/>
          <w:lang w:val="en-US" w:eastAsia="zh-CN"/>
        </w:rPr>
        <w:t>3.1.6动植物资源</w:t>
      </w:r>
      <w:r>
        <w:tab/>
      </w:r>
      <w:r>
        <w:fldChar w:fldCharType="begin"/>
      </w:r>
      <w:r>
        <w:instrText xml:space="preserve"> PAGEREF _Toc25495 \h </w:instrText>
      </w:r>
      <w:r>
        <w:fldChar w:fldCharType="separate"/>
      </w:r>
      <w:r>
        <w:t>143</w:t>
      </w:r>
      <w:r>
        <w:fldChar w:fldCharType="end"/>
      </w:r>
      <w:r>
        <w:fldChar w:fldCharType="end"/>
      </w:r>
    </w:p>
    <w:p>
      <w:pPr>
        <w:pStyle w:val="14"/>
        <w:tabs>
          <w:tab w:val="right" w:leader="dot" w:pos="8306"/>
        </w:tabs>
      </w:pPr>
      <w:r>
        <w:fldChar w:fldCharType="begin"/>
      </w:r>
      <w:r>
        <w:instrText xml:space="preserve"> HYPERLINK \l _Toc32282 </w:instrText>
      </w:r>
      <w:r>
        <w:fldChar w:fldCharType="separate"/>
      </w:r>
      <w:r>
        <w:rPr>
          <w:rFonts w:hint="eastAsia"/>
          <w:lang w:val="en-US" w:eastAsia="zh-CN"/>
        </w:rPr>
        <w:t>3.1.7矿产资源</w:t>
      </w:r>
      <w:r>
        <w:tab/>
      </w:r>
      <w:r>
        <w:fldChar w:fldCharType="begin"/>
      </w:r>
      <w:r>
        <w:instrText xml:space="preserve"> PAGEREF _Toc32282 \h </w:instrText>
      </w:r>
      <w:r>
        <w:fldChar w:fldCharType="separate"/>
      </w:r>
      <w:r>
        <w:t>144</w:t>
      </w:r>
      <w:r>
        <w:fldChar w:fldCharType="end"/>
      </w:r>
      <w:r>
        <w:fldChar w:fldCharType="end"/>
      </w:r>
    </w:p>
    <w:p>
      <w:pPr>
        <w:pStyle w:val="19"/>
        <w:tabs>
          <w:tab w:val="right" w:leader="dot" w:pos="8306"/>
        </w:tabs>
      </w:pPr>
      <w:r>
        <w:fldChar w:fldCharType="begin"/>
      </w:r>
      <w:r>
        <w:instrText xml:space="preserve"> HYPERLINK \l _Toc4652 </w:instrText>
      </w:r>
      <w:r>
        <w:fldChar w:fldCharType="separate"/>
      </w:r>
      <w:r>
        <w:rPr>
          <w:rFonts w:hint="eastAsia"/>
        </w:rPr>
        <w:t>3.2社会和经济发展概况</w:t>
      </w:r>
      <w:r>
        <w:tab/>
      </w:r>
      <w:r>
        <w:fldChar w:fldCharType="begin"/>
      </w:r>
      <w:r>
        <w:instrText xml:space="preserve"> PAGEREF _Toc4652 \h </w:instrText>
      </w:r>
      <w:r>
        <w:fldChar w:fldCharType="separate"/>
      </w:r>
      <w:r>
        <w:t>144</w:t>
      </w:r>
      <w:r>
        <w:fldChar w:fldCharType="end"/>
      </w:r>
      <w:r>
        <w:fldChar w:fldCharType="end"/>
      </w:r>
    </w:p>
    <w:p>
      <w:pPr>
        <w:pStyle w:val="14"/>
        <w:tabs>
          <w:tab w:val="right" w:leader="dot" w:pos="8306"/>
        </w:tabs>
      </w:pPr>
      <w:r>
        <w:fldChar w:fldCharType="begin"/>
      </w:r>
      <w:r>
        <w:instrText xml:space="preserve"> HYPERLINK \l _Toc13590 </w:instrText>
      </w:r>
      <w:r>
        <w:fldChar w:fldCharType="separate"/>
      </w:r>
      <w:r>
        <w:t>3.2.1 行政区划和人口</w:t>
      </w:r>
      <w:r>
        <w:tab/>
      </w:r>
      <w:r>
        <w:fldChar w:fldCharType="begin"/>
      </w:r>
      <w:r>
        <w:instrText xml:space="preserve"> PAGEREF _Toc13590 \h </w:instrText>
      </w:r>
      <w:r>
        <w:fldChar w:fldCharType="separate"/>
      </w:r>
      <w:r>
        <w:t>144</w:t>
      </w:r>
      <w:r>
        <w:fldChar w:fldCharType="end"/>
      </w:r>
      <w:r>
        <w:fldChar w:fldCharType="end"/>
      </w:r>
    </w:p>
    <w:p>
      <w:pPr>
        <w:pStyle w:val="14"/>
        <w:tabs>
          <w:tab w:val="right" w:leader="dot" w:pos="8306"/>
        </w:tabs>
      </w:pPr>
      <w:r>
        <w:fldChar w:fldCharType="begin"/>
      </w:r>
      <w:r>
        <w:instrText xml:space="preserve"> HYPERLINK \l _Toc20768 </w:instrText>
      </w:r>
      <w:r>
        <w:fldChar w:fldCharType="separate"/>
      </w:r>
      <w:r>
        <w:rPr>
          <w:rFonts w:hint="eastAsia"/>
        </w:rPr>
        <w:t>3.2.2 社会经济</w:t>
      </w:r>
      <w:r>
        <w:rPr>
          <w:rFonts w:hint="eastAsia"/>
          <w:lang w:val="en-US" w:eastAsia="zh-CN"/>
        </w:rPr>
        <w:t>发展概况</w:t>
      </w:r>
      <w:r>
        <w:tab/>
      </w:r>
      <w:r>
        <w:fldChar w:fldCharType="begin"/>
      </w:r>
      <w:r>
        <w:instrText xml:space="preserve"> PAGEREF _Toc20768 \h </w:instrText>
      </w:r>
      <w:r>
        <w:fldChar w:fldCharType="separate"/>
      </w:r>
      <w:r>
        <w:t>144</w:t>
      </w:r>
      <w:r>
        <w:fldChar w:fldCharType="end"/>
      </w:r>
      <w:r>
        <w:fldChar w:fldCharType="end"/>
      </w:r>
    </w:p>
    <w:p>
      <w:pPr>
        <w:pStyle w:val="19"/>
        <w:tabs>
          <w:tab w:val="right" w:leader="dot" w:pos="8306"/>
        </w:tabs>
      </w:pPr>
      <w:r>
        <w:fldChar w:fldCharType="begin"/>
      </w:r>
      <w:r>
        <w:instrText xml:space="preserve"> HYPERLINK \l _Toc18460 </w:instrText>
      </w:r>
      <w:r>
        <w:fldChar w:fldCharType="separate"/>
      </w:r>
      <w:r>
        <w:rPr>
          <w:rFonts w:hint="eastAsia"/>
        </w:rPr>
        <w:t>3.</w:t>
      </w:r>
      <w:r>
        <w:rPr>
          <w:rFonts w:hint="eastAsia"/>
          <w:lang w:val="en-US" w:eastAsia="zh-CN"/>
        </w:rPr>
        <w:t>3</w:t>
      </w:r>
      <w:r>
        <w:rPr>
          <w:rFonts w:hint="eastAsia"/>
        </w:rPr>
        <w:t>区域环境质量现状评价</w:t>
      </w:r>
      <w:r>
        <w:rPr>
          <w:rFonts w:hint="eastAsia"/>
          <w:lang w:val="en-US" w:eastAsia="zh-CN"/>
        </w:rPr>
        <w:t>及变化趋势</w:t>
      </w:r>
      <w:r>
        <w:tab/>
      </w:r>
      <w:r>
        <w:fldChar w:fldCharType="begin"/>
      </w:r>
      <w:r>
        <w:instrText xml:space="preserve"> PAGEREF _Toc18460 \h </w:instrText>
      </w:r>
      <w:r>
        <w:fldChar w:fldCharType="separate"/>
      </w:r>
      <w:r>
        <w:t>146</w:t>
      </w:r>
      <w:r>
        <w:fldChar w:fldCharType="end"/>
      </w:r>
      <w:r>
        <w:fldChar w:fldCharType="end"/>
      </w:r>
    </w:p>
    <w:p>
      <w:pPr>
        <w:pStyle w:val="14"/>
        <w:tabs>
          <w:tab w:val="right" w:leader="dot" w:pos="8306"/>
        </w:tabs>
      </w:pPr>
      <w:r>
        <w:fldChar w:fldCharType="begin"/>
      </w:r>
      <w:r>
        <w:instrText xml:space="preserve"> HYPERLINK \l _Toc13709 </w:instrText>
      </w:r>
      <w:r>
        <w:fldChar w:fldCharType="separate"/>
      </w:r>
      <w:r>
        <w:rPr>
          <w:rFonts w:hint="eastAsia"/>
        </w:rPr>
        <w:t>3.3.1大气环境现状分析</w:t>
      </w:r>
      <w:r>
        <w:tab/>
      </w:r>
      <w:r>
        <w:fldChar w:fldCharType="begin"/>
      </w:r>
      <w:r>
        <w:instrText xml:space="preserve"> PAGEREF _Toc13709 \h </w:instrText>
      </w:r>
      <w:r>
        <w:fldChar w:fldCharType="separate"/>
      </w:r>
      <w:r>
        <w:t>146</w:t>
      </w:r>
      <w:r>
        <w:fldChar w:fldCharType="end"/>
      </w:r>
      <w:r>
        <w:fldChar w:fldCharType="end"/>
      </w:r>
    </w:p>
    <w:p>
      <w:pPr>
        <w:pStyle w:val="14"/>
        <w:tabs>
          <w:tab w:val="right" w:leader="dot" w:pos="8306"/>
        </w:tabs>
      </w:pPr>
      <w:r>
        <w:fldChar w:fldCharType="begin"/>
      </w:r>
      <w:r>
        <w:instrText xml:space="preserve"> HYPERLINK \l _Toc6910 </w:instrText>
      </w:r>
      <w:r>
        <w:fldChar w:fldCharType="separate"/>
      </w:r>
      <w:r>
        <w:rPr>
          <w:rFonts w:hint="eastAsia"/>
        </w:rPr>
        <w:t>3.3.2水环境现状分析</w:t>
      </w:r>
      <w:r>
        <w:tab/>
      </w:r>
      <w:r>
        <w:fldChar w:fldCharType="begin"/>
      </w:r>
      <w:r>
        <w:instrText xml:space="preserve"> PAGEREF _Toc6910 \h </w:instrText>
      </w:r>
      <w:r>
        <w:fldChar w:fldCharType="separate"/>
      </w:r>
      <w:r>
        <w:t>150</w:t>
      </w:r>
      <w:r>
        <w:fldChar w:fldCharType="end"/>
      </w:r>
      <w:r>
        <w:fldChar w:fldCharType="end"/>
      </w:r>
    </w:p>
    <w:p>
      <w:pPr>
        <w:pStyle w:val="14"/>
        <w:tabs>
          <w:tab w:val="right" w:leader="dot" w:pos="8306"/>
        </w:tabs>
      </w:pPr>
      <w:r>
        <w:fldChar w:fldCharType="begin"/>
      </w:r>
      <w:r>
        <w:instrText xml:space="preserve"> HYPERLINK \l _Toc12948 </w:instrText>
      </w:r>
      <w:r>
        <w:fldChar w:fldCharType="separate"/>
      </w:r>
      <w:r>
        <w:rPr>
          <w:rFonts w:hint="eastAsia"/>
        </w:rPr>
        <w:t>3.3.3声环境现状分析</w:t>
      </w:r>
      <w:r>
        <w:tab/>
      </w:r>
      <w:r>
        <w:fldChar w:fldCharType="begin"/>
      </w:r>
      <w:r>
        <w:instrText xml:space="preserve"> PAGEREF _Toc12948 \h </w:instrText>
      </w:r>
      <w:r>
        <w:fldChar w:fldCharType="separate"/>
      </w:r>
      <w:r>
        <w:t>154</w:t>
      </w:r>
      <w:r>
        <w:fldChar w:fldCharType="end"/>
      </w:r>
      <w:r>
        <w:fldChar w:fldCharType="end"/>
      </w:r>
    </w:p>
    <w:p>
      <w:pPr>
        <w:pStyle w:val="14"/>
        <w:tabs>
          <w:tab w:val="right" w:leader="dot" w:pos="8306"/>
        </w:tabs>
      </w:pPr>
      <w:r>
        <w:fldChar w:fldCharType="begin"/>
      </w:r>
      <w:r>
        <w:instrText xml:space="preserve"> HYPERLINK \l _Toc24712 </w:instrText>
      </w:r>
      <w:r>
        <w:fldChar w:fldCharType="separate"/>
      </w:r>
      <w:r>
        <w:rPr>
          <w:rFonts w:hint="eastAsia"/>
        </w:rPr>
        <w:t>3.3.4土壤质量现状</w:t>
      </w:r>
      <w:r>
        <w:tab/>
      </w:r>
      <w:r>
        <w:fldChar w:fldCharType="begin"/>
      </w:r>
      <w:r>
        <w:instrText xml:space="preserve"> PAGEREF _Toc24712 \h </w:instrText>
      </w:r>
      <w:r>
        <w:fldChar w:fldCharType="separate"/>
      </w:r>
      <w:r>
        <w:t>157</w:t>
      </w:r>
      <w:r>
        <w:fldChar w:fldCharType="end"/>
      </w:r>
      <w:r>
        <w:fldChar w:fldCharType="end"/>
      </w:r>
    </w:p>
    <w:p>
      <w:pPr>
        <w:pStyle w:val="19"/>
        <w:tabs>
          <w:tab w:val="right" w:leader="dot" w:pos="8306"/>
        </w:tabs>
      </w:pPr>
      <w:r>
        <w:fldChar w:fldCharType="begin"/>
      </w:r>
      <w:r>
        <w:instrText xml:space="preserve"> HYPERLINK \l _Toc21301 </w:instrText>
      </w:r>
      <w:r>
        <w:fldChar w:fldCharType="separate"/>
      </w:r>
      <w:r>
        <w:rPr>
          <w:rFonts w:hint="eastAsia"/>
        </w:rPr>
        <w:t>3.4生态环境现状分析</w:t>
      </w:r>
      <w:r>
        <w:tab/>
      </w:r>
      <w:r>
        <w:fldChar w:fldCharType="begin"/>
      </w:r>
      <w:r>
        <w:instrText xml:space="preserve"> PAGEREF _Toc21301 \h </w:instrText>
      </w:r>
      <w:r>
        <w:fldChar w:fldCharType="separate"/>
      </w:r>
      <w:r>
        <w:t>157</w:t>
      </w:r>
      <w:r>
        <w:fldChar w:fldCharType="end"/>
      </w:r>
      <w:r>
        <w:fldChar w:fldCharType="end"/>
      </w:r>
    </w:p>
    <w:p>
      <w:pPr>
        <w:pStyle w:val="19"/>
        <w:tabs>
          <w:tab w:val="right" w:leader="dot" w:pos="8306"/>
        </w:tabs>
      </w:pPr>
      <w:r>
        <w:fldChar w:fldCharType="begin"/>
      </w:r>
      <w:r>
        <w:instrText xml:space="preserve"> HYPERLINK \l _Toc13693 </w:instrText>
      </w:r>
      <w:r>
        <w:fldChar w:fldCharType="separate"/>
      </w:r>
      <w:r>
        <w:rPr>
          <w:rFonts w:hint="eastAsia"/>
        </w:rPr>
        <w:t>3.5林芝市旅游业开发现状及回顾性分析</w:t>
      </w:r>
      <w:r>
        <w:tab/>
      </w:r>
      <w:r>
        <w:fldChar w:fldCharType="begin"/>
      </w:r>
      <w:r>
        <w:instrText xml:space="preserve"> PAGEREF _Toc13693 \h </w:instrText>
      </w:r>
      <w:r>
        <w:fldChar w:fldCharType="separate"/>
      </w:r>
      <w:r>
        <w:t>177</w:t>
      </w:r>
      <w:r>
        <w:fldChar w:fldCharType="end"/>
      </w:r>
      <w:r>
        <w:fldChar w:fldCharType="end"/>
      </w:r>
    </w:p>
    <w:p>
      <w:pPr>
        <w:pStyle w:val="14"/>
        <w:tabs>
          <w:tab w:val="right" w:leader="dot" w:pos="8306"/>
        </w:tabs>
      </w:pPr>
      <w:r>
        <w:fldChar w:fldCharType="begin"/>
      </w:r>
      <w:r>
        <w:instrText xml:space="preserve"> HYPERLINK \l _Toc4074 </w:instrText>
      </w:r>
      <w:r>
        <w:fldChar w:fldCharType="separate"/>
      </w:r>
      <w:r>
        <w:rPr>
          <w:rFonts w:hint="eastAsia"/>
        </w:rPr>
        <w:t>3.5.1林芝市旅游业基本情况</w:t>
      </w:r>
      <w:r>
        <w:tab/>
      </w:r>
      <w:r>
        <w:fldChar w:fldCharType="begin"/>
      </w:r>
      <w:r>
        <w:instrText xml:space="preserve"> PAGEREF _Toc4074 \h </w:instrText>
      </w:r>
      <w:r>
        <w:fldChar w:fldCharType="separate"/>
      </w:r>
      <w:r>
        <w:t>177</w:t>
      </w:r>
      <w:r>
        <w:fldChar w:fldCharType="end"/>
      </w:r>
      <w:r>
        <w:fldChar w:fldCharType="end"/>
      </w:r>
    </w:p>
    <w:p>
      <w:pPr>
        <w:pStyle w:val="14"/>
        <w:tabs>
          <w:tab w:val="right" w:leader="dot" w:pos="8306"/>
        </w:tabs>
      </w:pPr>
      <w:r>
        <w:fldChar w:fldCharType="begin"/>
      </w:r>
      <w:r>
        <w:instrText xml:space="preserve"> HYPERLINK \l _Toc11331 </w:instrText>
      </w:r>
      <w:r>
        <w:fldChar w:fldCharType="separate"/>
      </w:r>
      <w:r>
        <w:rPr>
          <w:rFonts w:hint="eastAsia"/>
        </w:rPr>
        <w:t>3.5.2环境基础设施现状</w:t>
      </w:r>
      <w:r>
        <w:tab/>
      </w:r>
      <w:r>
        <w:fldChar w:fldCharType="begin"/>
      </w:r>
      <w:r>
        <w:instrText xml:space="preserve"> PAGEREF _Toc11331 \h </w:instrText>
      </w:r>
      <w:r>
        <w:fldChar w:fldCharType="separate"/>
      </w:r>
      <w:r>
        <w:t>188</w:t>
      </w:r>
      <w:r>
        <w:fldChar w:fldCharType="end"/>
      </w:r>
      <w:r>
        <w:fldChar w:fldCharType="end"/>
      </w:r>
    </w:p>
    <w:p>
      <w:pPr>
        <w:pStyle w:val="14"/>
        <w:tabs>
          <w:tab w:val="right" w:leader="dot" w:pos="8306"/>
        </w:tabs>
      </w:pPr>
      <w:r>
        <w:fldChar w:fldCharType="begin"/>
      </w:r>
      <w:r>
        <w:instrText xml:space="preserve"> HYPERLINK \l _Toc1542 </w:instrText>
      </w:r>
      <w:r>
        <w:fldChar w:fldCharType="separate"/>
      </w:r>
      <w:r>
        <w:rPr>
          <w:rFonts w:hint="eastAsia"/>
        </w:rPr>
        <w:t>3.5.3开发过程中存在问题</w:t>
      </w:r>
      <w:r>
        <w:tab/>
      </w:r>
      <w:r>
        <w:fldChar w:fldCharType="begin"/>
      </w:r>
      <w:r>
        <w:instrText xml:space="preserve"> PAGEREF _Toc1542 \h </w:instrText>
      </w:r>
      <w:r>
        <w:fldChar w:fldCharType="separate"/>
      </w:r>
      <w:r>
        <w:t>191</w:t>
      </w:r>
      <w:r>
        <w:fldChar w:fldCharType="end"/>
      </w:r>
      <w:r>
        <w:fldChar w:fldCharType="end"/>
      </w:r>
    </w:p>
    <w:p>
      <w:pPr>
        <w:pStyle w:val="19"/>
        <w:tabs>
          <w:tab w:val="right" w:leader="dot" w:pos="8306"/>
        </w:tabs>
      </w:pPr>
      <w:r>
        <w:fldChar w:fldCharType="begin"/>
      </w:r>
      <w:r>
        <w:instrText xml:space="preserve"> HYPERLINK \l _Toc5955 </w:instrText>
      </w:r>
      <w:r>
        <w:fldChar w:fldCharType="separate"/>
      </w:r>
      <w:r>
        <w:rPr>
          <w:rFonts w:hint="eastAsia"/>
        </w:rPr>
        <w:t>3.6环保督查发现的问题及其整改情况</w:t>
      </w:r>
      <w:r>
        <w:tab/>
      </w:r>
      <w:r>
        <w:fldChar w:fldCharType="begin"/>
      </w:r>
      <w:r>
        <w:instrText xml:space="preserve"> PAGEREF _Toc5955 \h </w:instrText>
      </w:r>
      <w:r>
        <w:fldChar w:fldCharType="separate"/>
      </w:r>
      <w:r>
        <w:t>193</w:t>
      </w:r>
      <w:r>
        <w:fldChar w:fldCharType="end"/>
      </w:r>
      <w:r>
        <w:fldChar w:fldCharType="end"/>
      </w:r>
    </w:p>
    <w:p>
      <w:pPr>
        <w:pStyle w:val="19"/>
        <w:tabs>
          <w:tab w:val="right" w:leader="dot" w:pos="8306"/>
        </w:tabs>
      </w:pPr>
      <w:r>
        <w:fldChar w:fldCharType="begin"/>
      </w:r>
      <w:r>
        <w:instrText xml:space="preserve"> HYPERLINK \l _Toc18218 </w:instrText>
      </w:r>
      <w:r>
        <w:fldChar w:fldCharType="separate"/>
      </w:r>
      <w:r>
        <w:rPr>
          <w:rFonts w:hint="eastAsia"/>
        </w:rPr>
        <w:t>3.</w:t>
      </w:r>
      <w:r>
        <w:t>7</w:t>
      </w:r>
      <w:r>
        <w:rPr>
          <w:rFonts w:hint="eastAsia"/>
        </w:rPr>
        <w:t>环境制约因素分析</w:t>
      </w:r>
      <w:r>
        <w:tab/>
      </w:r>
      <w:r>
        <w:fldChar w:fldCharType="begin"/>
      </w:r>
      <w:r>
        <w:instrText xml:space="preserve"> PAGEREF _Toc18218 \h </w:instrText>
      </w:r>
      <w:r>
        <w:fldChar w:fldCharType="separate"/>
      </w:r>
      <w:r>
        <w:t>194</w:t>
      </w:r>
      <w:r>
        <w:fldChar w:fldCharType="end"/>
      </w:r>
      <w:r>
        <w:fldChar w:fldCharType="end"/>
      </w:r>
    </w:p>
    <w:p>
      <w:pPr>
        <w:pStyle w:val="18"/>
        <w:tabs>
          <w:tab w:val="right" w:leader="dot" w:pos="8306"/>
        </w:tabs>
      </w:pPr>
      <w:r>
        <w:fldChar w:fldCharType="begin"/>
      </w:r>
      <w:r>
        <w:instrText xml:space="preserve"> HYPERLINK \l _Toc3853 </w:instrText>
      </w:r>
      <w:r>
        <w:fldChar w:fldCharType="separate"/>
      </w:r>
      <w:r>
        <w:rPr>
          <w:rFonts w:hint="eastAsia"/>
          <w:highlight w:val="none"/>
        </w:rPr>
        <w:t>4环境影响识别与评价指标体系构建</w:t>
      </w:r>
      <w:r>
        <w:tab/>
      </w:r>
      <w:r>
        <w:fldChar w:fldCharType="begin"/>
      </w:r>
      <w:r>
        <w:instrText xml:space="preserve"> PAGEREF _Toc3853 \h </w:instrText>
      </w:r>
      <w:r>
        <w:fldChar w:fldCharType="separate"/>
      </w:r>
      <w:r>
        <w:t>196</w:t>
      </w:r>
      <w:r>
        <w:fldChar w:fldCharType="end"/>
      </w:r>
      <w:r>
        <w:fldChar w:fldCharType="end"/>
      </w:r>
    </w:p>
    <w:p>
      <w:pPr>
        <w:pStyle w:val="19"/>
        <w:tabs>
          <w:tab w:val="right" w:leader="dot" w:pos="8306"/>
        </w:tabs>
      </w:pPr>
      <w:r>
        <w:fldChar w:fldCharType="begin"/>
      </w:r>
      <w:r>
        <w:instrText xml:space="preserve"> HYPERLINK \l _Toc26959 </w:instrText>
      </w:r>
      <w:r>
        <w:fldChar w:fldCharType="separate"/>
      </w:r>
      <w:r>
        <w:rPr>
          <w:rFonts w:hint="eastAsia"/>
          <w:highlight w:val="none"/>
        </w:rPr>
        <w:t>4.1规划实施主要环境影响识别</w:t>
      </w:r>
      <w:r>
        <w:tab/>
      </w:r>
      <w:r>
        <w:fldChar w:fldCharType="begin"/>
      </w:r>
      <w:r>
        <w:instrText xml:space="preserve"> PAGEREF _Toc26959 \h </w:instrText>
      </w:r>
      <w:r>
        <w:fldChar w:fldCharType="separate"/>
      </w:r>
      <w:r>
        <w:t>196</w:t>
      </w:r>
      <w:r>
        <w:fldChar w:fldCharType="end"/>
      </w:r>
      <w:r>
        <w:fldChar w:fldCharType="end"/>
      </w:r>
    </w:p>
    <w:p>
      <w:pPr>
        <w:pStyle w:val="19"/>
        <w:tabs>
          <w:tab w:val="right" w:leader="dot" w:pos="8306"/>
        </w:tabs>
      </w:pPr>
      <w:r>
        <w:fldChar w:fldCharType="begin"/>
      </w:r>
      <w:r>
        <w:instrText xml:space="preserve"> HYPERLINK \l _Toc23220 </w:instrText>
      </w:r>
      <w:r>
        <w:fldChar w:fldCharType="separate"/>
      </w:r>
      <w:r>
        <w:rPr>
          <w:rFonts w:hint="eastAsia"/>
          <w:highlight w:val="none"/>
        </w:rPr>
        <w:t>4.2规划环境目标与评价指标确定</w:t>
      </w:r>
      <w:r>
        <w:tab/>
      </w:r>
      <w:r>
        <w:fldChar w:fldCharType="begin"/>
      </w:r>
      <w:r>
        <w:instrText xml:space="preserve"> PAGEREF _Toc23220 \h </w:instrText>
      </w:r>
      <w:r>
        <w:fldChar w:fldCharType="separate"/>
      </w:r>
      <w:r>
        <w:t>199</w:t>
      </w:r>
      <w:r>
        <w:fldChar w:fldCharType="end"/>
      </w:r>
      <w:r>
        <w:fldChar w:fldCharType="end"/>
      </w:r>
    </w:p>
    <w:p>
      <w:pPr>
        <w:pStyle w:val="18"/>
        <w:tabs>
          <w:tab w:val="right" w:leader="dot" w:pos="8306"/>
        </w:tabs>
      </w:pPr>
      <w:r>
        <w:fldChar w:fldCharType="begin"/>
      </w:r>
      <w:r>
        <w:instrText xml:space="preserve"> HYPERLINK \l _Toc1079 </w:instrText>
      </w:r>
      <w:r>
        <w:fldChar w:fldCharType="separate"/>
      </w:r>
      <w:r>
        <w:rPr>
          <w:rFonts w:hint="eastAsia"/>
          <w:highlight w:val="none"/>
        </w:rPr>
        <w:t>5规划方案环境影响预测与评价</w:t>
      </w:r>
      <w:r>
        <w:tab/>
      </w:r>
      <w:r>
        <w:fldChar w:fldCharType="begin"/>
      </w:r>
      <w:r>
        <w:instrText xml:space="preserve"> PAGEREF _Toc1079 \h </w:instrText>
      </w:r>
      <w:r>
        <w:fldChar w:fldCharType="separate"/>
      </w:r>
      <w:r>
        <w:t>200</w:t>
      </w:r>
      <w:r>
        <w:fldChar w:fldCharType="end"/>
      </w:r>
      <w:r>
        <w:fldChar w:fldCharType="end"/>
      </w:r>
    </w:p>
    <w:p>
      <w:pPr>
        <w:pStyle w:val="19"/>
        <w:tabs>
          <w:tab w:val="right" w:leader="dot" w:pos="8306"/>
        </w:tabs>
      </w:pPr>
      <w:r>
        <w:fldChar w:fldCharType="begin"/>
      </w:r>
      <w:r>
        <w:instrText xml:space="preserve"> HYPERLINK \l _Toc21510 </w:instrText>
      </w:r>
      <w:r>
        <w:fldChar w:fldCharType="separate"/>
      </w:r>
      <w:r>
        <w:rPr>
          <w:rFonts w:hint="eastAsia"/>
        </w:rPr>
        <w:t>5.1规划实施生态环境压力分析</w:t>
      </w:r>
      <w:r>
        <w:tab/>
      </w:r>
      <w:r>
        <w:fldChar w:fldCharType="begin"/>
      </w:r>
      <w:r>
        <w:instrText xml:space="preserve"> PAGEREF _Toc21510 \h </w:instrText>
      </w:r>
      <w:r>
        <w:fldChar w:fldCharType="separate"/>
      </w:r>
      <w:r>
        <w:t>200</w:t>
      </w:r>
      <w:r>
        <w:fldChar w:fldCharType="end"/>
      </w:r>
      <w:r>
        <w:fldChar w:fldCharType="end"/>
      </w:r>
    </w:p>
    <w:p>
      <w:pPr>
        <w:pStyle w:val="14"/>
        <w:tabs>
          <w:tab w:val="right" w:leader="dot" w:pos="8306"/>
        </w:tabs>
      </w:pPr>
      <w:r>
        <w:fldChar w:fldCharType="begin"/>
      </w:r>
      <w:r>
        <w:instrText xml:space="preserve"> HYPERLINK \l _Toc28300 </w:instrText>
      </w:r>
      <w:r>
        <w:fldChar w:fldCharType="separate"/>
      </w:r>
      <w:r>
        <w:rPr>
          <w:rFonts w:hint="eastAsia"/>
        </w:rPr>
        <w:t>5.1.1预测情景设置</w:t>
      </w:r>
      <w:r>
        <w:tab/>
      </w:r>
      <w:r>
        <w:fldChar w:fldCharType="begin"/>
      </w:r>
      <w:r>
        <w:instrText xml:space="preserve"> PAGEREF _Toc28300 \h </w:instrText>
      </w:r>
      <w:r>
        <w:fldChar w:fldCharType="separate"/>
      </w:r>
      <w:r>
        <w:t>200</w:t>
      </w:r>
      <w:r>
        <w:fldChar w:fldCharType="end"/>
      </w:r>
      <w:r>
        <w:fldChar w:fldCharType="end"/>
      </w:r>
    </w:p>
    <w:p>
      <w:pPr>
        <w:pStyle w:val="14"/>
        <w:tabs>
          <w:tab w:val="right" w:leader="dot" w:pos="8306"/>
        </w:tabs>
      </w:pPr>
      <w:r>
        <w:fldChar w:fldCharType="begin"/>
      </w:r>
      <w:r>
        <w:instrText xml:space="preserve"> HYPERLINK \l _Toc27372 </w:instrText>
      </w:r>
      <w:r>
        <w:fldChar w:fldCharType="separate"/>
      </w:r>
      <w:r>
        <w:rPr>
          <w:rFonts w:hint="eastAsia"/>
        </w:rPr>
        <w:t>5.1.2规划方案情景下污染源源强</w:t>
      </w:r>
      <w:r>
        <w:tab/>
      </w:r>
      <w:r>
        <w:fldChar w:fldCharType="begin"/>
      </w:r>
      <w:r>
        <w:instrText xml:space="preserve"> PAGEREF _Toc27372 \h </w:instrText>
      </w:r>
      <w:r>
        <w:fldChar w:fldCharType="separate"/>
      </w:r>
      <w:r>
        <w:t>200</w:t>
      </w:r>
      <w:r>
        <w:fldChar w:fldCharType="end"/>
      </w:r>
      <w:r>
        <w:fldChar w:fldCharType="end"/>
      </w:r>
    </w:p>
    <w:p>
      <w:pPr>
        <w:pStyle w:val="19"/>
        <w:tabs>
          <w:tab w:val="right" w:leader="dot" w:pos="8306"/>
        </w:tabs>
      </w:pPr>
      <w:r>
        <w:fldChar w:fldCharType="begin"/>
      </w:r>
      <w:r>
        <w:instrText xml:space="preserve"> HYPERLINK \l _Toc32625 </w:instrText>
      </w:r>
      <w:r>
        <w:fldChar w:fldCharType="separate"/>
      </w:r>
      <w:r>
        <w:rPr>
          <w:rFonts w:hint="eastAsia"/>
        </w:rPr>
        <w:t>5.2环境影响预测与评价</w:t>
      </w:r>
      <w:r>
        <w:tab/>
      </w:r>
      <w:r>
        <w:fldChar w:fldCharType="begin"/>
      </w:r>
      <w:r>
        <w:instrText xml:space="preserve"> PAGEREF _Toc32625 \h </w:instrText>
      </w:r>
      <w:r>
        <w:fldChar w:fldCharType="separate"/>
      </w:r>
      <w:r>
        <w:t>203</w:t>
      </w:r>
      <w:r>
        <w:fldChar w:fldCharType="end"/>
      </w:r>
      <w:r>
        <w:fldChar w:fldCharType="end"/>
      </w:r>
    </w:p>
    <w:p>
      <w:pPr>
        <w:pStyle w:val="14"/>
        <w:tabs>
          <w:tab w:val="right" w:leader="dot" w:pos="8306"/>
        </w:tabs>
      </w:pPr>
      <w:r>
        <w:fldChar w:fldCharType="begin"/>
      </w:r>
      <w:r>
        <w:instrText xml:space="preserve"> HYPERLINK \l _Toc31650 </w:instrText>
      </w:r>
      <w:r>
        <w:fldChar w:fldCharType="separate"/>
      </w:r>
      <w:r>
        <w:rPr>
          <w:rFonts w:hint="eastAsia"/>
          <w:lang w:val="en-US" w:eastAsia="zh-CN"/>
        </w:rPr>
        <w:t>5.2.1施工期环境影响分析</w:t>
      </w:r>
      <w:r>
        <w:tab/>
      </w:r>
      <w:r>
        <w:fldChar w:fldCharType="begin"/>
      </w:r>
      <w:r>
        <w:instrText xml:space="preserve"> PAGEREF _Toc31650 \h </w:instrText>
      </w:r>
      <w:r>
        <w:fldChar w:fldCharType="separate"/>
      </w:r>
      <w:r>
        <w:t>203</w:t>
      </w:r>
      <w:r>
        <w:fldChar w:fldCharType="end"/>
      </w:r>
      <w:r>
        <w:fldChar w:fldCharType="end"/>
      </w:r>
    </w:p>
    <w:p>
      <w:pPr>
        <w:pStyle w:val="14"/>
        <w:tabs>
          <w:tab w:val="right" w:leader="dot" w:pos="8306"/>
        </w:tabs>
      </w:pPr>
      <w:r>
        <w:fldChar w:fldCharType="begin"/>
      </w:r>
      <w:r>
        <w:instrText xml:space="preserve"> HYPERLINK \l _Toc5573 </w:instrText>
      </w:r>
      <w:r>
        <w:fldChar w:fldCharType="separate"/>
      </w:r>
      <w:r>
        <w:rPr>
          <w:rFonts w:hint="eastAsia"/>
          <w:lang w:val="en-US" w:eastAsia="zh-CN"/>
        </w:rPr>
        <w:t>5.2.2运营期环境影响分析</w:t>
      </w:r>
      <w:r>
        <w:tab/>
      </w:r>
      <w:r>
        <w:fldChar w:fldCharType="begin"/>
      </w:r>
      <w:r>
        <w:instrText xml:space="preserve"> PAGEREF _Toc5573 \h </w:instrText>
      </w:r>
      <w:r>
        <w:fldChar w:fldCharType="separate"/>
      </w:r>
      <w:r>
        <w:t>207</w:t>
      </w:r>
      <w:r>
        <w:fldChar w:fldCharType="end"/>
      </w:r>
      <w:r>
        <w:fldChar w:fldCharType="end"/>
      </w:r>
    </w:p>
    <w:p>
      <w:pPr>
        <w:pStyle w:val="14"/>
        <w:tabs>
          <w:tab w:val="right" w:leader="dot" w:pos="8306"/>
        </w:tabs>
      </w:pPr>
      <w:r>
        <w:fldChar w:fldCharType="begin"/>
      </w:r>
      <w:r>
        <w:instrText xml:space="preserve"> HYPERLINK \l _Toc10091 </w:instrText>
      </w:r>
      <w:r>
        <w:fldChar w:fldCharType="separate"/>
      </w:r>
      <w:r>
        <w:t>5.2.</w:t>
      </w:r>
      <w:r>
        <w:rPr>
          <w:rFonts w:hint="eastAsia"/>
          <w:lang w:val="en-US" w:eastAsia="zh-CN"/>
        </w:rPr>
        <w:t>2</w:t>
      </w:r>
      <w:r>
        <w:rPr>
          <w:rFonts w:hint="eastAsia"/>
        </w:rPr>
        <w:t>地下水环境影响预测与评价</w:t>
      </w:r>
      <w:r>
        <w:tab/>
      </w:r>
      <w:r>
        <w:fldChar w:fldCharType="begin"/>
      </w:r>
      <w:r>
        <w:instrText xml:space="preserve"> PAGEREF _Toc10091 \h </w:instrText>
      </w:r>
      <w:r>
        <w:fldChar w:fldCharType="separate"/>
      </w:r>
      <w:r>
        <w:t>216</w:t>
      </w:r>
      <w:r>
        <w:fldChar w:fldCharType="end"/>
      </w:r>
      <w:r>
        <w:fldChar w:fldCharType="end"/>
      </w:r>
    </w:p>
    <w:p>
      <w:pPr>
        <w:pStyle w:val="14"/>
        <w:tabs>
          <w:tab w:val="right" w:leader="dot" w:pos="8306"/>
        </w:tabs>
      </w:pPr>
      <w:r>
        <w:fldChar w:fldCharType="begin"/>
      </w:r>
      <w:r>
        <w:instrText xml:space="preserve"> HYPERLINK \l _Toc28087 </w:instrText>
      </w:r>
      <w:r>
        <w:fldChar w:fldCharType="separate"/>
      </w:r>
      <w:r>
        <w:rPr>
          <w:rFonts w:hint="eastAsia"/>
        </w:rPr>
        <w:t>5.2.</w:t>
      </w:r>
      <w:r>
        <w:rPr>
          <w:rFonts w:hint="eastAsia"/>
          <w:lang w:val="en-US" w:eastAsia="zh-CN"/>
        </w:rPr>
        <w:t>3</w:t>
      </w:r>
      <w:r>
        <w:rPr>
          <w:rFonts w:hint="eastAsia"/>
        </w:rPr>
        <w:t>生态环境影响分析</w:t>
      </w:r>
      <w:r>
        <w:tab/>
      </w:r>
      <w:r>
        <w:fldChar w:fldCharType="begin"/>
      </w:r>
      <w:r>
        <w:instrText xml:space="preserve"> PAGEREF _Toc28087 \h </w:instrText>
      </w:r>
      <w:r>
        <w:fldChar w:fldCharType="separate"/>
      </w:r>
      <w:r>
        <w:t>217</w:t>
      </w:r>
      <w:r>
        <w:fldChar w:fldCharType="end"/>
      </w:r>
      <w:r>
        <w:fldChar w:fldCharType="end"/>
      </w:r>
    </w:p>
    <w:p>
      <w:pPr>
        <w:pStyle w:val="14"/>
        <w:tabs>
          <w:tab w:val="right" w:leader="dot" w:pos="8306"/>
        </w:tabs>
      </w:pPr>
      <w:r>
        <w:fldChar w:fldCharType="begin"/>
      </w:r>
      <w:r>
        <w:instrText xml:space="preserve"> HYPERLINK \l _Toc5829 </w:instrText>
      </w:r>
      <w:r>
        <w:fldChar w:fldCharType="separate"/>
      </w:r>
      <w:r>
        <w:rPr>
          <w:rFonts w:hint="eastAsia"/>
        </w:rPr>
        <w:t>5.</w:t>
      </w:r>
      <w:r>
        <w:rPr>
          <w:rFonts w:hint="eastAsia"/>
          <w:lang w:val="en-US" w:eastAsia="zh-CN"/>
        </w:rPr>
        <w:t>2.4</w:t>
      </w:r>
      <w:r>
        <w:rPr>
          <w:rFonts w:hint="eastAsia"/>
        </w:rPr>
        <w:t>环境敏感区影响分析</w:t>
      </w:r>
      <w:r>
        <w:tab/>
      </w:r>
      <w:r>
        <w:fldChar w:fldCharType="begin"/>
      </w:r>
      <w:r>
        <w:instrText xml:space="preserve"> PAGEREF _Toc5829 \h </w:instrText>
      </w:r>
      <w:r>
        <w:fldChar w:fldCharType="separate"/>
      </w:r>
      <w:r>
        <w:t>221</w:t>
      </w:r>
      <w:r>
        <w:fldChar w:fldCharType="end"/>
      </w:r>
      <w:r>
        <w:fldChar w:fldCharType="end"/>
      </w:r>
    </w:p>
    <w:p>
      <w:pPr>
        <w:pStyle w:val="14"/>
        <w:tabs>
          <w:tab w:val="right" w:leader="dot" w:pos="8306"/>
        </w:tabs>
      </w:pPr>
      <w:r>
        <w:fldChar w:fldCharType="begin"/>
      </w:r>
      <w:r>
        <w:instrText xml:space="preserve"> HYPERLINK \l _Toc7866 </w:instrText>
      </w:r>
      <w:r>
        <w:fldChar w:fldCharType="separate"/>
      </w:r>
      <w:r>
        <w:rPr>
          <w:rFonts w:hint="eastAsia"/>
          <w:lang w:val="en-US" w:eastAsia="zh-CN"/>
        </w:rPr>
        <w:t>5.2.5</w:t>
      </w:r>
      <w:r>
        <w:rPr>
          <w:rFonts w:hint="eastAsia"/>
        </w:rPr>
        <w:t>环境风险分析</w:t>
      </w:r>
      <w:r>
        <w:tab/>
      </w:r>
      <w:r>
        <w:fldChar w:fldCharType="begin"/>
      </w:r>
      <w:r>
        <w:instrText xml:space="preserve"> PAGEREF _Toc7866 \h </w:instrText>
      </w:r>
      <w:r>
        <w:fldChar w:fldCharType="separate"/>
      </w:r>
      <w:r>
        <w:t>227</w:t>
      </w:r>
      <w:r>
        <w:fldChar w:fldCharType="end"/>
      </w:r>
      <w:r>
        <w:fldChar w:fldCharType="end"/>
      </w:r>
    </w:p>
    <w:p>
      <w:pPr>
        <w:pStyle w:val="14"/>
        <w:tabs>
          <w:tab w:val="right" w:leader="dot" w:pos="8306"/>
        </w:tabs>
      </w:pPr>
      <w:r>
        <w:fldChar w:fldCharType="begin"/>
      </w:r>
      <w:r>
        <w:instrText xml:space="preserve"> HYPERLINK \l _Toc22706 </w:instrText>
      </w:r>
      <w:r>
        <w:fldChar w:fldCharType="separate"/>
      </w:r>
      <w:r>
        <w:rPr>
          <w:rFonts w:hint="eastAsia"/>
        </w:rPr>
        <w:t>5.2.</w:t>
      </w:r>
      <w:r>
        <w:rPr>
          <w:rFonts w:hint="eastAsia"/>
          <w:lang w:val="en-US" w:eastAsia="zh-CN"/>
        </w:rPr>
        <w:t>5</w:t>
      </w:r>
      <w:r>
        <w:rPr>
          <w:rFonts w:hint="eastAsia"/>
        </w:rPr>
        <w:t>人群健康影响分析</w:t>
      </w:r>
      <w:r>
        <w:tab/>
      </w:r>
      <w:r>
        <w:fldChar w:fldCharType="begin"/>
      </w:r>
      <w:r>
        <w:instrText xml:space="preserve"> PAGEREF _Toc22706 \h </w:instrText>
      </w:r>
      <w:r>
        <w:fldChar w:fldCharType="separate"/>
      </w:r>
      <w:r>
        <w:t>229</w:t>
      </w:r>
      <w:r>
        <w:fldChar w:fldCharType="end"/>
      </w:r>
      <w:r>
        <w:fldChar w:fldCharType="end"/>
      </w:r>
    </w:p>
    <w:p>
      <w:pPr>
        <w:pStyle w:val="14"/>
        <w:tabs>
          <w:tab w:val="right" w:leader="dot" w:pos="8306"/>
        </w:tabs>
      </w:pPr>
      <w:r>
        <w:fldChar w:fldCharType="begin"/>
      </w:r>
      <w:r>
        <w:instrText xml:space="preserve"> HYPERLINK \l _Toc25519 </w:instrText>
      </w:r>
      <w:r>
        <w:fldChar w:fldCharType="separate"/>
      </w:r>
      <w:r>
        <w:rPr>
          <w:rFonts w:hint="eastAsia"/>
          <w:lang w:val="en-US" w:eastAsia="zh-CN"/>
        </w:rPr>
        <w:t>5.2.6</w:t>
      </w:r>
      <w:r>
        <w:rPr>
          <w:rFonts w:hint="eastAsia"/>
        </w:rPr>
        <w:t>规划对当地经济文化的影响分析</w:t>
      </w:r>
      <w:r>
        <w:tab/>
      </w:r>
      <w:r>
        <w:fldChar w:fldCharType="begin"/>
      </w:r>
      <w:r>
        <w:instrText xml:space="preserve"> PAGEREF _Toc25519 \h </w:instrText>
      </w:r>
      <w:r>
        <w:fldChar w:fldCharType="separate"/>
      </w:r>
      <w:r>
        <w:t>229</w:t>
      </w:r>
      <w:r>
        <w:fldChar w:fldCharType="end"/>
      </w:r>
      <w:r>
        <w:fldChar w:fldCharType="end"/>
      </w:r>
    </w:p>
    <w:p>
      <w:pPr>
        <w:pStyle w:val="19"/>
        <w:tabs>
          <w:tab w:val="right" w:leader="dot" w:pos="8306"/>
        </w:tabs>
      </w:pPr>
      <w:r>
        <w:fldChar w:fldCharType="begin"/>
      </w:r>
      <w:r>
        <w:instrText xml:space="preserve"> HYPERLINK \l _Toc19641 </w:instrText>
      </w:r>
      <w:r>
        <w:fldChar w:fldCharType="separate"/>
      </w:r>
      <w:r>
        <w:rPr>
          <w:rFonts w:hint="eastAsia"/>
          <w:lang w:val="en-US" w:eastAsia="zh-CN"/>
        </w:rPr>
        <w:t>5.3</w:t>
      </w:r>
      <w:r>
        <w:rPr>
          <w:rFonts w:hint="eastAsia"/>
        </w:rPr>
        <w:t>资源与环境承载力评估</w:t>
      </w:r>
      <w:r>
        <w:tab/>
      </w:r>
      <w:r>
        <w:fldChar w:fldCharType="begin"/>
      </w:r>
      <w:r>
        <w:instrText xml:space="preserve"> PAGEREF _Toc19641 \h </w:instrText>
      </w:r>
      <w:r>
        <w:fldChar w:fldCharType="separate"/>
      </w:r>
      <w:r>
        <w:t>232</w:t>
      </w:r>
      <w:r>
        <w:fldChar w:fldCharType="end"/>
      </w:r>
      <w:r>
        <w:fldChar w:fldCharType="end"/>
      </w:r>
    </w:p>
    <w:p>
      <w:pPr>
        <w:pStyle w:val="14"/>
        <w:tabs>
          <w:tab w:val="right" w:leader="dot" w:pos="8306"/>
        </w:tabs>
      </w:pPr>
      <w:r>
        <w:fldChar w:fldCharType="begin"/>
      </w:r>
      <w:r>
        <w:instrText xml:space="preserve"> HYPERLINK \l _Toc5516 </w:instrText>
      </w:r>
      <w:r>
        <w:fldChar w:fldCharType="separate"/>
      </w:r>
      <w:r>
        <w:rPr>
          <w:rFonts w:hint="eastAsia"/>
        </w:rPr>
        <w:t>5.3.1资源承载力状态评估</w:t>
      </w:r>
      <w:r>
        <w:tab/>
      </w:r>
      <w:r>
        <w:fldChar w:fldCharType="begin"/>
      </w:r>
      <w:r>
        <w:instrText xml:space="preserve"> PAGEREF _Toc5516 \h </w:instrText>
      </w:r>
      <w:r>
        <w:fldChar w:fldCharType="separate"/>
      </w:r>
      <w:r>
        <w:t>232</w:t>
      </w:r>
      <w:r>
        <w:fldChar w:fldCharType="end"/>
      </w:r>
      <w:r>
        <w:fldChar w:fldCharType="end"/>
      </w:r>
    </w:p>
    <w:p>
      <w:pPr>
        <w:pStyle w:val="14"/>
        <w:tabs>
          <w:tab w:val="right" w:leader="dot" w:pos="8306"/>
        </w:tabs>
      </w:pPr>
      <w:r>
        <w:fldChar w:fldCharType="begin"/>
      </w:r>
      <w:r>
        <w:instrText xml:space="preserve"> HYPERLINK \l _Toc2416 </w:instrText>
      </w:r>
      <w:r>
        <w:fldChar w:fldCharType="separate"/>
      </w:r>
      <w:r>
        <w:rPr>
          <w:rFonts w:hint="eastAsia"/>
        </w:rPr>
        <w:t>5.3.2环境承载状态评估</w:t>
      </w:r>
      <w:r>
        <w:tab/>
      </w:r>
      <w:r>
        <w:fldChar w:fldCharType="begin"/>
      </w:r>
      <w:r>
        <w:instrText xml:space="preserve"> PAGEREF _Toc2416 \h </w:instrText>
      </w:r>
      <w:r>
        <w:fldChar w:fldCharType="separate"/>
      </w:r>
      <w:r>
        <w:t>235</w:t>
      </w:r>
      <w:r>
        <w:fldChar w:fldCharType="end"/>
      </w:r>
      <w:r>
        <w:fldChar w:fldCharType="end"/>
      </w:r>
    </w:p>
    <w:p>
      <w:pPr>
        <w:pStyle w:val="19"/>
        <w:tabs>
          <w:tab w:val="right" w:leader="dot" w:pos="8306"/>
        </w:tabs>
      </w:pPr>
      <w:r>
        <w:fldChar w:fldCharType="begin"/>
      </w:r>
      <w:r>
        <w:instrText xml:space="preserve"> HYPERLINK \l _Toc29724 </w:instrText>
      </w:r>
      <w:r>
        <w:fldChar w:fldCharType="separate"/>
      </w:r>
      <w:r>
        <w:rPr>
          <w:rFonts w:hint="eastAsia"/>
          <w:highlight w:val="none"/>
        </w:rPr>
        <w:t>5.</w:t>
      </w:r>
      <w:r>
        <w:rPr>
          <w:rFonts w:hint="eastAsia"/>
          <w:highlight w:val="none"/>
          <w:lang w:val="en-US" w:eastAsia="zh-CN"/>
        </w:rPr>
        <w:t>4</w:t>
      </w:r>
      <w:r>
        <w:rPr>
          <w:rFonts w:hint="eastAsia"/>
          <w:highlight w:val="none"/>
        </w:rPr>
        <w:t>碳排放估算</w:t>
      </w:r>
      <w:r>
        <w:tab/>
      </w:r>
      <w:r>
        <w:fldChar w:fldCharType="begin"/>
      </w:r>
      <w:r>
        <w:instrText xml:space="preserve"> PAGEREF _Toc29724 \h </w:instrText>
      </w:r>
      <w:r>
        <w:fldChar w:fldCharType="separate"/>
      </w:r>
      <w:r>
        <w:t>240</w:t>
      </w:r>
      <w:r>
        <w:fldChar w:fldCharType="end"/>
      </w:r>
      <w:r>
        <w:fldChar w:fldCharType="end"/>
      </w:r>
    </w:p>
    <w:p>
      <w:pPr>
        <w:pStyle w:val="14"/>
        <w:tabs>
          <w:tab w:val="right" w:leader="dot" w:pos="8306"/>
        </w:tabs>
      </w:pPr>
      <w:r>
        <w:fldChar w:fldCharType="begin"/>
      </w:r>
      <w:r>
        <w:instrText xml:space="preserve"> HYPERLINK \l _Toc3264 </w:instrText>
      </w:r>
      <w:r>
        <w:fldChar w:fldCharType="separate"/>
      </w:r>
      <w:r>
        <w:rPr>
          <w:rFonts w:hint="eastAsia"/>
          <w:highlight w:val="none"/>
        </w:rPr>
        <w:t>5.</w:t>
      </w:r>
      <w:r>
        <w:rPr>
          <w:rFonts w:hint="eastAsia"/>
          <w:highlight w:val="none"/>
          <w:lang w:val="en-US" w:eastAsia="zh-CN"/>
        </w:rPr>
        <w:t>4</w:t>
      </w:r>
      <w:r>
        <w:rPr>
          <w:rFonts w:hint="eastAsia"/>
          <w:highlight w:val="none"/>
        </w:rPr>
        <w:t>.1旅游业碳排放</w:t>
      </w:r>
      <w:r>
        <w:tab/>
      </w:r>
      <w:r>
        <w:fldChar w:fldCharType="begin"/>
      </w:r>
      <w:r>
        <w:instrText xml:space="preserve"> PAGEREF _Toc3264 \h </w:instrText>
      </w:r>
      <w:r>
        <w:fldChar w:fldCharType="separate"/>
      </w:r>
      <w:r>
        <w:t>240</w:t>
      </w:r>
      <w:r>
        <w:fldChar w:fldCharType="end"/>
      </w:r>
      <w:r>
        <w:fldChar w:fldCharType="end"/>
      </w:r>
    </w:p>
    <w:p>
      <w:pPr>
        <w:pStyle w:val="14"/>
        <w:tabs>
          <w:tab w:val="right" w:leader="dot" w:pos="8306"/>
        </w:tabs>
      </w:pPr>
      <w:r>
        <w:fldChar w:fldCharType="begin"/>
      </w:r>
      <w:r>
        <w:instrText xml:space="preserve"> HYPERLINK \l _Toc30149 </w:instrText>
      </w:r>
      <w:r>
        <w:fldChar w:fldCharType="separate"/>
      </w:r>
      <w:r>
        <w:rPr>
          <w:rFonts w:hint="eastAsia"/>
          <w:highlight w:val="none"/>
        </w:rPr>
        <w:t>5.</w:t>
      </w:r>
      <w:r>
        <w:rPr>
          <w:rFonts w:hint="eastAsia"/>
          <w:highlight w:val="none"/>
          <w:lang w:val="en-US" w:eastAsia="zh-CN"/>
        </w:rPr>
        <w:t>4</w:t>
      </w:r>
      <w:r>
        <w:rPr>
          <w:rFonts w:hint="eastAsia"/>
          <w:highlight w:val="none"/>
        </w:rPr>
        <w:t>.2碳排放估算</w:t>
      </w:r>
      <w:r>
        <w:tab/>
      </w:r>
      <w:r>
        <w:fldChar w:fldCharType="begin"/>
      </w:r>
      <w:r>
        <w:instrText xml:space="preserve"> PAGEREF _Toc30149 \h </w:instrText>
      </w:r>
      <w:r>
        <w:fldChar w:fldCharType="separate"/>
      </w:r>
      <w:r>
        <w:t>241</w:t>
      </w:r>
      <w:r>
        <w:fldChar w:fldCharType="end"/>
      </w:r>
      <w:r>
        <w:fldChar w:fldCharType="end"/>
      </w:r>
    </w:p>
    <w:p>
      <w:pPr>
        <w:pStyle w:val="14"/>
        <w:tabs>
          <w:tab w:val="right" w:leader="dot" w:pos="8306"/>
        </w:tabs>
      </w:pPr>
      <w:r>
        <w:fldChar w:fldCharType="begin"/>
      </w:r>
      <w:r>
        <w:instrText xml:space="preserve"> HYPERLINK \l _Toc11030 </w:instrText>
      </w:r>
      <w:r>
        <w:fldChar w:fldCharType="separate"/>
      </w:r>
      <w:r>
        <w:rPr>
          <w:rFonts w:hint="eastAsia"/>
          <w:highlight w:val="none"/>
        </w:rPr>
        <w:t>5.</w:t>
      </w:r>
      <w:r>
        <w:rPr>
          <w:rFonts w:hint="eastAsia"/>
          <w:highlight w:val="none"/>
          <w:lang w:val="en-US" w:eastAsia="zh-CN"/>
        </w:rPr>
        <w:t>4</w:t>
      </w:r>
      <w:r>
        <w:rPr>
          <w:rFonts w:hint="eastAsia"/>
          <w:highlight w:val="none"/>
        </w:rPr>
        <w:t>.3减少碳排放的途径</w:t>
      </w:r>
      <w:r>
        <w:tab/>
      </w:r>
      <w:r>
        <w:fldChar w:fldCharType="begin"/>
      </w:r>
      <w:r>
        <w:instrText xml:space="preserve"> PAGEREF _Toc11030 \h </w:instrText>
      </w:r>
      <w:r>
        <w:fldChar w:fldCharType="separate"/>
      </w:r>
      <w:r>
        <w:t>242</w:t>
      </w:r>
      <w:r>
        <w:fldChar w:fldCharType="end"/>
      </w:r>
      <w:r>
        <w:fldChar w:fldCharType="end"/>
      </w:r>
    </w:p>
    <w:p>
      <w:pPr>
        <w:pStyle w:val="19"/>
        <w:tabs>
          <w:tab w:val="right" w:leader="dot" w:pos="8306"/>
        </w:tabs>
      </w:pPr>
      <w:r>
        <w:fldChar w:fldCharType="begin"/>
      </w:r>
      <w:r>
        <w:instrText xml:space="preserve"> HYPERLINK \l _Toc24184 </w:instrText>
      </w:r>
      <w:r>
        <w:fldChar w:fldCharType="separate"/>
      </w:r>
      <w:r>
        <w:rPr>
          <w:rFonts w:hint="eastAsia"/>
          <w:highlight w:val="none"/>
        </w:rPr>
        <w:t>5.</w:t>
      </w:r>
      <w:r>
        <w:rPr>
          <w:rFonts w:hint="eastAsia"/>
          <w:highlight w:val="none"/>
          <w:lang w:val="en-US" w:eastAsia="zh-CN"/>
        </w:rPr>
        <w:t>5</w:t>
      </w:r>
      <w:r>
        <w:rPr>
          <w:rFonts w:hint="eastAsia"/>
          <w:highlight w:val="none"/>
        </w:rPr>
        <w:t>积累环境影响分析</w:t>
      </w:r>
      <w:r>
        <w:tab/>
      </w:r>
      <w:r>
        <w:fldChar w:fldCharType="begin"/>
      </w:r>
      <w:r>
        <w:instrText xml:space="preserve"> PAGEREF _Toc24184 \h </w:instrText>
      </w:r>
      <w:r>
        <w:fldChar w:fldCharType="separate"/>
      </w:r>
      <w:r>
        <w:t>244</w:t>
      </w:r>
      <w:r>
        <w:fldChar w:fldCharType="end"/>
      </w:r>
      <w:r>
        <w:fldChar w:fldCharType="end"/>
      </w:r>
    </w:p>
    <w:p>
      <w:pPr>
        <w:pStyle w:val="14"/>
        <w:tabs>
          <w:tab w:val="right" w:leader="dot" w:pos="8306"/>
        </w:tabs>
      </w:pPr>
      <w:r>
        <w:fldChar w:fldCharType="begin"/>
      </w:r>
      <w:r>
        <w:instrText xml:space="preserve"> HYPERLINK \l _Toc7428 </w:instrText>
      </w:r>
      <w:r>
        <w:fldChar w:fldCharType="separate"/>
      </w:r>
      <w:r>
        <w:rPr>
          <w:rFonts w:hint="eastAsia"/>
          <w:highlight w:val="none"/>
        </w:rPr>
        <w:t>5.</w:t>
      </w:r>
      <w:r>
        <w:rPr>
          <w:rFonts w:hint="eastAsia"/>
          <w:highlight w:val="none"/>
          <w:lang w:val="en-US" w:eastAsia="zh-CN"/>
        </w:rPr>
        <w:t>5</w:t>
      </w:r>
      <w:r>
        <w:rPr>
          <w:rFonts w:hint="eastAsia"/>
          <w:highlight w:val="none"/>
        </w:rPr>
        <w:t>.1</w:t>
      </w:r>
      <w:r>
        <w:rPr>
          <w:highlight w:val="none"/>
        </w:rPr>
        <w:t>累积环境影响内涵</w:t>
      </w:r>
      <w:r>
        <w:tab/>
      </w:r>
      <w:r>
        <w:fldChar w:fldCharType="begin"/>
      </w:r>
      <w:r>
        <w:instrText xml:space="preserve"> PAGEREF _Toc7428 \h </w:instrText>
      </w:r>
      <w:r>
        <w:fldChar w:fldCharType="separate"/>
      </w:r>
      <w:r>
        <w:t>244</w:t>
      </w:r>
      <w:r>
        <w:fldChar w:fldCharType="end"/>
      </w:r>
      <w:r>
        <w:fldChar w:fldCharType="end"/>
      </w:r>
    </w:p>
    <w:p>
      <w:pPr>
        <w:pStyle w:val="14"/>
        <w:tabs>
          <w:tab w:val="right" w:leader="dot" w:pos="8306"/>
        </w:tabs>
      </w:pPr>
      <w:r>
        <w:fldChar w:fldCharType="begin"/>
      </w:r>
      <w:r>
        <w:instrText xml:space="preserve"> HYPERLINK \l _Toc7995 </w:instrText>
      </w:r>
      <w:r>
        <w:fldChar w:fldCharType="separate"/>
      </w:r>
      <w:r>
        <w:rPr>
          <w:rFonts w:hint="eastAsia"/>
          <w:highlight w:val="none"/>
        </w:rPr>
        <w:t>5.</w:t>
      </w:r>
      <w:r>
        <w:rPr>
          <w:rFonts w:hint="eastAsia"/>
          <w:highlight w:val="none"/>
          <w:lang w:val="en-US" w:eastAsia="zh-CN"/>
        </w:rPr>
        <w:t>5</w:t>
      </w:r>
      <w:r>
        <w:rPr>
          <w:rFonts w:hint="eastAsia"/>
          <w:highlight w:val="none"/>
        </w:rPr>
        <w:t>.2</w:t>
      </w:r>
      <w:r>
        <w:rPr>
          <w:highlight w:val="none"/>
        </w:rPr>
        <w:t>累积环境影响因子识别</w:t>
      </w:r>
      <w:r>
        <w:tab/>
      </w:r>
      <w:r>
        <w:fldChar w:fldCharType="begin"/>
      </w:r>
      <w:r>
        <w:instrText xml:space="preserve"> PAGEREF _Toc7995 \h </w:instrText>
      </w:r>
      <w:r>
        <w:fldChar w:fldCharType="separate"/>
      </w:r>
      <w:r>
        <w:t>245</w:t>
      </w:r>
      <w:r>
        <w:fldChar w:fldCharType="end"/>
      </w:r>
      <w:r>
        <w:fldChar w:fldCharType="end"/>
      </w:r>
    </w:p>
    <w:p>
      <w:pPr>
        <w:pStyle w:val="14"/>
        <w:tabs>
          <w:tab w:val="right" w:leader="dot" w:pos="8306"/>
        </w:tabs>
      </w:pPr>
      <w:r>
        <w:fldChar w:fldCharType="begin"/>
      </w:r>
      <w:r>
        <w:instrText xml:space="preserve"> HYPERLINK \l _Toc18224 </w:instrText>
      </w:r>
      <w:r>
        <w:fldChar w:fldCharType="separate"/>
      </w:r>
      <w:r>
        <w:rPr>
          <w:highlight w:val="none"/>
        </w:rPr>
        <w:t>5.</w:t>
      </w:r>
      <w:r>
        <w:rPr>
          <w:rFonts w:hint="eastAsia"/>
          <w:highlight w:val="none"/>
          <w:lang w:val="en-US" w:eastAsia="zh-CN"/>
        </w:rPr>
        <w:t>5</w:t>
      </w:r>
      <w:r>
        <w:rPr>
          <w:highlight w:val="none"/>
        </w:rPr>
        <w:t>.3累积环境影响评价</w:t>
      </w:r>
      <w:r>
        <w:tab/>
      </w:r>
      <w:r>
        <w:fldChar w:fldCharType="begin"/>
      </w:r>
      <w:r>
        <w:instrText xml:space="preserve"> PAGEREF _Toc18224 \h </w:instrText>
      </w:r>
      <w:r>
        <w:fldChar w:fldCharType="separate"/>
      </w:r>
      <w:r>
        <w:t>245</w:t>
      </w:r>
      <w:r>
        <w:fldChar w:fldCharType="end"/>
      </w:r>
      <w:r>
        <w:fldChar w:fldCharType="end"/>
      </w:r>
    </w:p>
    <w:p>
      <w:pPr>
        <w:pStyle w:val="14"/>
        <w:tabs>
          <w:tab w:val="right" w:leader="dot" w:pos="8306"/>
        </w:tabs>
      </w:pPr>
      <w:r>
        <w:fldChar w:fldCharType="begin"/>
      </w:r>
      <w:r>
        <w:instrText xml:space="preserve"> HYPERLINK \l _Toc19184 </w:instrText>
      </w:r>
      <w:r>
        <w:fldChar w:fldCharType="separate"/>
      </w:r>
      <w:r>
        <w:rPr>
          <w:rFonts w:hint="eastAsia"/>
          <w:highlight w:val="none"/>
        </w:rPr>
        <w:t>5.</w:t>
      </w:r>
      <w:r>
        <w:rPr>
          <w:rFonts w:hint="eastAsia"/>
          <w:highlight w:val="none"/>
          <w:lang w:val="en-US" w:eastAsia="zh-CN"/>
        </w:rPr>
        <w:t>5</w:t>
      </w:r>
      <w:r>
        <w:rPr>
          <w:rFonts w:hint="eastAsia"/>
          <w:highlight w:val="none"/>
        </w:rPr>
        <w:t>.4对策及建议</w:t>
      </w:r>
      <w:r>
        <w:tab/>
      </w:r>
      <w:r>
        <w:fldChar w:fldCharType="begin"/>
      </w:r>
      <w:r>
        <w:instrText xml:space="preserve"> PAGEREF _Toc19184 \h </w:instrText>
      </w:r>
      <w:r>
        <w:fldChar w:fldCharType="separate"/>
      </w:r>
      <w:r>
        <w:t>246</w:t>
      </w:r>
      <w:r>
        <w:fldChar w:fldCharType="end"/>
      </w:r>
      <w:r>
        <w:fldChar w:fldCharType="end"/>
      </w:r>
    </w:p>
    <w:p>
      <w:pPr>
        <w:pStyle w:val="14"/>
        <w:tabs>
          <w:tab w:val="right" w:leader="dot" w:pos="8306"/>
        </w:tabs>
      </w:pPr>
      <w:r>
        <w:fldChar w:fldCharType="begin"/>
      </w:r>
      <w:r>
        <w:instrText xml:space="preserve"> HYPERLINK \l _Toc30342 </w:instrText>
      </w:r>
      <w:r>
        <w:fldChar w:fldCharType="separate"/>
      </w:r>
      <w:r>
        <w:rPr>
          <w:rFonts w:hint="eastAsia"/>
          <w:highlight w:val="none"/>
        </w:rPr>
        <w:t>5</w:t>
      </w:r>
      <w:r>
        <w:rPr>
          <w:rFonts w:hint="eastAsia"/>
          <w:highlight w:val="none"/>
          <w:lang w:val="en-US" w:eastAsia="zh-CN"/>
        </w:rPr>
        <w:t>.5.5</w:t>
      </w:r>
      <w:r>
        <w:rPr>
          <w:rFonts w:hint="eastAsia"/>
          <w:highlight w:val="none"/>
        </w:rPr>
        <w:t>遇到的困难</w:t>
      </w:r>
      <w:r>
        <w:tab/>
      </w:r>
      <w:r>
        <w:fldChar w:fldCharType="begin"/>
      </w:r>
      <w:r>
        <w:instrText xml:space="preserve"> PAGEREF _Toc30342 \h </w:instrText>
      </w:r>
      <w:r>
        <w:fldChar w:fldCharType="separate"/>
      </w:r>
      <w:r>
        <w:t>246</w:t>
      </w:r>
      <w:r>
        <w:fldChar w:fldCharType="end"/>
      </w:r>
      <w:r>
        <w:fldChar w:fldCharType="end"/>
      </w:r>
    </w:p>
    <w:p>
      <w:pPr>
        <w:pStyle w:val="18"/>
        <w:tabs>
          <w:tab w:val="right" w:leader="dot" w:pos="8306"/>
        </w:tabs>
      </w:pPr>
      <w:r>
        <w:fldChar w:fldCharType="begin"/>
      </w:r>
      <w:r>
        <w:instrText xml:space="preserve"> HYPERLINK \l _Toc4664 </w:instrText>
      </w:r>
      <w:r>
        <w:fldChar w:fldCharType="separate"/>
      </w:r>
      <w:r>
        <w:rPr>
          <w:rFonts w:hint="eastAsia"/>
          <w:highlight w:val="none"/>
          <w:lang w:val="en-US" w:eastAsia="zh-CN"/>
        </w:rPr>
        <w:t>6</w:t>
      </w:r>
      <w:r>
        <w:rPr>
          <w:rFonts w:hint="eastAsia"/>
          <w:highlight w:val="none"/>
        </w:rPr>
        <w:t>规划方案综合论证和优化调整建议</w:t>
      </w:r>
      <w:r>
        <w:tab/>
      </w:r>
      <w:r>
        <w:fldChar w:fldCharType="begin"/>
      </w:r>
      <w:r>
        <w:instrText xml:space="preserve"> PAGEREF _Toc4664 \h </w:instrText>
      </w:r>
      <w:r>
        <w:fldChar w:fldCharType="separate"/>
      </w:r>
      <w:r>
        <w:t>247</w:t>
      </w:r>
      <w:r>
        <w:fldChar w:fldCharType="end"/>
      </w:r>
      <w:r>
        <w:fldChar w:fldCharType="end"/>
      </w:r>
    </w:p>
    <w:p>
      <w:pPr>
        <w:pStyle w:val="19"/>
        <w:tabs>
          <w:tab w:val="right" w:leader="dot" w:pos="8306"/>
        </w:tabs>
      </w:pPr>
      <w:r>
        <w:fldChar w:fldCharType="begin"/>
      </w:r>
      <w:r>
        <w:instrText xml:space="preserve"> HYPERLINK \l _Toc23286 </w:instrText>
      </w:r>
      <w:r>
        <w:fldChar w:fldCharType="separate"/>
      </w:r>
      <w:r>
        <w:rPr>
          <w:rFonts w:hint="eastAsia"/>
          <w:lang w:val="en-US" w:eastAsia="zh-CN"/>
        </w:rPr>
        <w:t>6</w:t>
      </w:r>
      <w:r>
        <w:rPr>
          <w:rFonts w:hint="eastAsia"/>
        </w:rPr>
        <w:t>.1规划方案综合论证</w:t>
      </w:r>
      <w:r>
        <w:tab/>
      </w:r>
      <w:r>
        <w:fldChar w:fldCharType="begin"/>
      </w:r>
      <w:r>
        <w:instrText xml:space="preserve"> PAGEREF _Toc23286 \h </w:instrText>
      </w:r>
      <w:r>
        <w:fldChar w:fldCharType="separate"/>
      </w:r>
      <w:r>
        <w:t>247</w:t>
      </w:r>
      <w:r>
        <w:fldChar w:fldCharType="end"/>
      </w:r>
      <w:r>
        <w:fldChar w:fldCharType="end"/>
      </w:r>
    </w:p>
    <w:p>
      <w:pPr>
        <w:pStyle w:val="19"/>
        <w:tabs>
          <w:tab w:val="right" w:leader="dot" w:pos="8306"/>
        </w:tabs>
      </w:pPr>
      <w:r>
        <w:fldChar w:fldCharType="begin"/>
      </w:r>
      <w:r>
        <w:instrText xml:space="preserve"> HYPERLINK \l _Toc1967 </w:instrText>
      </w:r>
      <w:r>
        <w:fldChar w:fldCharType="separate"/>
      </w:r>
      <w:r>
        <w:rPr>
          <w:rFonts w:hint="eastAsia"/>
          <w:lang w:val="en-US" w:eastAsia="zh-CN"/>
        </w:rPr>
        <w:t>6.2</w:t>
      </w:r>
      <w:r>
        <w:rPr>
          <w:rFonts w:hint="eastAsia"/>
        </w:rPr>
        <w:t>规划方案的环境效益论证</w:t>
      </w:r>
      <w:r>
        <w:tab/>
      </w:r>
      <w:r>
        <w:fldChar w:fldCharType="begin"/>
      </w:r>
      <w:r>
        <w:instrText xml:space="preserve"> PAGEREF _Toc1967 \h </w:instrText>
      </w:r>
      <w:r>
        <w:fldChar w:fldCharType="separate"/>
      </w:r>
      <w:r>
        <w:t>249</w:t>
      </w:r>
      <w:r>
        <w:fldChar w:fldCharType="end"/>
      </w:r>
      <w:r>
        <w:fldChar w:fldCharType="end"/>
      </w:r>
    </w:p>
    <w:p>
      <w:pPr>
        <w:pStyle w:val="19"/>
        <w:tabs>
          <w:tab w:val="right" w:leader="dot" w:pos="8306"/>
        </w:tabs>
      </w:pPr>
      <w:r>
        <w:fldChar w:fldCharType="begin"/>
      </w:r>
      <w:r>
        <w:instrText xml:space="preserve"> HYPERLINK \l _Toc7511 </w:instrText>
      </w:r>
      <w:r>
        <w:fldChar w:fldCharType="separate"/>
      </w:r>
      <w:r>
        <w:rPr>
          <w:rFonts w:hint="eastAsia"/>
          <w:highlight w:val="none"/>
          <w:lang w:val="en-US" w:eastAsia="zh-CN"/>
        </w:rPr>
        <w:t>6</w:t>
      </w:r>
      <w:r>
        <w:rPr>
          <w:rFonts w:hint="eastAsia"/>
          <w:highlight w:val="none"/>
        </w:rPr>
        <w:t>.</w:t>
      </w:r>
      <w:r>
        <w:rPr>
          <w:rFonts w:hint="eastAsia"/>
          <w:highlight w:val="none"/>
          <w:lang w:val="en-US" w:eastAsia="zh-CN"/>
        </w:rPr>
        <w:t>3优化</w:t>
      </w:r>
      <w:r>
        <w:rPr>
          <w:highlight w:val="none"/>
        </w:rPr>
        <w:t>调整建议</w:t>
      </w:r>
      <w:r>
        <w:tab/>
      </w:r>
      <w:r>
        <w:fldChar w:fldCharType="begin"/>
      </w:r>
      <w:r>
        <w:instrText xml:space="preserve"> PAGEREF _Toc7511 \h </w:instrText>
      </w:r>
      <w:r>
        <w:fldChar w:fldCharType="separate"/>
      </w:r>
      <w:r>
        <w:t>250</w:t>
      </w:r>
      <w:r>
        <w:fldChar w:fldCharType="end"/>
      </w:r>
      <w:r>
        <w:fldChar w:fldCharType="end"/>
      </w:r>
    </w:p>
    <w:p>
      <w:pPr>
        <w:pStyle w:val="18"/>
        <w:tabs>
          <w:tab w:val="right" w:leader="dot" w:pos="8306"/>
        </w:tabs>
      </w:pPr>
      <w:r>
        <w:fldChar w:fldCharType="begin"/>
      </w:r>
      <w:r>
        <w:instrText xml:space="preserve"> HYPERLINK \l _Toc14039 </w:instrText>
      </w:r>
      <w:r>
        <w:fldChar w:fldCharType="separate"/>
      </w:r>
      <w:r>
        <w:rPr>
          <w:rFonts w:hint="eastAsia"/>
          <w:highlight w:val="none"/>
          <w:lang w:val="en-US" w:eastAsia="zh-CN"/>
        </w:rPr>
        <w:t>7</w:t>
      </w:r>
      <w:r>
        <w:rPr>
          <w:rFonts w:hint="eastAsia"/>
          <w:highlight w:val="none"/>
        </w:rPr>
        <w:t>环境影响减缓对策和措施</w:t>
      </w:r>
      <w:r>
        <w:tab/>
      </w:r>
      <w:r>
        <w:fldChar w:fldCharType="begin"/>
      </w:r>
      <w:r>
        <w:instrText xml:space="preserve"> PAGEREF _Toc14039 \h </w:instrText>
      </w:r>
      <w:r>
        <w:fldChar w:fldCharType="separate"/>
      </w:r>
      <w:r>
        <w:t>254</w:t>
      </w:r>
      <w:r>
        <w:fldChar w:fldCharType="end"/>
      </w:r>
      <w:r>
        <w:fldChar w:fldCharType="end"/>
      </w:r>
    </w:p>
    <w:p>
      <w:pPr>
        <w:pStyle w:val="19"/>
        <w:tabs>
          <w:tab w:val="right" w:leader="dot" w:pos="8306"/>
        </w:tabs>
      </w:pPr>
      <w:r>
        <w:fldChar w:fldCharType="begin"/>
      </w:r>
      <w:r>
        <w:instrText xml:space="preserve"> HYPERLINK \l _Toc4382 </w:instrText>
      </w:r>
      <w:r>
        <w:fldChar w:fldCharType="separate"/>
      </w:r>
      <w:r>
        <w:rPr>
          <w:rFonts w:hint="eastAsia"/>
          <w:highlight w:val="none"/>
          <w:lang w:val="en-US" w:eastAsia="zh-CN"/>
        </w:rPr>
        <w:t>7</w:t>
      </w:r>
      <w:r>
        <w:rPr>
          <w:rFonts w:hint="eastAsia"/>
          <w:highlight w:val="none"/>
        </w:rPr>
        <w:t>.1空间约束要求</w:t>
      </w:r>
      <w:r>
        <w:tab/>
      </w:r>
      <w:r>
        <w:fldChar w:fldCharType="begin"/>
      </w:r>
      <w:r>
        <w:instrText xml:space="preserve"> PAGEREF _Toc4382 \h </w:instrText>
      </w:r>
      <w:r>
        <w:fldChar w:fldCharType="separate"/>
      </w:r>
      <w:r>
        <w:t>254</w:t>
      </w:r>
      <w:r>
        <w:fldChar w:fldCharType="end"/>
      </w:r>
      <w:r>
        <w:fldChar w:fldCharType="end"/>
      </w:r>
    </w:p>
    <w:p>
      <w:pPr>
        <w:pStyle w:val="19"/>
        <w:tabs>
          <w:tab w:val="right" w:leader="dot" w:pos="8306"/>
        </w:tabs>
      </w:pPr>
      <w:r>
        <w:fldChar w:fldCharType="begin"/>
      </w:r>
      <w:r>
        <w:instrText xml:space="preserve"> HYPERLINK \l _Toc11103 </w:instrText>
      </w:r>
      <w:r>
        <w:fldChar w:fldCharType="separate"/>
      </w:r>
      <w:r>
        <w:rPr>
          <w:rFonts w:hint="eastAsia"/>
          <w:highlight w:val="none"/>
          <w:lang w:val="en-US" w:eastAsia="zh-CN"/>
        </w:rPr>
        <w:t>7</w:t>
      </w:r>
      <w:r>
        <w:rPr>
          <w:rFonts w:hint="eastAsia"/>
          <w:highlight w:val="none"/>
        </w:rPr>
        <w:t>.2环境准入负面清单</w:t>
      </w:r>
      <w:r>
        <w:tab/>
      </w:r>
      <w:r>
        <w:fldChar w:fldCharType="begin"/>
      </w:r>
      <w:r>
        <w:instrText xml:space="preserve"> PAGEREF _Toc11103 \h </w:instrText>
      </w:r>
      <w:r>
        <w:fldChar w:fldCharType="separate"/>
      </w:r>
      <w:r>
        <w:t>255</w:t>
      </w:r>
      <w:r>
        <w:fldChar w:fldCharType="end"/>
      </w:r>
      <w:r>
        <w:fldChar w:fldCharType="end"/>
      </w:r>
    </w:p>
    <w:p>
      <w:pPr>
        <w:pStyle w:val="19"/>
        <w:tabs>
          <w:tab w:val="right" w:leader="dot" w:pos="8306"/>
        </w:tabs>
      </w:pPr>
      <w:r>
        <w:fldChar w:fldCharType="begin"/>
      </w:r>
      <w:r>
        <w:instrText xml:space="preserve"> HYPERLINK \l _Toc18698 </w:instrText>
      </w:r>
      <w:r>
        <w:fldChar w:fldCharType="separate"/>
      </w:r>
      <w:r>
        <w:rPr>
          <w:rFonts w:hint="eastAsia"/>
          <w:highlight w:val="none"/>
          <w:lang w:val="en-US" w:eastAsia="zh-CN"/>
        </w:rPr>
        <w:t>7</w:t>
      </w:r>
      <w:r>
        <w:rPr>
          <w:rFonts w:hint="eastAsia"/>
          <w:highlight w:val="none"/>
        </w:rPr>
        <w:t>.3环境污染防治措施</w:t>
      </w:r>
      <w:r>
        <w:tab/>
      </w:r>
      <w:r>
        <w:fldChar w:fldCharType="begin"/>
      </w:r>
      <w:r>
        <w:instrText xml:space="preserve"> PAGEREF _Toc18698 \h </w:instrText>
      </w:r>
      <w:r>
        <w:fldChar w:fldCharType="separate"/>
      </w:r>
      <w:r>
        <w:t>255</w:t>
      </w:r>
      <w:r>
        <w:fldChar w:fldCharType="end"/>
      </w:r>
      <w:r>
        <w:fldChar w:fldCharType="end"/>
      </w:r>
    </w:p>
    <w:p>
      <w:pPr>
        <w:pStyle w:val="14"/>
        <w:tabs>
          <w:tab w:val="right" w:leader="dot" w:pos="8306"/>
        </w:tabs>
      </w:pPr>
      <w:r>
        <w:fldChar w:fldCharType="begin"/>
      </w:r>
      <w:r>
        <w:instrText xml:space="preserve"> HYPERLINK \l _Toc13233 </w:instrText>
      </w:r>
      <w:r>
        <w:fldChar w:fldCharType="separate"/>
      </w:r>
      <w:r>
        <w:rPr>
          <w:rFonts w:hint="eastAsia"/>
          <w:lang w:val="en-US" w:eastAsia="zh-CN"/>
        </w:rPr>
        <w:t>7.3.1施工期</w:t>
      </w:r>
      <w:r>
        <w:tab/>
      </w:r>
      <w:r>
        <w:fldChar w:fldCharType="begin"/>
      </w:r>
      <w:r>
        <w:instrText xml:space="preserve"> PAGEREF _Toc13233 \h </w:instrText>
      </w:r>
      <w:r>
        <w:fldChar w:fldCharType="separate"/>
      </w:r>
      <w:r>
        <w:t>255</w:t>
      </w:r>
      <w:r>
        <w:fldChar w:fldCharType="end"/>
      </w:r>
      <w:r>
        <w:fldChar w:fldCharType="end"/>
      </w:r>
    </w:p>
    <w:p>
      <w:pPr>
        <w:pStyle w:val="14"/>
        <w:tabs>
          <w:tab w:val="right" w:leader="dot" w:pos="8306"/>
        </w:tabs>
      </w:pPr>
      <w:r>
        <w:fldChar w:fldCharType="begin"/>
      </w:r>
      <w:r>
        <w:instrText xml:space="preserve"> HYPERLINK \l _Toc19957 </w:instrText>
      </w:r>
      <w:r>
        <w:fldChar w:fldCharType="separate"/>
      </w:r>
      <w:r>
        <w:rPr>
          <w:rFonts w:hint="eastAsia"/>
          <w:highlight w:val="none"/>
          <w:lang w:val="en-US" w:eastAsia="zh-CN"/>
        </w:rPr>
        <w:t>7</w:t>
      </w:r>
      <w:r>
        <w:rPr>
          <w:rFonts w:hint="eastAsia"/>
          <w:highlight w:val="none"/>
        </w:rPr>
        <w:t>.3.</w:t>
      </w:r>
      <w:r>
        <w:rPr>
          <w:rFonts w:hint="eastAsia"/>
          <w:highlight w:val="none"/>
          <w:lang w:val="en-US" w:eastAsia="zh-CN"/>
        </w:rPr>
        <w:t>2运营期污</w:t>
      </w:r>
      <w:r>
        <w:rPr>
          <w:highlight w:val="none"/>
        </w:rPr>
        <w:t>染防治措施</w:t>
      </w:r>
      <w:r>
        <w:tab/>
      </w:r>
      <w:r>
        <w:fldChar w:fldCharType="begin"/>
      </w:r>
      <w:r>
        <w:instrText xml:space="preserve"> PAGEREF _Toc19957 \h </w:instrText>
      </w:r>
      <w:r>
        <w:fldChar w:fldCharType="separate"/>
      </w:r>
      <w:r>
        <w:t>257</w:t>
      </w:r>
      <w:r>
        <w:fldChar w:fldCharType="end"/>
      </w:r>
      <w:r>
        <w:fldChar w:fldCharType="end"/>
      </w:r>
    </w:p>
    <w:p>
      <w:pPr>
        <w:pStyle w:val="14"/>
        <w:tabs>
          <w:tab w:val="right" w:leader="dot" w:pos="8306"/>
        </w:tabs>
      </w:pPr>
      <w:r>
        <w:fldChar w:fldCharType="begin"/>
      </w:r>
      <w:r>
        <w:instrText xml:space="preserve"> HYPERLINK \l _Toc16621 </w:instrText>
      </w:r>
      <w:r>
        <w:fldChar w:fldCharType="separate"/>
      </w:r>
      <w:r>
        <w:rPr>
          <w:rFonts w:hint="eastAsia"/>
        </w:rPr>
        <w:t>7.</w:t>
      </w:r>
      <w:r>
        <w:rPr>
          <w:rFonts w:hint="eastAsia"/>
          <w:lang w:val="en-US" w:eastAsia="zh-CN"/>
        </w:rPr>
        <w:t>3.3</w:t>
      </w:r>
      <w:r>
        <w:t>生态环境影响减缓措施</w:t>
      </w:r>
      <w:r>
        <w:tab/>
      </w:r>
      <w:r>
        <w:fldChar w:fldCharType="begin"/>
      </w:r>
      <w:r>
        <w:instrText xml:space="preserve"> PAGEREF _Toc16621 \h </w:instrText>
      </w:r>
      <w:r>
        <w:fldChar w:fldCharType="separate"/>
      </w:r>
      <w:r>
        <w:t>261</w:t>
      </w:r>
      <w:r>
        <w:fldChar w:fldCharType="end"/>
      </w:r>
      <w:r>
        <w:fldChar w:fldCharType="end"/>
      </w:r>
    </w:p>
    <w:p>
      <w:pPr>
        <w:pStyle w:val="14"/>
        <w:tabs>
          <w:tab w:val="right" w:leader="dot" w:pos="8306"/>
        </w:tabs>
      </w:pPr>
      <w:r>
        <w:fldChar w:fldCharType="begin"/>
      </w:r>
      <w:r>
        <w:instrText xml:space="preserve"> HYPERLINK \l _Toc29033 </w:instrText>
      </w:r>
      <w:r>
        <w:fldChar w:fldCharType="separate"/>
      </w:r>
      <w:r>
        <w:rPr>
          <w:rFonts w:hint="eastAsia"/>
          <w:highlight w:val="none"/>
          <w:lang w:val="en-US" w:eastAsia="zh-CN"/>
        </w:rPr>
        <w:t>7</w:t>
      </w:r>
      <w:r>
        <w:rPr>
          <w:rFonts w:hint="eastAsia"/>
          <w:highlight w:val="none"/>
        </w:rPr>
        <w:t>.3.</w:t>
      </w:r>
      <w:r>
        <w:rPr>
          <w:rFonts w:hint="eastAsia"/>
          <w:highlight w:val="none"/>
          <w:lang w:val="en-US" w:eastAsia="zh-CN"/>
        </w:rPr>
        <w:t>4</w:t>
      </w:r>
      <w:r>
        <w:rPr>
          <w:rFonts w:hint="eastAsia"/>
          <w:highlight w:val="none"/>
        </w:rPr>
        <w:t>重点自然资源保护措施</w:t>
      </w:r>
      <w:r>
        <w:tab/>
      </w:r>
      <w:r>
        <w:fldChar w:fldCharType="begin"/>
      </w:r>
      <w:r>
        <w:instrText xml:space="preserve"> PAGEREF _Toc29033 \h </w:instrText>
      </w:r>
      <w:r>
        <w:fldChar w:fldCharType="separate"/>
      </w:r>
      <w:r>
        <w:t>265</w:t>
      </w:r>
      <w:r>
        <w:fldChar w:fldCharType="end"/>
      </w:r>
      <w:r>
        <w:fldChar w:fldCharType="end"/>
      </w:r>
    </w:p>
    <w:p>
      <w:pPr>
        <w:pStyle w:val="18"/>
        <w:tabs>
          <w:tab w:val="right" w:leader="dot" w:pos="8306"/>
        </w:tabs>
      </w:pPr>
      <w:r>
        <w:fldChar w:fldCharType="begin"/>
      </w:r>
      <w:r>
        <w:instrText xml:space="preserve"> HYPERLINK \l _Toc6073 </w:instrText>
      </w:r>
      <w:r>
        <w:fldChar w:fldCharType="separate"/>
      </w:r>
      <w:r>
        <w:rPr>
          <w:rFonts w:hint="eastAsia"/>
          <w:lang w:val="en-US" w:eastAsia="zh-CN"/>
        </w:rPr>
        <w:t>8</w:t>
      </w:r>
      <w:r>
        <w:rPr>
          <w:rFonts w:hint="eastAsia"/>
        </w:rPr>
        <w:t>规划所包含建设项目环评要求</w:t>
      </w:r>
      <w:r>
        <w:tab/>
      </w:r>
      <w:r>
        <w:fldChar w:fldCharType="begin"/>
      </w:r>
      <w:r>
        <w:instrText xml:space="preserve"> PAGEREF _Toc6073 \h </w:instrText>
      </w:r>
      <w:r>
        <w:fldChar w:fldCharType="separate"/>
      </w:r>
      <w:r>
        <w:t>268</w:t>
      </w:r>
      <w:r>
        <w:fldChar w:fldCharType="end"/>
      </w:r>
      <w:r>
        <w:fldChar w:fldCharType="end"/>
      </w:r>
    </w:p>
    <w:p>
      <w:pPr>
        <w:pStyle w:val="19"/>
        <w:tabs>
          <w:tab w:val="right" w:leader="dot" w:pos="8306"/>
        </w:tabs>
      </w:pPr>
      <w:r>
        <w:fldChar w:fldCharType="begin"/>
      </w:r>
      <w:r>
        <w:instrText xml:space="preserve"> HYPERLINK \l _Toc16814 </w:instrText>
      </w:r>
      <w:r>
        <w:fldChar w:fldCharType="separate"/>
      </w:r>
      <w:r>
        <w:rPr>
          <w:rFonts w:hint="eastAsia"/>
        </w:rPr>
        <w:t>8.1与项目环评联动</w:t>
      </w:r>
      <w:r>
        <w:tab/>
      </w:r>
      <w:r>
        <w:fldChar w:fldCharType="begin"/>
      </w:r>
      <w:r>
        <w:instrText xml:space="preserve"> PAGEREF _Toc16814 \h </w:instrText>
      </w:r>
      <w:r>
        <w:fldChar w:fldCharType="separate"/>
      </w:r>
      <w:r>
        <w:t>268</w:t>
      </w:r>
      <w:r>
        <w:fldChar w:fldCharType="end"/>
      </w:r>
      <w:r>
        <w:fldChar w:fldCharType="end"/>
      </w:r>
    </w:p>
    <w:p>
      <w:pPr>
        <w:pStyle w:val="19"/>
        <w:tabs>
          <w:tab w:val="right" w:leader="dot" w:pos="8306"/>
        </w:tabs>
      </w:pPr>
      <w:r>
        <w:fldChar w:fldCharType="begin"/>
      </w:r>
      <w:r>
        <w:instrText xml:space="preserve"> HYPERLINK \l _Toc24717 </w:instrText>
      </w:r>
      <w:r>
        <w:fldChar w:fldCharType="separate"/>
      </w:r>
      <w:r>
        <w:rPr>
          <w:rFonts w:hint="eastAsia"/>
        </w:rPr>
        <w:t>8.2环评要求</w:t>
      </w:r>
      <w:r>
        <w:tab/>
      </w:r>
      <w:r>
        <w:fldChar w:fldCharType="begin"/>
      </w:r>
      <w:r>
        <w:instrText xml:space="preserve"> PAGEREF _Toc24717 \h </w:instrText>
      </w:r>
      <w:r>
        <w:fldChar w:fldCharType="separate"/>
      </w:r>
      <w:r>
        <w:t>268</w:t>
      </w:r>
      <w:r>
        <w:fldChar w:fldCharType="end"/>
      </w:r>
      <w:r>
        <w:fldChar w:fldCharType="end"/>
      </w:r>
    </w:p>
    <w:p>
      <w:pPr>
        <w:pStyle w:val="19"/>
        <w:tabs>
          <w:tab w:val="right" w:leader="dot" w:pos="8306"/>
        </w:tabs>
      </w:pPr>
      <w:r>
        <w:fldChar w:fldCharType="begin"/>
      </w:r>
      <w:r>
        <w:instrText xml:space="preserve"> HYPERLINK \l _Toc4967 </w:instrText>
      </w:r>
      <w:r>
        <w:fldChar w:fldCharType="separate"/>
      </w:r>
      <w:r>
        <w:rPr>
          <w:rFonts w:hint="eastAsia"/>
        </w:rPr>
        <w:t>8.3项目环评的重点内容和基本要求</w:t>
      </w:r>
      <w:r>
        <w:tab/>
      </w:r>
      <w:r>
        <w:fldChar w:fldCharType="begin"/>
      </w:r>
      <w:r>
        <w:instrText xml:space="preserve"> PAGEREF _Toc4967 \h </w:instrText>
      </w:r>
      <w:r>
        <w:fldChar w:fldCharType="separate"/>
      </w:r>
      <w:r>
        <w:t>268</w:t>
      </w:r>
      <w:r>
        <w:fldChar w:fldCharType="end"/>
      </w:r>
      <w:r>
        <w:fldChar w:fldCharType="end"/>
      </w:r>
    </w:p>
    <w:p>
      <w:pPr>
        <w:pStyle w:val="19"/>
        <w:tabs>
          <w:tab w:val="right" w:leader="dot" w:pos="8306"/>
        </w:tabs>
      </w:pPr>
      <w:r>
        <w:fldChar w:fldCharType="begin"/>
      </w:r>
      <w:r>
        <w:instrText xml:space="preserve"> HYPERLINK \l _Toc23397 </w:instrText>
      </w:r>
      <w:r>
        <w:fldChar w:fldCharType="separate"/>
      </w:r>
      <w:r>
        <w:rPr>
          <w:rFonts w:hint="eastAsia"/>
        </w:rPr>
        <w:t>8.4项目环评可简化内容</w:t>
      </w:r>
      <w:r>
        <w:tab/>
      </w:r>
      <w:r>
        <w:fldChar w:fldCharType="begin"/>
      </w:r>
      <w:r>
        <w:instrText xml:space="preserve"> PAGEREF _Toc23397 \h </w:instrText>
      </w:r>
      <w:r>
        <w:fldChar w:fldCharType="separate"/>
      </w:r>
      <w:r>
        <w:t>269</w:t>
      </w:r>
      <w:r>
        <w:fldChar w:fldCharType="end"/>
      </w:r>
      <w:r>
        <w:fldChar w:fldCharType="end"/>
      </w:r>
    </w:p>
    <w:p>
      <w:pPr>
        <w:pStyle w:val="18"/>
        <w:tabs>
          <w:tab w:val="right" w:leader="dot" w:pos="8306"/>
        </w:tabs>
      </w:pPr>
      <w:r>
        <w:fldChar w:fldCharType="begin"/>
      </w:r>
      <w:r>
        <w:instrText xml:space="preserve"> HYPERLINK \l _Toc29946 </w:instrText>
      </w:r>
      <w:r>
        <w:fldChar w:fldCharType="separate"/>
      </w:r>
      <w:r>
        <w:rPr>
          <w:rFonts w:hint="eastAsia"/>
          <w:highlight w:val="none"/>
        </w:rPr>
        <w:t>9环境影响跟踪评价计划</w:t>
      </w:r>
      <w:r>
        <w:tab/>
      </w:r>
      <w:r>
        <w:fldChar w:fldCharType="begin"/>
      </w:r>
      <w:r>
        <w:instrText xml:space="preserve"> PAGEREF _Toc29946 \h </w:instrText>
      </w:r>
      <w:r>
        <w:fldChar w:fldCharType="separate"/>
      </w:r>
      <w:r>
        <w:t>270</w:t>
      </w:r>
      <w:r>
        <w:fldChar w:fldCharType="end"/>
      </w:r>
      <w:r>
        <w:fldChar w:fldCharType="end"/>
      </w:r>
    </w:p>
    <w:p>
      <w:pPr>
        <w:pStyle w:val="19"/>
        <w:tabs>
          <w:tab w:val="right" w:leader="dot" w:pos="8306"/>
        </w:tabs>
      </w:pPr>
      <w:r>
        <w:fldChar w:fldCharType="begin"/>
      </w:r>
      <w:r>
        <w:instrText xml:space="preserve"> HYPERLINK \l _Toc23039 </w:instrText>
      </w:r>
      <w:r>
        <w:fldChar w:fldCharType="separate"/>
      </w:r>
      <w:r>
        <w:rPr>
          <w:rFonts w:hint="eastAsia"/>
          <w:lang w:val="en-US" w:eastAsia="zh-CN"/>
        </w:rPr>
        <w:t>9.1</w:t>
      </w:r>
      <w:r>
        <w:rPr>
          <w:rFonts w:hint="eastAsia"/>
        </w:rPr>
        <w:t>评价目的</w:t>
      </w:r>
      <w:r>
        <w:tab/>
      </w:r>
      <w:r>
        <w:fldChar w:fldCharType="begin"/>
      </w:r>
      <w:r>
        <w:instrText xml:space="preserve"> PAGEREF _Toc23039 \h </w:instrText>
      </w:r>
      <w:r>
        <w:fldChar w:fldCharType="separate"/>
      </w:r>
      <w:r>
        <w:t>270</w:t>
      </w:r>
      <w:r>
        <w:fldChar w:fldCharType="end"/>
      </w:r>
      <w:r>
        <w:fldChar w:fldCharType="end"/>
      </w:r>
    </w:p>
    <w:p>
      <w:pPr>
        <w:pStyle w:val="19"/>
        <w:tabs>
          <w:tab w:val="right" w:leader="dot" w:pos="8306"/>
        </w:tabs>
      </w:pPr>
      <w:r>
        <w:fldChar w:fldCharType="begin"/>
      </w:r>
      <w:r>
        <w:instrText xml:space="preserve"> HYPERLINK \l _Toc16982 </w:instrText>
      </w:r>
      <w:r>
        <w:fldChar w:fldCharType="separate"/>
      </w:r>
      <w:r>
        <w:rPr>
          <w:rFonts w:hint="eastAsia"/>
          <w:lang w:val="en-US" w:eastAsia="zh-CN"/>
        </w:rPr>
        <w:t>9.2</w:t>
      </w:r>
      <w:r>
        <w:rPr>
          <w:rFonts w:hint="eastAsia"/>
        </w:rPr>
        <w:t>评价重点</w:t>
      </w:r>
      <w:r>
        <w:tab/>
      </w:r>
      <w:r>
        <w:fldChar w:fldCharType="begin"/>
      </w:r>
      <w:r>
        <w:instrText xml:space="preserve"> PAGEREF _Toc16982 \h </w:instrText>
      </w:r>
      <w:r>
        <w:fldChar w:fldCharType="separate"/>
      </w:r>
      <w:r>
        <w:t>271</w:t>
      </w:r>
      <w:r>
        <w:fldChar w:fldCharType="end"/>
      </w:r>
      <w:r>
        <w:fldChar w:fldCharType="end"/>
      </w:r>
    </w:p>
    <w:p>
      <w:pPr>
        <w:pStyle w:val="19"/>
        <w:tabs>
          <w:tab w:val="right" w:leader="dot" w:pos="8306"/>
        </w:tabs>
      </w:pPr>
      <w:r>
        <w:fldChar w:fldCharType="begin"/>
      </w:r>
      <w:r>
        <w:instrText xml:space="preserve"> HYPERLINK \l _Toc32015 </w:instrText>
      </w:r>
      <w:r>
        <w:fldChar w:fldCharType="separate"/>
      </w:r>
      <w:r>
        <w:rPr>
          <w:rFonts w:hint="eastAsia"/>
          <w:lang w:val="en-US" w:eastAsia="zh-CN"/>
        </w:rPr>
        <w:t>9.3</w:t>
      </w:r>
      <w:r>
        <w:rPr>
          <w:rFonts w:hint="eastAsia"/>
        </w:rPr>
        <w:t>调查方法</w:t>
      </w:r>
      <w:r>
        <w:tab/>
      </w:r>
      <w:r>
        <w:fldChar w:fldCharType="begin"/>
      </w:r>
      <w:r>
        <w:instrText xml:space="preserve"> PAGEREF _Toc32015 \h </w:instrText>
      </w:r>
      <w:r>
        <w:fldChar w:fldCharType="separate"/>
      </w:r>
      <w:r>
        <w:t>271</w:t>
      </w:r>
      <w:r>
        <w:fldChar w:fldCharType="end"/>
      </w:r>
      <w:r>
        <w:fldChar w:fldCharType="end"/>
      </w:r>
    </w:p>
    <w:p>
      <w:pPr>
        <w:pStyle w:val="19"/>
        <w:tabs>
          <w:tab w:val="right" w:leader="dot" w:pos="8306"/>
        </w:tabs>
      </w:pPr>
      <w:r>
        <w:fldChar w:fldCharType="begin"/>
      </w:r>
      <w:r>
        <w:instrText xml:space="preserve"> HYPERLINK \l _Toc985 </w:instrText>
      </w:r>
      <w:r>
        <w:fldChar w:fldCharType="separate"/>
      </w:r>
      <w:r>
        <w:rPr>
          <w:rFonts w:hint="eastAsia"/>
          <w:lang w:val="en-US" w:eastAsia="zh-CN"/>
        </w:rPr>
        <w:t>9.4</w:t>
      </w:r>
      <w:r>
        <w:rPr>
          <w:rFonts w:hint="eastAsia"/>
        </w:rPr>
        <w:t>跟踪评价的时段</w:t>
      </w:r>
      <w:r>
        <w:tab/>
      </w:r>
      <w:r>
        <w:fldChar w:fldCharType="begin"/>
      </w:r>
      <w:r>
        <w:instrText xml:space="preserve"> PAGEREF _Toc985 \h </w:instrText>
      </w:r>
      <w:r>
        <w:fldChar w:fldCharType="separate"/>
      </w:r>
      <w:r>
        <w:t>272</w:t>
      </w:r>
      <w:r>
        <w:fldChar w:fldCharType="end"/>
      </w:r>
      <w:r>
        <w:fldChar w:fldCharType="end"/>
      </w:r>
    </w:p>
    <w:p>
      <w:pPr>
        <w:pStyle w:val="19"/>
        <w:tabs>
          <w:tab w:val="right" w:leader="dot" w:pos="8306"/>
        </w:tabs>
      </w:pPr>
      <w:r>
        <w:fldChar w:fldCharType="begin"/>
      </w:r>
      <w:r>
        <w:instrText xml:space="preserve"> HYPERLINK \l _Toc21520 </w:instrText>
      </w:r>
      <w:r>
        <w:fldChar w:fldCharType="separate"/>
      </w:r>
      <w:r>
        <w:rPr>
          <w:rFonts w:hint="eastAsia"/>
          <w:lang w:val="en-US" w:eastAsia="zh-CN"/>
        </w:rPr>
        <w:t>9.5</w:t>
      </w:r>
      <w:r>
        <w:rPr>
          <w:rFonts w:hint="eastAsia"/>
        </w:rPr>
        <w:t>评价内容</w:t>
      </w:r>
      <w:r>
        <w:tab/>
      </w:r>
      <w:r>
        <w:fldChar w:fldCharType="begin"/>
      </w:r>
      <w:r>
        <w:instrText xml:space="preserve"> PAGEREF _Toc21520 \h </w:instrText>
      </w:r>
      <w:r>
        <w:fldChar w:fldCharType="separate"/>
      </w:r>
      <w:r>
        <w:t>272</w:t>
      </w:r>
      <w:r>
        <w:fldChar w:fldCharType="end"/>
      </w:r>
      <w:r>
        <w:fldChar w:fldCharType="end"/>
      </w:r>
    </w:p>
    <w:p>
      <w:pPr>
        <w:pStyle w:val="19"/>
        <w:tabs>
          <w:tab w:val="right" w:leader="dot" w:pos="8306"/>
        </w:tabs>
      </w:pPr>
      <w:r>
        <w:fldChar w:fldCharType="begin"/>
      </w:r>
      <w:r>
        <w:instrText xml:space="preserve"> HYPERLINK \l _Toc22874 </w:instrText>
      </w:r>
      <w:r>
        <w:fldChar w:fldCharType="separate"/>
      </w:r>
      <w:r>
        <w:rPr>
          <w:rFonts w:hint="eastAsia"/>
          <w:lang w:val="en-US" w:eastAsia="zh-CN"/>
        </w:rPr>
        <w:t>9.6跟踪监测</w:t>
      </w:r>
      <w:r>
        <w:tab/>
      </w:r>
      <w:r>
        <w:fldChar w:fldCharType="begin"/>
      </w:r>
      <w:r>
        <w:instrText xml:space="preserve"> PAGEREF _Toc22874 \h </w:instrText>
      </w:r>
      <w:r>
        <w:fldChar w:fldCharType="separate"/>
      </w:r>
      <w:r>
        <w:t>273</w:t>
      </w:r>
      <w:r>
        <w:fldChar w:fldCharType="end"/>
      </w:r>
      <w:r>
        <w:fldChar w:fldCharType="end"/>
      </w:r>
    </w:p>
    <w:p>
      <w:pPr>
        <w:pStyle w:val="19"/>
        <w:tabs>
          <w:tab w:val="right" w:leader="dot" w:pos="8306"/>
        </w:tabs>
      </w:pPr>
      <w:r>
        <w:fldChar w:fldCharType="begin"/>
      </w:r>
      <w:r>
        <w:instrText xml:space="preserve"> HYPERLINK \l _Toc15514 </w:instrText>
      </w:r>
      <w:r>
        <w:fldChar w:fldCharType="separate"/>
      </w:r>
      <w:r>
        <w:rPr>
          <w:rFonts w:hint="eastAsia"/>
          <w:lang w:val="en-US" w:eastAsia="zh-CN"/>
        </w:rPr>
        <w:t>9.7</w:t>
      </w:r>
      <w:r>
        <w:t>保障措施</w:t>
      </w:r>
      <w:r>
        <w:tab/>
      </w:r>
      <w:r>
        <w:fldChar w:fldCharType="begin"/>
      </w:r>
      <w:r>
        <w:instrText xml:space="preserve"> PAGEREF _Toc15514 \h </w:instrText>
      </w:r>
      <w:r>
        <w:fldChar w:fldCharType="separate"/>
      </w:r>
      <w:r>
        <w:t>274</w:t>
      </w:r>
      <w:r>
        <w:fldChar w:fldCharType="end"/>
      </w:r>
      <w:r>
        <w:fldChar w:fldCharType="end"/>
      </w:r>
    </w:p>
    <w:p>
      <w:pPr>
        <w:pStyle w:val="18"/>
        <w:tabs>
          <w:tab w:val="right" w:leader="dot" w:pos="8306"/>
        </w:tabs>
      </w:pPr>
      <w:r>
        <w:fldChar w:fldCharType="begin"/>
      </w:r>
      <w:r>
        <w:instrText xml:space="preserve"> HYPERLINK \l _Toc31407 </w:instrText>
      </w:r>
      <w:r>
        <w:fldChar w:fldCharType="separate"/>
      </w:r>
      <w:r>
        <w:rPr>
          <w:rFonts w:hint="eastAsia"/>
          <w:bCs w:val="0"/>
          <w:highlight w:val="none"/>
        </w:rPr>
        <w:t>10公众参与</w:t>
      </w:r>
      <w:r>
        <w:tab/>
      </w:r>
      <w:r>
        <w:fldChar w:fldCharType="begin"/>
      </w:r>
      <w:r>
        <w:instrText xml:space="preserve"> PAGEREF _Toc31407 \h </w:instrText>
      </w:r>
      <w:r>
        <w:fldChar w:fldCharType="separate"/>
      </w:r>
      <w:r>
        <w:t>276</w:t>
      </w:r>
      <w:r>
        <w:fldChar w:fldCharType="end"/>
      </w:r>
      <w:r>
        <w:fldChar w:fldCharType="end"/>
      </w:r>
    </w:p>
    <w:p>
      <w:pPr>
        <w:pStyle w:val="19"/>
        <w:tabs>
          <w:tab w:val="right" w:leader="dot" w:pos="8306"/>
        </w:tabs>
      </w:pPr>
      <w:r>
        <w:fldChar w:fldCharType="begin"/>
      </w:r>
      <w:r>
        <w:instrText xml:space="preserve"> HYPERLINK \l _Toc1379 </w:instrText>
      </w:r>
      <w:r>
        <w:fldChar w:fldCharType="separate"/>
      </w:r>
      <w:r>
        <w:rPr>
          <w:rFonts w:hint="eastAsia"/>
          <w:highlight w:val="none"/>
        </w:rPr>
        <w:t>1</w:t>
      </w:r>
      <w:r>
        <w:rPr>
          <w:highlight w:val="none"/>
        </w:rPr>
        <w:t>0</w:t>
      </w:r>
      <w:r>
        <w:rPr>
          <w:rFonts w:hint="eastAsia"/>
          <w:highlight w:val="none"/>
        </w:rPr>
        <w:t>.1公众参与概述</w:t>
      </w:r>
      <w:r>
        <w:tab/>
      </w:r>
      <w:r>
        <w:fldChar w:fldCharType="begin"/>
      </w:r>
      <w:r>
        <w:instrText xml:space="preserve"> PAGEREF _Toc1379 \h </w:instrText>
      </w:r>
      <w:r>
        <w:fldChar w:fldCharType="separate"/>
      </w:r>
      <w:r>
        <w:t>276</w:t>
      </w:r>
      <w:r>
        <w:fldChar w:fldCharType="end"/>
      </w:r>
      <w:r>
        <w:fldChar w:fldCharType="end"/>
      </w:r>
    </w:p>
    <w:p>
      <w:pPr>
        <w:pStyle w:val="19"/>
        <w:tabs>
          <w:tab w:val="right" w:leader="dot" w:pos="8306"/>
        </w:tabs>
      </w:pPr>
      <w:r>
        <w:fldChar w:fldCharType="begin"/>
      </w:r>
      <w:r>
        <w:instrText xml:space="preserve"> HYPERLINK \l _Toc24862 </w:instrText>
      </w:r>
      <w:r>
        <w:fldChar w:fldCharType="separate"/>
      </w:r>
      <w:r>
        <w:rPr>
          <w:rFonts w:hint="eastAsia"/>
          <w:highlight w:val="none"/>
        </w:rPr>
        <w:t>1</w:t>
      </w:r>
      <w:r>
        <w:rPr>
          <w:highlight w:val="none"/>
        </w:rPr>
        <w:t>0</w:t>
      </w:r>
      <w:r>
        <w:rPr>
          <w:rFonts w:hint="eastAsia"/>
          <w:highlight w:val="none"/>
        </w:rPr>
        <w:t>.2第一次环境影响评价信息公开情况</w:t>
      </w:r>
      <w:r>
        <w:tab/>
      </w:r>
      <w:r>
        <w:fldChar w:fldCharType="begin"/>
      </w:r>
      <w:r>
        <w:instrText xml:space="preserve"> PAGEREF _Toc24862 \h </w:instrText>
      </w:r>
      <w:r>
        <w:fldChar w:fldCharType="separate"/>
      </w:r>
      <w:r>
        <w:t>276</w:t>
      </w:r>
      <w:r>
        <w:fldChar w:fldCharType="end"/>
      </w:r>
      <w:r>
        <w:fldChar w:fldCharType="end"/>
      </w:r>
    </w:p>
    <w:p>
      <w:pPr>
        <w:pStyle w:val="14"/>
        <w:tabs>
          <w:tab w:val="right" w:leader="dot" w:pos="8306"/>
        </w:tabs>
      </w:pPr>
      <w:r>
        <w:fldChar w:fldCharType="begin"/>
      </w:r>
      <w:r>
        <w:instrText xml:space="preserve"> HYPERLINK \l _Toc14936 </w:instrText>
      </w:r>
      <w:r>
        <w:fldChar w:fldCharType="separate"/>
      </w:r>
      <w:r>
        <w:rPr>
          <w:rFonts w:hint="eastAsia"/>
          <w:highlight w:val="none"/>
        </w:rPr>
        <w:t>1</w:t>
      </w:r>
      <w:r>
        <w:rPr>
          <w:highlight w:val="none"/>
        </w:rPr>
        <w:t>0</w:t>
      </w:r>
      <w:r>
        <w:rPr>
          <w:rFonts w:hint="eastAsia"/>
          <w:highlight w:val="none"/>
        </w:rPr>
        <w:t>.2.1公开内容及日期</w:t>
      </w:r>
      <w:r>
        <w:tab/>
      </w:r>
      <w:r>
        <w:fldChar w:fldCharType="begin"/>
      </w:r>
      <w:r>
        <w:instrText xml:space="preserve"> PAGEREF _Toc14936 \h </w:instrText>
      </w:r>
      <w:r>
        <w:fldChar w:fldCharType="separate"/>
      </w:r>
      <w:r>
        <w:t>276</w:t>
      </w:r>
      <w:r>
        <w:fldChar w:fldCharType="end"/>
      </w:r>
      <w:r>
        <w:fldChar w:fldCharType="end"/>
      </w:r>
    </w:p>
    <w:p>
      <w:pPr>
        <w:pStyle w:val="14"/>
        <w:tabs>
          <w:tab w:val="right" w:leader="dot" w:pos="8306"/>
        </w:tabs>
      </w:pPr>
      <w:r>
        <w:fldChar w:fldCharType="begin"/>
      </w:r>
      <w:r>
        <w:instrText xml:space="preserve"> HYPERLINK \l _Toc2458 </w:instrText>
      </w:r>
      <w:r>
        <w:fldChar w:fldCharType="separate"/>
      </w:r>
      <w:r>
        <w:rPr>
          <w:rFonts w:hint="eastAsia"/>
          <w:highlight w:val="none"/>
        </w:rPr>
        <w:t>1</w:t>
      </w:r>
      <w:r>
        <w:rPr>
          <w:highlight w:val="none"/>
        </w:rPr>
        <w:t>0</w:t>
      </w:r>
      <w:r>
        <w:rPr>
          <w:rFonts w:hint="eastAsia"/>
          <w:highlight w:val="none"/>
        </w:rPr>
        <w:t>.2.2公示方式</w:t>
      </w:r>
      <w:r>
        <w:tab/>
      </w:r>
      <w:r>
        <w:fldChar w:fldCharType="begin"/>
      </w:r>
      <w:r>
        <w:instrText xml:space="preserve"> PAGEREF _Toc2458 \h </w:instrText>
      </w:r>
      <w:r>
        <w:fldChar w:fldCharType="separate"/>
      </w:r>
      <w:r>
        <w:t>277</w:t>
      </w:r>
      <w:r>
        <w:fldChar w:fldCharType="end"/>
      </w:r>
      <w:r>
        <w:fldChar w:fldCharType="end"/>
      </w:r>
    </w:p>
    <w:p>
      <w:pPr>
        <w:pStyle w:val="14"/>
        <w:tabs>
          <w:tab w:val="right" w:leader="dot" w:pos="8306"/>
        </w:tabs>
      </w:pPr>
      <w:r>
        <w:fldChar w:fldCharType="begin"/>
      </w:r>
      <w:r>
        <w:instrText xml:space="preserve"> HYPERLINK \l _Toc27249 </w:instrText>
      </w:r>
      <w:r>
        <w:fldChar w:fldCharType="separate"/>
      </w:r>
      <w:r>
        <w:rPr>
          <w:rFonts w:hint="eastAsia"/>
          <w:highlight w:val="none"/>
        </w:rPr>
        <w:t>1</w:t>
      </w:r>
      <w:r>
        <w:rPr>
          <w:highlight w:val="none"/>
        </w:rPr>
        <w:t>0</w:t>
      </w:r>
      <w:r>
        <w:rPr>
          <w:rFonts w:hint="eastAsia"/>
          <w:highlight w:val="none"/>
        </w:rPr>
        <w:t>.2.3公众意见情况</w:t>
      </w:r>
      <w:r>
        <w:tab/>
      </w:r>
      <w:r>
        <w:fldChar w:fldCharType="begin"/>
      </w:r>
      <w:r>
        <w:instrText xml:space="preserve"> PAGEREF _Toc27249 \h </w:instrText>
      </w:r>
      <w:r>
        <w:fldChar w:fldCharType="separate"/>
      </w:r>
      <w:r>
        <w:t>277</w:t>
      </w:r>
      <w:r>
        <w:fldChar w:fldCharType="end"/>
      </w:r>
      <w:r>
        <w:fldChar w:fldCharType="end"/>
      </w:r>
    </w:p>
    <w:p>
      <w:pPr>
        <w:pStyle w:val="19"/>
        <w:tabs>
          <w:tab w:val="right" w:leader="dot" w:pos="8306"/>
        </w:tabs>
      </w:pPr>
      <w:r>
        <w:fldChar w:fldCharType="begin"/>
      </w:r>
      <w:r>
        <w:instrText xml:space="preserve"> HYPERLINK \l _Toc32197 </w:instrText>
      </w:r>
      <w:r>
        <w:fldChar w:fldCharType="separate"/>
      </w:r>
      <w:r>
        <w:rPr>
          <w:rFonts w:hint="eastAsia"/>
          <w:highlight w:val="none"/>
        </w:rPr>
        <w:t>1</w:t>
      </w:r>
      <w:r>
        <w:rPr>
          <w:highlight w:val="none"/>
        </w:rPr>
        <w:t>0</w:t>
      </w:r>
      <w:r>
        <w:rPr>
          <w:rFonts w:hint="eastAsia"/>
          <w:highlight w:val="none"/>
        </w:rPr>
        <w:t>.3征求意见稿公示情况</w:t>
      </w:r>
      <w:r>
        <w:tab/>
      </w:r>
      <w:r>
        <w:fldChar w:fldCharType="begin"/>
      </w:r>
      <w:r>
        <w:instrText xml:space="preserve"> PAGEREF _Toc32197 \h </w:instrText>
      </w:r>
      <w:r>
        <w:fldChar w:fldCharType="separate"/>
      </w:r>
      <w:r>
        <w:t>277</w:t>
      </w:r>
      <w:r>
        <w:fldChar w:fldCharType="end"/>
      </w:r>
      <w:r>
        <w:fldChar w:fldCharType="end"/>
      </w:r>
    </w:p>
    <w:p>
      <w:pPr>
        <w:pStyle w:val="14"/>
        <w:tabs>
          <w:tab w:val="right" w:leader="dot" w:pos="8306"/>
        </w:tabs>
      </w:pPr>
      <w:r>
        <w:fldChar w:fldCharType="begin"/>
      </w:r>
      <w:r>
        <w:instrText xml:space="preserve"> HYPERLINK \l _Toc32043 </w:instrText>
      </w:r>
      <w:r>
        <w:fldChar w:fldCharType="separate"/>
      </w:r>
      <w:r>
        <w:rPr>
          <w:rFonts w:hint="eastAsia"/>
          <w:highlight w:val="none"/>
        </w:rPr>
        <w:t>1</w:t>
      </w:r>
      <w:r>
        <w:rPr>
          <w:highlight w:val="none"/>
        </w:rPr>
        <w:t>0</w:t>
      </w:r>
      <w:r>
        <w:rPr>
          <w:rFonts w:hint="eastAsia"/>
          <w:highlight w:val="none"/>
        </w:rPr>
        <w:t>.3.1公示内容及时间</w:t>
      </w:r>
      <w:r>
        <w:tab/>
      </w:r>
      <w:r>
        <w:fldChar w:fldCharType="begin"/>
      </w:r>
      <w:r>
        <w:instrText xml:space="preserve"> PAGEREF _Toc32043 \h </w:instrText>
      </w:r>
      <w:r>
        <w:fldChar w:fldCharType="separate"/>
      </w:r>
      <w:r>
        <w:t>277</w:t>
      </w:r>
      <w:r>
        <w:fldChar w:fldCharType="end"/>
      </w:r>
      <w:r>
        <w:fldChar w:fldCharType="end"/>
      </w:r>
    </w:p>
    <w:p>
      <w:pPr>
        <w:pStyle w:val="14"/>
        <w:tabs>
          <w:tab w:val="right" w:leader="dot" w:pos="8306"/>
        </w:tabs>
      </w:pPr>
      <w:r>
        <w:fldChar w:fldCharType="begin"/>
      </w:r>
      <w:r>
        <w:instrText xml:space="preserve"> HYPERLINK \l _Toc515 </w:instrText>
      </w:r>
      <w:r>
        <w:fldChar w:fldCharType="separate"/>
      </w:r>
      <w:r>
        <w:rPr>
          <w:rFonts w:hint="eastAsia"/>
          <w:highlight w:val="none"/>
        </w:rPr>
        <w:t>1</w:t>
      </w:r>
      <w:r>
        <w:rPr>
          <w:highlight w:val="none"/>
        </w:rPr>
        <w:t>0</w:t>
      </w:r>
      <w:r>
        <w:rPr>
          <w:rFonts w:hint="eastAsia"/>
          <w:highlight w:val="none"/>
        </w:rPr>
        <w:t>.3.2公示方式</w:t>
      </w:r>
      <w:r>
        <w:tab/>
      </w:r>
      <w:r>
        <w:fldChar w:fldCharType="begin"/>
      </w:r>
      <w:r>
        <w:instrText xml:space="preserve"> PAGEREF _Toc515 \h </w:instrText>
      </w:r>
      <w:r>
        <w:fldChar w:fldCharType="separate"/>
      </w:r>
      <w:r>
        <w:t>278</w:t>
      </w:r>
      <w:r>
        <w:fldChar w:fldCharType="end"/>
      </w:r>
      <w:r>
        <w:fldChar w:fldCharType="end"/>
      </w:r>
    </w:p>
    <w:p>
      <w:pPr>
        <w:pStyle w:val="14"/>
        <w:tabs>
          <w:tab w:val="right" w:leader="dot" w:pos="8306"/>
        </w:tabs>
      </w:pPr>
      <w:r>
        <w:fldChar w:fldCharType="begin"/>
      </w:r>
      <w:r>
        <w:instrText xml:space="preserve"> HYPERLINK \l _Toc7375 </w:instrText>
      </w:r>
      <w:r>
        <w:fldChar w:fldCharType="separate"/>
      </w:r>
      <w:r>
        <w:rPr>
          <w:rFonts w:hint="eastAsia"/>
          <w:highlight w:val="none"/>
        </w:rPr>
        <w:t>1</w:t>
      </w:r>
      <w:r>
        <w:rPr>
          <w:highlight w:val="none"/>
        </w:rPr>
        <w:t>0</w:t>
      </w:r>
      <w:r>
        <w:rPr>
          <w:rFonts w:hint="eastAsia"/>
          <w:highlight w:val="none"/>
        </w:rPr>
        <w:t>.3.3查阅情况</w:t>
      </w:r>
      <w:r>
        <w:tab/>
      </w:r>
      <w:r>
        <w:fldChar w:fldCharType="begin"/>
      </w:r>
      <w:r>
        <w:instrText xml:space="preserve"> PAGEREF _Toc7375 \h </w:instrText>
      </w:r>
      <w:r>
        <w:fldChar w:fldCharType="separate"/>
      </w:r>
      <w:r>
        <w:t>281</w:t>
      </w:r>
      <w:r>
        <w:fldChar w:fldCharType="end"/>
      </w:r>
      <w:r>
        <w:fldChar w:fldCharType="end"/>
      </w:r>
    </w:p>
    <w:p>
      <w:pPr>
        <w:pStyle w:val="14"/>
        <w:tabs>
          <w:tab w:val="right" w:leader="dot" w:pos="8306"/>
        </w:tabs>
      </w:pPr>
      <w:r>
        <w:fldChar w:fldCharType="begin"/>
      </w:r>
      <w:r>
        <w:instrText xml:space="preserve"> HYPERLINK \l _Toc31012 </w:instrText>
      </w:r>
      <w:r>
        <w:fldChar w:fldCharType="separate"/>
      </w:r>
      <w:r>
        <w:rPr>
          <w:rFonts w:hint="eastAsia"/>
          <w:highlight w:val="none"/>
        </w:rPr>
        <w:t>1</w:t>
      </w:r>
      <w:r>
        <w:rPr>
          <w:rFonts w:hint="eastAsia"/>
          <w:highlight w:val="none"/>
          <w:lang w:val="en-US" w:eastAsia="zh-CN"/>
        </w:rPr>
        <w:t>0</w:t>
      </w:r>
      <w:r>
        <w:rPr>
          <w:rFonts w:hint="eastAsia"/>
          <w:highlight w:val="none"/>
        </w:rPr>
        <w:t>.3.4公众提出意见情况</w:t>
      </w:r>
      <w:r>
        <w:tab/>
      </w:r>
      <w:r>
        <w:fldChar w:fldCharType="begin"/>
      </w:r>
      <w:r>
        <w:instrText xml:space="preserve"> PAGEREF _Toc31012 \h </w:instrText>
      </w:r>
      <w:r>
        <w:fldChar w:fldCharType="separate"/>
      </w:r>
      <w:r>
        <w:t>281</w:t>
      </w:r>
      <w:r>
        <w:fldChar w:fldCharType="end"/>
      </w:r>
      <w:r>
        <w:fldChar w:fldCharType="end"/>
      </w:r>
    </w:p>
    <w:p>
      <w:pPr>
        <w:pStyle w:val="14"/>
        <w:tabs>
          <w:tab w:val="right" w:leader="dot" w:pos="8306"/>
        </w:tabs>
      </w:pPr>
      <w:r>
        <w:fldChar w:fldCharType="begin"/>
      </w:r>
      <w:r>
        <w:instrText xml:space="preserve"> HYPERLINK \l _Toc9195 </w:instrText>
      </w:r>
      <w:r>
        <w:fldChar w:fldCharType="separate"/>
      </w:r>
      <w:r>
        <w:rPr>
          <w:rFonts w:hint="eastAsia"/>
          <w:lang w:val="en-US" w:eastAsia="zh-CN"/>
        </w:rPr>
        <w:t>10.3.5</w:t>
      </w:r>
      <w:r>
        <w:rPr>
          <w:rFonts w:hint="eastAsia"/>
        </w:rPr>
        <w:t>其他公众参与情况</w:t>
      </w:r>
      <w:r>
        <w:tab/>
      </w:r>
      <w:r>
        <w:fldChar w:fldCharType="begin"/>
      </w:r>
      <w:r>
        <w:instrText xml:space="preserve"> PAGEREF _Toc9195 \h </w:instrText>
      </w:r>
      <w:r>
        <w:fldChar w:fldCharType="separate"/>
      </w:r>
      <w:r>
        <w:t>281</w:t>
      </w:r>
      <w:r>
        <w:fldChar w:fldCharType="end"/>
      </w:r>
      <w:r>
        <w:fldChar w:fldCharType="end"/>
      </w:r>
    </w:p>
    <w:p>
      <w:pPr>
        <w:pStyle w:val="18"/>
        <w:tabs>
          <w:tab w:val="right" w:leader="dot" w:pos="8306"/>
        </w:tabs>
      </w:pPr>
      <w:r>
        <w:fldChar w:fldCharType="begin"/>
      </w:r>
      <w:r>
        <w:instrText xml:space="preserve"> HYPERLINK \l _Toc21107 </w:instrText>
      </w:r>
      <w:r>
        <w:fldChar w:fldCharType="separate"/>
      </w:r>
      <w:r>
        <w:rPr>
          <w:rFonts w:hint="eastAsia"/>
          <w:highlight w:val="none"/>
        </w:rPr>
        <w:t>11评价结论</w:t>
      </w:r>
      <w:r>
        <w:tab/>
      </w:r>
      <w:r>
        <w:fldChar w:fldCharType="begin"/>
      </w:r>
      <w:r>
        <w:instrText xml:space="preserve"> PAGEREF _Toc21107 \h </w:instrText>
      </w:r>
      <w:r>
        <w:fldChar w:fldCharType="separate"/>
      </w:r>
      <w:r>
        <w:t>282</w:t>
      </w:r>
      <w:r>
        <w:fldChar w:fldCharType="end"/>
      </w:r>
      <w:r>
        <w:fldChar w:fldCharType="end"/>
      </w:r>
    </w:p>
    <w:p>
      <w:pPr>
        <w:pStyle w:val="19"/>
        <w:tabs>
          <w:tab w:val="right" w:leader="dot" w:pos="8306"/>
        </w:tabs>
      </w:pPr>
      <w:r>
        <w:fldChar w:fldCharType="begin"/>
      </w:r>
      <w:r>
        <w:instrText xml:space="preserve"> HYPERLINK \l _Toc12208 </w:instrText>
      </w:r>
      <w:r>
        <w:fldChar w:fldCharType="separate"/>
      </w:r>
      <w:r>
        <w:rPr>
          <w:rFonts w:hint="eastAsia"/>
        </w:rPr>
        <w:t>11.1规划编制背景与规划概况</w:t>
      </w:r>
      <w:r>
        <w:tab/>
      </w:r>
      <w:r>
        <w:fldChar w:fldCharType="begin"/>
      </w:r>
      <w:r>
        <w:instrText xml:space="preserve"> PAGEREF _Toc12208 \h </w:instrText>
      </w:r>
      <w:r>
        <w:fldChar w:fldCharType="separate"/>
      </w:r>
      <w:r>
        <w:t>282</w:t>
      </w:r>
      <w:r>
        <w:fldChar w:fldCharType="end"/>
      </w:r>
      <w:r>
        <w:fldChar w:fldCharType="end"/>
      </w:r>
    </w:p>
    <w:p>
      <w:pPr>
        <w:pStyle w:val="19"/>
        <w:tabs>
          <w:tab w:val="right" w:leader="dot" w:pos="8306"/>
        </w:tabs>
      </w:pPr>
      <w:r>
        <w:fldChar w:fldCharType="begin"/>
      </w:r>
      <w:r>
        <w:instrText xml:space="preserve"> HYPERLINK \l _Toc15662 </w:instrText>
      </w:r>
      <w:r>
        <w:fldChar w:fldCharType="separate"/>
      </w:r>
      <w:r>
        <w:rPr>
          <w:rFonts w:hint="eastAsia"/>
        </w:rPr>
        <w:t>11.2生态环境现状与存在问题</w:t>
      </w:r>
      <w:r>
        <w:tab/>
      </w:r>
      <w:r>
        <w:fldChar w:fldCharType="begin"/>
      </w:r>
      <w:r>
        <w:instrText xml:space="preserve"> PAGEREF _Toc15662 \h </w:instrText>
      </w:r>
      <w:r>
        <w:fldChar w:fldCharType="separate"/>
      </w:r>
      <w:r>
        <w:t>282</w:t>
      </w:r>
      <w:r>
        <w:fldChar w:fldCharType="end"/>
      </w:r>
      <w:r>
        <w:fldChar w:fldCharType="end"/>
      </w:r>
    </w:p>
    <w:p>
      <w:pPr>
        <w:pStyle w:val="14"/>
        <w:tabs>
          <w:tab w:val="right" w:leader="dot" w:pos="8306"/>
        </w:tabs>
      </w:pPr>
      <w:r>
        <w:fldChar w:fldCharType="begin"/>
      </w:r>
      <w:r>
        <w:instrText xml:space="preserve"> HYPERLINK \l _Toc17928 </w:instrText>
      </w:r>
      <w:r>
        <w:fldChar w:fldCharType="separate"/>
      </w:r>
      <w:r>
        <w:rPr>
          <w:rFonts w:hint="eastAsia"/>
        </w:rPr>
        <w:t>11.2.1生态环境现状</w:t>
      </w:r>
      <w:r>
        <w:tab/>
      </w:r>
      <w:r>
        <w:fldChar w:fldCharType="begin"/>
      </w:r>
      <w:r>
        <w:instrText xml:space="preserve"> PAGEREF _Toc17928 \h </w:instrText>
      </w:r>
      <w:r>
        <w:fldChar w:fldCharType="separate"/>
      </w:r>
      <w:r>
        <w:t>282</w:t>
      </w:r>
      <w:r>
        <w:fldChar w:fldCharType="end"/>
      </w:r>
      <w:r>
        <w:fldChar w:fldCharType="end"/>
      </w:r>
    </w:p>
    <w:p>
      <w:pPr>
        <w:pStyle w:val="14"/>
        <w:tabs>
          <w:tab w:val="right" w:leader="dot" w:pos="8306"/>
        </w:tabs>
      </w:pPr>
      <w:r>
        <w:fldChar w:fldCharType="begin"/>
      </w:r>
      <w:r>
        <w:instrText xml:space="preserve"> HYPERLINK \l _Toc29864 </w:instrText>
      </w:r>
      <w:r>
        <w:fldChar w:fldCharType="separate"/>
      </w:r>
      <w:r>
        <w:rPr>
          <w:rFonts w:hint="eastAsia"/>
        </w:rPr>
        <w:t>11.2.2存在问题</w:t>
      </w:r>
      <w:r>
        <w:tab/>
      </w:r>
      <w:r>
        <w:fldChar w:fldCharType="begin"/>
      </w:r>
      <w:r>
        <w:instrText xml:space="preserve"> PAGEREF _Toc29864 \h </w:instrText>
      </w:r>
      <w:r>
        <w:fldChar w:fldCharType="separate"/>
      </w:r>
      <w:r>
        <w:t>284</w:t>
      </w:r>
      <w:r>
        <w:fldChar w:fldCharType="end"/>
      </w:r>
      <w:r>
        <w:fldChar w:fldCharType="end"/>
      </w:r>
    </w:p>
    <w:p>
      <w:pPr>
        <w:pStyle w:val="19"/>
        <w:tabs>
          <w:tab w:val="right" w:leader="dot" w:pos="8306"/>
        </w:tabs>
      </w:pPr>
      <w:r>
        <w:fldChar w:fldCharType="begin"/>
      </w:r>
      <w:r>
        <w:instrText xml:space="preserve"> HYPERLINK \l _Toc13738 </w:instrText>
      </w:r>
      <w:r>
        <w:fldChar w:fldCharType="separate"/>
      </w:r>
      <w:r>
        <w:rPr>
          <w:rFonts w:hint="eastAsia"/>
        </w:rPr>
        <w:t>11.3规划环境影响特征与预测评价结论</w:t>
      </w:r>
      <w:r>
        <w:tab/>
      </w:r>
      <w:r>
        <w:fldChar w:fldCharType="begin"/>
      </w:r>
      <w:r>
        <w:instrText xml:space="preserve"> PAGEREF _Toc13738 \h </w:instrText>
      </w:r>
      <w:r>
        <w:fldChar w:fldCharType="separate"/>
      </w:r>
      <w:r>
        <w:t>284</w:t>
      </w:r>
      <w:r>
        <w:fldChar w:fldCharType="end"/>
      </w:r>
      <w:r>
        <w:fldChar w:fldCharType="end"/>
      </w:r>
    </w:p>
    <w:p>
      <w:pPr>
        <w:pStyle w:val="19"/>
        <w:tabs>
          <w:tab w:val="right" w:leader="dot" w:pos="8306"/>
        </w:tabs>
      </w:pPr>
      <w:r>
        <w:fldChar w:fldCharType="begin"/>
      </w:r>
      <w:r>
        <w:instrText xml:space="preserve"> HYPERLINK \l _Toc21167 </w:instrText>
      </w:r>
      <w:r>
        <w:fldChar w:fldCharType="separate"/>
      </w:r>
      <w:r>
        <w:rPr>
          <w:rFonts w:hint="eastAsia"/>
        </w:rPr>
        <w:t>11.4资源环境压力与承载力状态评估结论</w:t>
      </w:r>
      <w:r>
        <w:tab/>
      </w:r>
      <w:r>
        <w:fldChar w:fldCharType="begin"/>
      </w:r>
      <w:r>
        <w:instrText xml:space="preserve"> PAGEREF _Toc21167 \h </w:instrText>
      </w:r>
      <w:r>
        <w:fldChar w:fldCharType="separate"/>
      </w:r>
      <w:r>
        <w:t>285</w:t>
      </w:r>
      <w:r>
        <w:fldChar w:fldCharType="end"/>
      </w:r>
      <w:r>
        <w:fldChar w:fldCharType="end"/>
      </w:r>
    </w:p>
    <w:p>
      <w:pPr>
        <w:pStyle w:val="19"/>
        <w:tabs>
          <w:tab w:val="right" w:leader="dot" w:pos="8306"/>
        </w:tabs>
      </w:pPr>
      <w:r>
        <w:fldChar w:fldCharType="begin"/>
      </w:r>
      <w:r>
        <w:instrText xml:space="preserve"> HYPERLINK \l _Toc18289 </w:instrText>
      </w:r>
      <w:r>
        <w:fldChar w:fldCharType="separate"/>
      </w:r>
      <w:r>
        <w:rPr>
          <w:rFonts w:hint="eastAsia"/>
        </w:rPr>
        <w:t>11.5规划实施制约因素与优化调整建议</w:t>
      </w:r>
      <w:r>
        <w:tab/>
      </w:r>
      <w:r>
        <w:fldChar w:fldCharType="begin"/>
      </w:r>
      <w:r>
        <w:instrText xml:space="preserve"> PAGEREF _Toc18289 \h </w:instrText>
      </w:r>
      <w:r>
        <w:fldChar w:fldCharType="separate"/>
      </w:r>
      <w:r>
        <w:t>286</w:t>
      </w:r>
      <w:r>
        <w:fldChar w:fldCharType="end"/>
      </w:r>
      <w:r>
        <w:fldChar w:fldCharType="end"/>
      </w:r>
    </w:p>
    <w:p>
      <w:pPr>
        <w:pStyle w:val="14"/>
        <w:tabs>
          <w:tab w:val="right" w:leader="dot" w:pos="8306"/>
        </w:tabs>
      </w:pPr>
      <w:r>
        <w:fldChar w:fldCharType="begin"/>
      </w:r>
      <w:r>
        <w:instrText xml:space="preserve"> HYPERLINK \l _Toc489 </w:instrText>
      </w:r>
      <w:r>
        <w:fldChar w:fldCharType="separate"/>
      </w:r>
      <w:r>
        <w:rPr>
          <w:rFonts w:hint="eastAsia"/>
        </w:rPr>
        <w:t>11.5.1规划实施制约因素</w:t>
      </w:r>
      <w:r>
        <w:tab/>
      </w:r>
      <w:r>
        <w:fldChar w:fldCharType="begin"/>
      </w:r>
      <w:r>
        <w:instrText xml:space="preserve"> PAGEREF _Toc489 \h </w:instrText>
      </w:r>
      <w:r>
        <w:fldChar w:fldCharType="separate"/>
      </w:r>
      <w:r>
        <w:t>286</w:t>
      </w:r>
      <w:r>
        <w:fldChar w:fldCharType="end"/>
      </w:r>
      <w:r>
        <w:fldChar w:fldCharType="end"/>
      </w:r>
    </w:p>
    <w:p>
      <w:pPr>
        <w:pStyle w:val="14"/>
        <w:tabs>
          <w:tab w:val="right" w:leader="dot" w:pos="8306"/>
        </w:tabs>
      </w:pPr>
      <w:r>
        <w:fldChar w:fldCharType="begin"/>
      </w:r>
      <w:r>
        <w:instrText xml:space="preserve"> HYPERLINK \l _Toc21437 </w:instrText>
      </w:r>
      <w:r>
        <w:fldChar w:fldCharType="separate"/>
      </w:r>
      <w:r>
        <w:rPr>
          <w:rFonts w:hint="eastAsia"/>
        </w:rPr>
        <w:t>11.5.2规划优化调整建议</w:t>
      </w:r>
      <w:r>
        <w:tab/>
      </w:r>
      <w:r>
        <w:fldChar w:fldCharType="begin"/>
      </w:r>
      <w:r>
        <w:instrText xml:space="preserve"> PAGEREF _Toc21437 \h </w:instrText>
      </w:r>
      <w:r>
        <w:fldChar w:fldCharType="separate"/>
      </w:r>
      <w:r>
        <w:t>287</w:t>
      </w:r>
      <w:r>
        <w:fldChar w:fldCharType="end"/>
      </w:r>
      <w:r>
        <w:fldChar w:fldCharType="end"/>
      </w:r>
    </w:p>
    <w:p>
      <w:pPr>
        <w:pStyle w:val="19"/>
        <w:tabs>
          <w:tab w:val="right" w:leader="dot" w:pos="8306"/>
        </w:tabs>
      </w:pPr>
      <w:r>
        <w:fldChar w:fldCharType="begin"/>
      </w:r>
      <w:r>
        <w:instrText xml:space="preserve"> HYPERLINK \l _Toc14398 </w:instrText>
      </w:r>
      <w:r>
        <w:fldChar w:fldCharType="separate"/>
      </w:r>
      <w:r>
        <w:rPr>
          <w:rFonts w:hint="eastAsia"/>
        </w:rPr>
        <w:t>11.6规划实施生态环境保护目标和要求</w:t>
      </w:r>
      <w:r>
        <w:tab/>
      </w:r>
      <w:r>
        <w:fldChar w:fldCharType="begin"/>
      </w:r>
      <w:r>
        <w:instrText xml:space="preserve"> PAGEREF _Toc14398 \h </w:instrText>
      </w:r>
      <w:r>
        <w:fldChar w:fldCharType="separate"/>
      </w:r>
      <w:r>
        <w:t>289</w:t>
      </w:r>
      <w:r>
        <w:fldChar w:fldCharType="end"/>
      </w:r>
      <w:r>
        <w:fldChar w:fldCharType="end"/>
      </w:r>
    </w:p>
    <w:p>
      <w:pPr>
        <w:pStyle w:val="19"/>
        <w:tabs>
          <w:tab w:val="right" w:leader="dot" w:pos="8306"/>
        </w:tabs>
      </w:pPr>
      <w:r>
        <w:fldChar w:fldCharType="begin"/>
      </w:r>
      <w:r>
        <w:instrText xml:space="preserve"> HYPERLINK \l _Toc9140 </w:instrText>
      </w:r>
      <w:r>
        <w:fldChar w:fldCharType="separate"/>
      </w:r>
      <w:r>
        <w:rPr>
          <w:rFonts w:hint="eastAsia"/>
        </w:rPr>
        <w:t>11.7总体评价结论</w:t>
      </w:r>
      <w:r>
        <w:tab/>
      </w:r>
      <w:r>
        <w:fldChar w:fldCharType="begin"/>
      </w:r>
      <w:r>
        <w:instrText xml:space="preserve"> PAGEREF _Toc9140 \h </w:instrText>
      </w:r>
      <w:r>
        <w:fldChar w:fldCharType="separate"/>
      </w:r>
      <w:r>
        <w:t>290</w:t>
      </w:r>
      <w:r>
        <w:fldChar w:fldCharType="end"/>
      </w:r>
      <w:r>
        <w:fldChar w:fldCharType="end"/>
      </w:r>
    </w:p>
    <w:p>
      <w:pPr>
        <w:pStyle w:val="6"/>
        <w:bidi w:val="0"/>
      </w:pPr>
      <w:r>
        <w:fldChar w:fldCharType="end"/>
      </w:r>
      <w:bookmarkStart w:id="2" w:name="_Toc46215036"/>
      <w:bookmarkStart w:id="3" w:name="_Toc22253"/>
    </w:p>
    <w:p>
      <w:pPr>
        <w:pStyle w:val="6"/>
        <w:bidi w:val="0"/>
      </w:pPr>
    </w:p>
    <w:p>
      <w:pPr>
        <w:pStyle w:val="6"/>
        <w:bidi w:val="0"/>
      </w:pPr>
    </w:p>
    <w:p>
      <w:pPr>
        <w:pStyle w:val="6"/>
        <w:bidi w:val="0"/>
      </w:pPr>
    </w:p>
    <w:p>
      <w:pPr>
        <w:pStyle w:val="6"/>
        <w:bidi w:val="0"/>
      </w:pPr>
    </w:p>
    <w:p>
      <w:pPr>
        <w:pStyle w:val="6"/>
        <w:bidi w:val="0"/>
      </w:pPr>
    </w:p>
    <w:p>
      <w:pPr>
        <w:pStyle w:val="6"/>
        <w:bidi w:val="0"/>
      </w:pPr>
    </w:p>
    <w:p>
      <w:pPr>
        <w:pStyle w:val="6"/>
        <w:bidi w:val="0"/>
      </w:pPr>
    </w:p>
    <w:p>
      <w:pPr>
        <w:pStyle w:val="6"/>
        <w:bidi w:val="0"/>
      </w:pPr>
    </w:p>
    <w:p>
      <w:pPr>
        <w:pStyle w:val="6"/>
        <w:bidi w:val="0"/>
      </w:pPr>
    </w:p>
    <w:p>
      <w:pPr>
        <w:pStyle w:val="6"/>
        <w:bidi w:val="0"/>
      </w:pPr>
    </w:p>
    <w:p>
      <w:pPr>
        <w:pStyle w:val="6"/>
        <w:bidi w:val="0"/>
      </w:pPr>
    </w:p>
    <w:p>
      <w:pPr>
        <w:pStyle w:val="6"/>
        <w:bidi w:val="0"/>
        <w:rPr>
          <w:rFonts w:hint="eastAsia"/>
          <w:b/>
          <w:bCs/>
          <w:lang w:val="en-US" w:eastAsia="zh-CN"/>
        </w:rPr>
      </w:pPr>
      <w:r>
        <w:rPr>
          <w:rFonts w:hint="eastAsia"/>
          <w:b/>
          <w:bCs/>
          <w:lang w:val="en-US" w:eastAsia="zh-CN"/>
        </w:rPr>
        <w:t>附件</w:t>
      </w:r>
    </w:p>
    <w:p>
      <w:pPr>
        <w:pStyle w:val="6"/>
        <w:bidi w:val="0"/>
        <w:rPr>
          <w:rFonts w:hint="eastAsia"/>
          <w:b w:val="0"/>
          <w:bCs w:val="0"/>
          <w:lang w:val="en-US" w:eastAsia="zh-CN"/>
        </w:rPr>
      </w:pPr>
      <w:r>
        <w:rPr>
          <w:rFonts w:hint="eastAsia"/>
          <w:b w:val="0"/>
          <w:bCs w:val="0"/>
          <w:lang w:val="en-US" w:eastAsia="zh-CN"/>
        </w:rPr>
        <w:t>附件1 委托书</w:t>
      </w:r>
    </w:p>
    <w:p>
      <w:pPr>
        <w:pStyle w:val="6"/>
        <w:bidi w:val="0"/>
        <w:rPr>
          <w:rFonts w:hint="default"/>
          <w:b w:val="0"/>
          <w:bCs w:val="0"/>
          <w:lang w:val="en-US" w:eastAsia="zh-CN"/>
        </w:rPr>
      </w:pPr>
      <w:r>
        <w:rPr>
          <w:rFonts w:hint="default"/>
          <w:b w:val="0"/>
          <w:bCs w:val="0"/>
          <w:lang w:val="en-US" w:eastAsia="zh-CN"/>
        </w:rPr>
        <w:t>附件2 《关于进一步严格冰川（雪）资源开发生态环境保护源头管控的通知》（西藏自治区生态环境厅，2022年6月24日）</w:t>
      </w:r>
    </w:p>
    <w:p>
      <w:pPr>
        <w:pStyle w:val="6"/>
        <w:bidi w:val="0"/>
        <w:rPr>
          <w:rFonts w:hint="default"/>
          <w:b/>
          <w:bCs/>
          <w:lang w:val="en-US" w:eastAsia="zh-CN"/>
        </w:rPr>
      </w:pPr>
      <w:r>
        <w:rPr>
          <w:rFonts w:hint="eastAsia"/>
          <w:b/>
          <w:bCs/>
          <w:lang w:val="en-US" w:eastAsia="zh-CN"/>
        </w:rPr>
        <w:t>附图</w:t>
      </w:r>
    </w:p>
    <w:p>
      <w:pPr>
        <w:pStyle w:val="6"/>
        <w:bidi w:val="0"/>
        <w:rPr>
          <w:rFonts w:hint="default" w:eastAsia="宋体"/>
          <w:color w:val="0000FF"/>
          <w:lang w:val="en-US" w:eastAsia="zh-CN"/>
        </w:rPr>
      </w:pPr>
      <w:r>
        <w:rPr>
          <w:rFonts w:hint="eastAsia"/>
          <w:color w:val="0000FF"/>
          <w:lang w:val="en-US" w:eastAsia="zh-CN"/>
        </w:rPr>
        <w:t>附图1 林芝市全域旅游优质资源位置分布图</w:t>
      </w:r>
    </w:p>
    <w:p>
      <w:pPr>
        <w:pStyle w:val="6"/>
        <w:bidi w:val="0"/>
        <w:rPr>
          <w:rFonts w:hint="eastAsia"/>
          <w:color w:val="0000FF"/>
          <w:lang w:val="en-US" w:eastAsia="zh-CN"/>
        </w:rPr>
      </w:pPr>
      <w:r>
        <w:rPr>
          <w:rFonts w:hint="eastAsia"/>
          <w:color w:val="0000FF"/>
          <w:lang w:val="en-US" w:eastAsia="zh-CN"/>
        </w:rPr>
        <w:t>附图2 全域旅游规划空间格局图</w:t>
      </w:r>
    </w:p>
    <w:p>
      <w:pPr>
        <w:pStyle w:val="6"/>
        <w:bidi w:val="0"/>
        <w:rPr>
          <w:rFonts w:hint="eastAsia"/>
          <w:color w:val="0000FF"/>
          <w:lang w:val="en-US" w:eastAsia="zh-CN"/>
        </w:rPr>
      </w:pPr>
      <w:r>
        <w:rPr>
          <w:rFonts w:hint="eastAsia"/>
          <w:color w:val="0000FF"/>
          <w:lang w:val="en-US" w:eastAsia="zh-CN"/>
        </w:rPr>
        <w:t>附图3 全域旅游规划泛景区化旅游目的地分布图</w:t>
      </w:r>
    </w:p>
    <w:p>
      <w:pPr>
        <w:pStyle w:val="6"/>
        <w:bidi w:val="0"/>
        <w:rPr>
          <w:rFonts w:hint="eastAsia"/>
        </w:rPr>
      </w:pPr>
      <w:r>
        <w:rPr>
          <w:rFonts w:hint="eastAsia"/>
        </w:rPr>
        <w:t>附图</w:t>
      </w:r>
      <w:r>
        <w:rPr>
          <w:rFonts w:hint="eastAsia"/>
          <w:lang w:val="en-US" w:eastAsia="zh-CN"/>
        </w:rPr>
        <w:t>4 全域旅游</w:t>
      </w:r>
      <w:r>
        <w:rPr>
          <w:rFonts w:hint="eastAsia"/>
        </w:rPr>
        <w:t>交通规划图</w:t>
      </w:r>
    </w:p>
    <w:p>
      <w:pPr>
        <w:pStyle w:val="6"/>
        <w:bidi w:val="0"/>
        <w:rPr>
          <w:rFonts w:hint="default"/>
          <w:color w:val="0000FF"/>
          <w:lang w:val="en-US" w:eastAsia="zh-CN"/>
        </w:rPr>
      </w:pPr>
      <w:r>
        <w:rPr>
          <w:rFonts w:hint="eastAsia"/>
          <w:color w:val="0000FF"/>
          <w:lang w:val="en-US" w:eastAsia="zh-CN"/>
        </w:rPr>
        <w:t xml:space="preserve">附图5 </w:t>
      </w:r>
      <w:r>
        <w:rPr>
          <w:rFonts w:hint="eastAsia"/>
          <w:lang w:val="en-US" w:eastAsia="zh-CN"/>
        </w:rPr>
        <w:t>全域</w:t>
      </w:r>
      <w:r>
        <w:rPr>
          <w:rFonts w:hint="eastAsia"/>
          <w:color w:val="0000FF"/>
          <w:lang w:val="en-US" w:eastAsia="zh-CN"/>
        </w:rPr>
        <w:t>旅游集散体系布局图</w:t>
      </w:r>
    </w:p>
    <w:p>
      <w:pPr>
        <w:pStyle w:val="6"/>
        <w:bidi w:val="0"/>
        <w:rPr>
          <w:rFonts w:hint="default"/>
          <w:lang w:val="en-US" w:eastAsia="zh-CN"/>
        </w:rPr>
      </w:pPr>
      <w:r>
        <w:rPr>
          <w:rFonts w:hint="eastAsia"/>
          <w:lang w:val="en-US" w:eastAsia="zh-CN"/>
        </w:rPr>
        <w:t>附图6 涉及西藏雅鲁藏布大峡谷自然保护区的规划项目位置示意图</w:t>
      </w:r>
    </w:p>
    <w:p>
      <w:pPr>
        <w:pStyle w:val="6"/>
        <w:bidi w:val="0"/>
        <w:rPr>
          <w:rFonts w:hint="default"/>
          <w:lang w:val="en-US" w:eastAsia="zh-CN"/>
        </w:rPr>
      </w:pPr>
      <w:r>
        <w:rPr>
          <w:rFonts w:hint="eastAsia"/>
          <w:lang w:val="en-US" w:eastAsia="zh-CN"/>
        </w:rPr>
        <w:t>附图7 涉及西藏慈巴沟自然保护区的规划项目位置示意图</w:t>
      </w:r>
    </w:p>
    <w:p>
      <w:pPr>
        <w:pStyle w:val="6"/>
        <w:bidi w:val="0"/>
        <w:rPr>
          <w:rFonts w:hint="default"/>
          <w:lang w:val="en-US" w:eastAsia="zh-CN"/>
        </w:rPr>
      </w:pPr>
      <w:r>
        <w:rPr>
          <w:rFonts w:hint="eastAsia"/>
          <w:lang w:val="en-US" w:eastAsia="zh-CN"/>
        </w:rPr>
        <w:t>附图8 涉及工布自然保护区的规划项目位置示意图</w:t>
      </w:r>
    </w:p>
    <w:p>
      <w:pPr>
        <w:pStyle w:val="6"/>
        <w:bidi w:val="0"/>
        <w:rPr>
          <w:rFonts w:hint="default"/>
          <w:lang w:val="en-US" w:eastAsia="zh-CN"/>
        </w:rPr>
      </w:pPr>
      <w:r>
        <w:rPr>
          <w:rFonts w:hint="eastAsia"/>
          <w:lang w:val="en-US" w:eastAsia="zh-CN"/>
        </w:rPr>
        <w:t>附图9 涉及西藏雅尼国家湿地公园的规划项目位置示意图</w:t>
      </w:r>
    </w:p>
    <w:p>
      <w:pPr>
        <w:pStyle w:val="6"/>
        <w:bidi w:val="0"/>
        <w:rPr>
          <w:rFonts w:hint="default"/>
          <w:lang w:val="en-US" w:eastAsia="zh-CN"/>
        </w:rPr>
      </w:pPr>
      <w:r>
        <w:rPr>
          <w:rFonts w:hint="eastAsia"/>
          <w:lang w:val="en-US" w:eastAsia="zh-CN"/>
        </w:rPr>
        <w:t>附图10 涉及西藏嘎朗国际湿地公园的规划项目位置示意图</w:t>
      </w:r>
    </w:p>
    <w:p>
      <w:pPr>
        <w:pStyle w:val="6"/>
        <w:bidi w:val="0"/>
        <w:rPr>
          <w:rFonts w:hint="eastAsia"/>
          <w:lang w:val="en-US" w:eastAsia="zh-CN"/>
        </w:rPr>
      </w:pPr>
      <w:r>
        <w:rPr>
          <w:rFonts w:hint="eastAsia"/>
          <w:lang w:val="en-US" w:eastAsia="zh-CN"/>
        </w:rPr>
        <w:t>附图11 涉及比西藏日神山国家森林的规划项目位置示意图</w:t>
      </w:r>
    </w:p>
    <w:p>
      <w:pPr>
        <w:pStyle w:val="6"/>
        <w:bidi w:val="0"/>
        <w:rPr>
          <w:rFonts w:hint="default"/>
          <w:lang w:val="en-US" w:eastAsia="zh-CN"/>
        </w:rPr>
      </w:pPr>
      <w:r>
        <w:rPr>
          <w:rFonts w:hint="eastAsia"/>
          <w:lang w:val="en-US" w:eastAsia="zh-CN"/>
        </w:rPr>
        <w:t>附图12 涉及西藏色季拉国家深林公园的规划项目位置示意图</w:t>
      </w:r>
    </w:p>
    <w:p>
      <w:pPr>
        <w:pStyle w:val="6"/>
        <w:bidi w:val="0"/>
        <w:rPr>
          <w:rFonts w:hint="default"/>
          <w:lang w:val="en-US" w:eastAsia="zh-CN"/>
        </w:rPr>
      </w:pPr>
      <w:r>
        <w:rPr>
          <w:rFonts w:hint="eastAsia"/>
          <w:lang w:val="en-US" w:eastAsia="zh-CN"/>
        </w:rPr>
        <w:t>附图13 涉及西藏巴松湖国家深林公园的规划项目位置示意图</w:t>
      </w:r>
    </w:p>
    <w:p>
      <w:pPr>
        <w:pStyle w:val="6"/>
        <w:bidi w:val="0"/>
        <w:rPr>
          <w:rFonts w:hint="default"/>
          <w:lang w:val="en-US" w:eastAsia="zh-CN"/>
        </w:rPr>
      </w:pPr>
      <w:r>
        <w:rPr>
          <w:rFonts w:hint="eastAsia"/>
          <w:lang w:val="en-US" w:eastAsia="zh-CN"/>
        </w:rPr>
        <w:t>附图14 规划项目与</w:t>
      </w:r>
      <w:r>
        <w:rPr>
          <w:rFonts w:hint="eastAsia"/>
        </w:rPr>
        <w:t>林芝市生态保护红线</w:t>
      </w:r>
      <w:r>
        <w:rPr>
          <w:rFonts w:hint="eastAsia"/>
          <w:lang w:val="en-US" w:eastAsia="zh-CN"/>
        </w:rPr>
        <w:t>位置示意图</w:t>
      </w:r>
    </w:p>
    <w:p>
      <w:pPr>
        <w:pStyle w:val="6"/>
        <w:bidi w:val="0"/>
        <w:rPr>
          <w:rFonts w:hint="eastAsia"/>
          <w:lang w:val="en-US" w:eastAsia="zh-CN"/>
        </w:rPr>
      </w:pPr>
      <w:r>
        <w:rPr>
          <w:rFonts w:hint="eastAsia"/>
          <w:lang w:val="en-US" w:eastAsia="zh-CN"/>
        </w:rPr>
        <w:t>附图15 规划项目与</w:t>
      </w:r>
      <w:r>
        <w:rPr>
          <w:rFonts w:hint="eastAsia"/>
        </w:rPr>
        <w:t>林芝市</w:t>
      </w:r>
      <w:r>
        <w:rPr>
          <w:rFonts w:hint="eastAsia"/>
          <w:lang w:eastAsia="zh-CN"/>
        </w:rPr>
        <w:t>“</w:t>
      </w:r>
      <w:r>
        <w:rPr>
          <w:rFonts w:hint="eastAsia"/>
          <w:lang w:val="en-US" w:eastAsia="zh-CN"/>
        </w:rPr>
        <w:t>三线一单</w:t>
      </w:r>
      <w:r>
        <w:rPr>
          <w:rFonts w:hint="eastAsia"/>
          <w:lang w:eastAsia="zh-CN"/>
        </w:rPr>
        <w:t>”</w:t>
      </w:r>
      <w:r>
        <w:rPr>
          <w:rFonts w:hint="eastAsia"/>
          <w:lang w:val="en-US" w:eastAsia="zh-CN"/>
        </w:rPr>
        <w:t>保护单元位置示意图</w:t>
      </w:r>
    </w:p>
    <w:p>
      <w:pPr>
        <w:pStyle w:val="6"/>
        <w:bidi w:val="0"/>
        <w:rPr>
          <w:rFonts w:hint="eastAsia"/>
          <w:lang w:val="en-US" w:eastAsia="zh-CN"/>
        </w:rPr>
      </w:pPr>
      <w:r>
        <w:rPr>
          <w:rFonts w:hint="eastAsia"/>
          <w:lang w:val="en-US" w:eastAsia="zh-CN"/>
        </w:rPr>
        <w:t>附图16 地理位置图</w:t>
      </w:r>
    </w:p>
    <w:p>
      <w:pPr>
        <w:pStyle w:val="6"/>
        <w:bidi w:val="0"/>
        <w:rPr>
          <w:rFonts w:hint="default"/>
          <w:lang w:val="en-US" w:eastAsia="zh-CN"/>
        </w:rPr>
      </w:pPr>
      <w:r>
        <w:rPr>
          <w:rFonts w:hint="eastAsia"/>
          <w:lang w:val="en-US" w:eastAsia="zh-CN"/>
        </w:rPr>
        <w:t>附图17 区域水系图</w:t>
      </w:r>
    </w:p>
    <w:p>
      <w:pPr>
        <w:pStyle w:val="6"/>
        <w:bidi w:val="0"/>
        <w:rPr>
          <w:rFonts w:hint="eastAsia"/>
          <w:color w:val="0000FF"/>
          <w:lang w:val="en-US" w:eastAsia="zh-CN"/>
        </w:rPr>
      </w:pPr>
    </w:p>
    <w:p>
      <w:pPr>
        <w:pStyle w:val="15"/>
        <w:bidi w:val="0"/>
      </w:pPr>
    </w:p>
    <w:p>
      <w:pPr>
        <w:pStyle w:val="15"/>
        <w:bidi w:val="0"/>
        <w:sectPr>
          <w:headerReference r:id="rId4" w:type="default"/>
          <w:footerReference r:id="rId5" w:type="default"/>
          <w:pgSz w:w="11906" w:h="16838"/>
          <w:pgMar w:top="1440" w:right="1800" w:bottom="1440" w:left="1800" w:header="850" w:footer="992" w:gutter="0"/>
          <w:pgNumType w:fmt="upperRoman" w:start="1"/>
          <w:cols w:space="425" w:num="1"/>
          <w:docGrid w:type="lines" w:linePitch="312" w:charSpace="0"/>
        </w:sectPr>
      </w:pPr>
    </w:p>
    <w:p>
      <w:pPr>
        <w:pStyle w:val="21"/>
        <w:rPr>
          <w:rFonts w:hint="eastAsia" w:eastAsia="黑体"/>
          <w:color w:val="auto"/>
          <w:highlight w:val="none"/>
          <w:lang w:eastAsia="zh-CN"/>
        </w:rPr>
      </w:pPr>
      <w:bookmarkStart w:id="4" w:name="_Toc179"/>
      <w:r>
        <w:rPr>
          <w:rFonts w:hint="eastAsia"/>
          <w:color w:val="auto"/>
          <w:highlight w:val="none"/>
        </w:rPr>
        <w:t>1</w:t>
      </w:r>
      <w:r>
        <w:rPr>
          <w:rFonts w:hint="eastAsia"/>
          <w:color w:val="auto"/>
          <w:highlight w:val="none"/>
          <w:lang w:val="en-US" w:eastAsia="zh-CN"/>
        </w:rPr>
        <w:t xml:space="preserve"> </w:t>
      </w:r>
      <w:bookmarkEnd w:id="2"/>
      <w:bookmarkEnd w:id="3"/>
      <w:r>
        <w:rPr>
          <w:rFonts w:hint="eastAsia"/>
          <w:color w:val="auto"/>
          <w:highlight w:val="none"/>
          <w:lang w:val="en-US" w:eastAsia="zh-CN"/>
        </w:rPr>
        <w:t>总则</w:t>
      </w:r>
      <w:bookmarkEnd w:id="4"/>
    </w:p>
    <w:p>
      <w:pPr>
        <w:pStyle w:val="4"/>
        <w:rPr>
          <w:rFonts w:hint="eastAsia"/>
          <w:color w:val="auto"/>
          <w:highlight w:val="none"/>
          <w:lang w:val="en-US" w:eastAsia="zh-CN"/>
        </w:rPr>
      </w:pPr>
      <w:bookmarkStart w:id="5" w:name="_Toc10059"/>
      <w:bookmarkStart w:id="6" w:name="_Toc32718"/>
      <w:bookmarkStart w:id="7" w:name="_Toc18451"/>
      <w:bookmarkStart w:id="8" w:name="_Toc28998"/>
      <w:bookmarkStart w:id="9" w:name="_Toc249"/>
      <w:bookmarkStart w:id="10" w:name="_Toc28480"/>
      <w:bookmarkStart w:id="11" w:name="_Toc32037"/>
      <w:r>
        <w:rPr>
          <w:rFonts w:hint="eastAsia"/>
          <w:color w:val="auto"/>
          <w:highlight w:val="none"/>
        </w:rPr>
        <w:t>1.1</w:t>
      </w:r>
      <w:bookmarkEnd w:id="5"/>
      <w:bookmarkEnd w:id="6"/>
      <w:bookmarkEnd w:id="7"/>
      <w:bookmarkEnd w:id="8"/>
      <w:bookmarkEnd w:id="9"/>
      <w:bookmarkEnd w:id="10"/>
      <w:r>
        <w:rPr>
          <w:rFonts w:hint="eastAsia"/>
          <w:color w:val="auto"/>
          <w:highlight w:val="none"/>
          <w:lang w:val="en-US" w:eastAsia="zh-CN"/>
        </w:rPr>
        <w:t>前言</w:t>
      </w:r>
      <w:bookmarkEnd w:id="11"/>
    </w:p>
    <w:p>
      <w:pPr>
        <w:pStyle w:val="6"/>
        <w:bidi w:val="0"/>
        <w:rPr>
          <w:rFonts w:hint="eastAsia"/>
          <w:color w:val="auto"/>
          <w:highlight w:val="none"/>
          <w:lang w:val="en-US" w:eastAsia="zh-CN"/>
        </w:rPr>
      </w:pPr>
      <w:r>
        <w:rPr>
          <w:rFonts w:hint="eastAsia"/>
          <w:color w:val="auto"/>
          <w:highlight w:val="none"/>
          <w:lang w:val="en-US" w:eastAsia="zh-CN"/>
        </w:rPr>
        <w:t>2016年，国家旅游局（现国家文化和旅游部）在全国范围内推行“全域旅游”。作为一种全新的旅游发展观，全域旅游成为全社会普遍关注的公共话题，各地政府纷纷响应，将全域旅游作为城市建设、产业升级、品牌塑造的重要方法论。关于在“国家全域旅游示范区”体系中如何探索路径、如何示范全国等问题，成为林芝市旅游系统以及政府决策层思考的重大命题。为科学创建“国家全域旅游示范区”，中共林芝市委林芝市人民政府委托广东省第八批援藏工作队编制了《林芝市全域旅游发展规划（2018~2025年）》。</w:t>
      </w:r>
    </w:p>
    <w:p>
      <w:pPr>
        <w:pStyle w:val="6"/>
        <w:rPr>
          <w:rFonts w:hint="eastAsia"/>
          <w:lang w:eastAsia="zh-CN"/>
        </w:rPr>
      </w:pPr>
      <w:r>
        <w:rPr>
          <w:rFonts w:hint="eastAsia"/>
          <w:color w:val="auto"/>
          <w:highlight w:val="none"/>
          <w:lang w:val="en-US" w:eastAsia="zh-CN"/>
        </w:rPr>
        <w:t>全域旅游发展规划作为全新的旅游规划形式，涉及的内容非常广泛，其认知方式、发展路径有别于传统规划，亦鲜有可供参考借鉴的成熟体系。《林芝市全域旅游发展规划（2018~2025年）》按照相关标准和技术规范，结合林芝市现有旅游产业基础、运营体制，从全域旅游解析、全域旅游发展条件分析、全域旅游产业条件分析、林芝全域发展战略、全资源整合、全空间拓展、全产业融合、全要素提升、全体系覆盖、全方位协作、环境保护规划、创建计划等方面，在</w:t>
      </w:r>
      <w:r>
        <w:rPr>
          <w:rFonts w:hint="eastAsia"/>
        </w:rPr>
        <w:t>规划时间内</w:t>
      </w:r>
      <w:r>
        <w:rPr>
          <w:rFonts w:hint="eastAsia"/>
          <w:lang w:val="en-US" w:eastAsia="zh-CN"/>
        </w:rPr>
        <w:t>为</w:t>
      </w:r>
      <w:r>
        <w:rPr>
          <w:rFonts w:hint="eastAsia"/>
          <w:color w:val="auto"/>
          <w:highlight w:val="none"/>
          <w:lang w:val="en-US" w:eastAsia="zh-CN"/>
        </w:rPr>
        <w:t>林芝市成功创建“国家全域旅游示范区”</w:t>
      </w:r>
      <w:r>
        <w:rPr>
          <w:rFonts w:hint="eastAsia"/>
          <w:lang w:val="en-US" w:eastAsia="zh-CN"/>
        </w:rPr>
        <w:t>提供了</w:t>
      </w:r>
      <w:r>
        <w:rPr>
          <w:rFonts w:hint="eastAsia"/>
        </w:rPr>
        <w:t>基本思路和行动指南</w:t>
      </w:r>
      <w:r>
        <w:rPr>
          <w:rFonts w:hint="eastAsia"/>
          <w:lang w:eastAsia="zh-CN"/>
        </w:rPr>
        <w:t>。</w:t>
      </w:r>
    </w:p>
    <w:p>
      <w:pPr>
        <w:pStyle w:val="6"/>
        <w:rPr>
          <w:rFonts w:hint="eastAsia"/>
          <w:color w:val="auto"/>
          <w:highlight w:val="none"/>
          <w:lang w:eastAsia="zh-CN"/>
        </w:rPr>
      </w:pPr>
      <w:r>
        <w:rPr>
          <w:rFonts w:hint="eastAsia"/>
          <w:color w:val="auto"/>
          <w:highlight w:val="none"/>
          <w:lang w:eastAsia="zh-CN"/>
        </w:rPr>
        <w:t>为了提高规划的科学性，从源头预防环境污染和生态破坏，促进经济、社会和环境的全面协调可持续发展，林芝市旅游发展局组织并委托云南湖柏环保科技有限公司承担了《林芝市全域旅游发展规划（2018~2025）》的环境影响评价任务。</w:t>
      </w:r>
      <w:r>
        <w:rPr>
          <w:rFonts w:hint="eastAsia"/>
          <w:lang w:val="en-US" w:eastAsia="zh-CN"/>
        </w:rPr>
        <w:t>我单位在接受委托时已距规划基准年（2018年）约4年，属于补办环评手续。</w:t>
      </w:r>
      <w:r>
        <w:rPr>
          <w:rFonts w:hint="eastAsia"/>
          <w:color w:val="auto"/>
          <w:highlight w:val="none"/>
          <w:lang w:eastAsia="zh-CN"/>
        </w:rPr>
        <w:t>评价单位接受委托后，组织有关专业人员成立了课题组并遵照《规划环境影响评价技术导则》（HJ130-2019），在仔细阅读、研究了规划相关文件、资料和现场踏勘、调查的基础上，按照规划编制单位和相关环保要求，编制了《林芝市全域旅游发展规划（2018</w:t>
      </w:r>
      <w:r>
        <w:rPr>
          <w:rFonts w:hint="eastAsia"/>
          <w:color w:val="auto"/>
          <w:highlight w:val="none"/>
          <w:lang w:val="en-US" w:eastAsia="zh-CN"/>
        </w:rPr>
        <w:t>~</w:t>
      </w:r>
      <w:r>
        <w:rPr>
          <w:rFonts w:hint="eastAsia"/>
          <w:color w:val="auto"/>
          <w:highlight w:val="none"/>
          <w:lang w:eastAsia="zh-CN"/>
        </w:rPr>
        <w:t>2025年）</w:t>
      </w:r>
      <w:r>
        <w:rPr>
          <w:rFonts w:hint="eastAsia"/>
          <w:color w:val="auto"/>
          <w:highlight w:val="none"/>
          <w:lang w:val="en-US" w:eastAsia="zh-CN"/>
        </w:rPr>
        <w:t>环境影响报告书</w:t>
      </w:r>
      <w:r>
        <w:rPr>
          <w:rFonts w:hint="eastAsia"/>
          <w:color w:val="auto"/>
          <w:highlight w:val="none"/>
          <w:lang w:eastAsia="zh-CN"/>
        </w:rPr>
        <w:t>》。</w:t>
      </w:r>
    </w:p>
    <w:p>
      <w:pPr>
        <w:pStyle w:val="4"/>
        <w:bidi w:val="0"/>
        <w:rPr>
          <w:rFonts w:hint="eastAsia"/>
          <w:color w:val="auto"/>
          <w:highlight w:val="none"/>
        </w:rPr>
      </w:pPr>
      <w:bookmarkStart w:id="12" w:name="_Toc24375"/>
      <w:bookmarkStart w:id="13" w:name="_Toc23279"/>
      <w:r>
        <w:rPr>
          <w:rFonts w:hint="eastAsia"/>
          <w:color w:val="auto"/>
          <w:highlight w:val="none"/>
        </w:rPr>
        <w:t>1.2编制依据</w:t>
      </w:r>
      <w:bookmarkEnd w:id="12"/>
      <w:bookmarkEnd w:id="13"/>
    </w:p>
    <w:p>
      <w:pPr>
        <w:pStyle w:val="5"/>
        <w:bidi w:val="0"/>
        <w:rPr>
          <w:rFonts w:hint="eastAsia"/>
          <w:color w:val="auto"/>
          <w:highlight w:val="none"/>
        </w:rPr>
      </w:pPr>
      <w:bookmarkStart w:id="14" w:name="_Toc11808"/>
      <w:bookmarkStart w:id="15" w:name="_Toc16976"/>
      <w:r>
        <w:rPr>
          <w:rFonts w:hint="eastAsia"/>
          <w:color w:val="auto"/>
          <w:highlight w:val="none"/>
        </w:rPr>
        <w:t>1.2.1国家相关法律、法规</w:t>
      </w:r>
      <w:bookmarkEnd w:id="14"/>
      <w:bookmarkEnd w:id="15"/>
    </w:p>
    <w:p>
      <w:pPr>
        <w:pStyle w:val="6"/>
        <w:ind w:firstLine="480"/>
        <w:rPr>
          <w:rFonts w:hint="eastAsia"/>
        </w:rPr>
      </w:pPr>
      <w:r>
        <w:rPr>
          <w:rFonts w:hint="eastAsia"/>
        </w:rPr>
        <w:t>（1）《中华人民共和国环境保护法》（2015年1月1日施行）；</w:t>
      </w:r>
    </w:p>
    <w:p>
      <w:pPr>
        <w:pStyle w:val="6"/>
        <w:ind w:firstLine="480"/>
        <w:rPr>
          <w:rFonts w:hint="eastAsia"/>
        </w:rPr>
      </w:pPr>
      <w:r>
        <w:rPr>
          <w:rFonts w:hint="eastAsia"/>
        </w:rPr>
        <w:t>（2）《中华人民共和国环境影响评价法》（2018年12月29日修订）；</w:t>
      </w:r>
    </w:p>
    <w:p>
      <w:pPr>
        <w:pStyle w:val="6"/>
        <w:ind w:firstLine="480"/>
        <w:rPr>
          <w:rFonts w:hint="eastAsia"/>
        </w:rPr>
      </w:pPr>
      <w:r>
        <w:rPr>
          <w:rFonts w:hint="eastAsia"/>
        </w:rPr>
        <w:t>（3）《中华人民共和国水污染防治法》（2017年6月27日修订，2018年1月1日实施）；</w:t>
      </w:r>
    </w:p>
    <w:p>
      <w:pPr>
        <w:pStyle w:val="6"/>
        <w:ind w:firstLine="480"/>
        <w:rPr>
          <w:rFonts w:hint="eastAsia"/>
        </w:rPr>
      </w:pPr>
      <w:r>
        <w:rPr>
          <w:rFonts w:hint="eastAsia"/>
        </w:rPr>
        <w:t>（4）《中华人民共和国大气污染防治法》（2018年10月26日修订）；</w:t>
      </w:r>
    </w:p>
    <w:p>
      <w:pPr>
        <w:pStyle w:val="6"/>
        <w:ind w:firstLine="480"/>
        <w:rPr>
          <w:rFonts w:hint="eastAsia"/>
        </w:rPr>
      </w:pPr>
      <w:r>
        <w:rPr>
          <w:rFonts w:hint="eastAsia"/>
        </w:rPr>
        <w:t>（5）《中华人民共和国环境噪声污染防治法》（2022年6月5日起施行）；</w:t>
      </w:r>
    </w:p>
    <w:p>
      <w:pPr>
        <w:pStyle w:val="6"/>
        <w:ind w:firstLine="480"/>
        <w:rPr>
          <w:rFonts w:hint="eastAsia"/>
        </w:rPr>
      </w:pPr>
      <w:r>
        <w:rPr>
          <w:rFonts w:hint="eastAsia"/>
        </w:rPr>
        <w:t>（6）《中华人民共和国固体废物污染环境防治法》（2020年9月1日起施行）；</w:t>
      </w:r>
    </w:p>
    <w:p>
      <w:pPr>
        <w:pStyle w:val="6"/>
        <w:ind w:firstLine="480"/>
        <w:rPr>
          <w:rFonts w:hint="eastAsia"/>
        </w:rPr>
      </w:pPr>
      <w:r>
        <w:rPr>
          <w:rFonts w:hint="eastAsia"/>
        </w:rPr>
        <w:t>（7）《中华人民共和国土壤污染防治法》（2019年1月1日起施行）；</w:t>
      </w:r>
    </w:p>
    <w:p>
      <w:pPr>
        <w:pStyle w:val="6"/>
        <w:ind w:firstLine="480"/>
        <w:rPr>
          <w:rFonts w:hint="eastAsia"/>
        </w:rPr>
      </w:pPr>
      <w:r>
        <w:rPr>
          <w:rFonts w:hint="eastAsia"/>
        </w:rPr>
        <w:t xml:space="preserve">（8）《中华人民共和国清洁生产促进法》（2012年7月1日起施行）； </w:t>
      </w:r>
    </w:p>
    <w:p>
      <w:pPr>
        <w:pStyle w:val="6"/>
        <w:ind w:firstLine="480"/>
        <w:rPr>
          <w:rFonts w:hint="eastAsia"/>
        </w:rPr>
      </w:pPr>
      <w:r>
        <w:rPr>
          <w:rFonts w:hint="eastAsia"/>
        </w:rPr>
        <w:t xml:space="preserve">（9）《中华人民共和国循环经济促进法》（2018.10.26）； </w:t>
      </w:r>
    </w:p>
    <w:p>
      <w:pPr>
        <w:pStyle w:val="6"/>
        <w:ind w:firstLine="480"/>
        <w:rPr>
          <w:rFonts w:hint="eastAsia"/>
        </w:rPr>
      </w:pPr>
      <w:r>
        <w:rPr>
          <w:rFonts w:hint="eastAsia"/>
        </w:rPr>
        <w:t>（10）《中华人民共和国土地管理法》（2020.1.1）；</w:t>
      </w:r>
    </w:p>
    <w:p>
      <w:pPr>
        <w:pStyle w:val="6"/>
        <w:ind w:firstLine="480"/>
        <w:rPr>
          <w:rFonts w:hint="eastAsia"/>
        </w:rPr>
      </w:pPr>
      <w:r>
        <w:rPr>
          <w:rFonts w:hint="eastAsia"/>
        </w:rPr>
        <w:t xml:space="preserve">（11）《中华人民共和国水土保持法》（2010.12.25）； </w:t>
      </w:r>
    </w:p>
    <w:p>
      <w:pPr>
        <w:pStyle w:val="6"/>
        <w:ind w:firstLine="480"/>
        <w:rPr>
          <w:rFonts w:hint="eastAsia"/>
        </w:rPr>
      </w:pPr>
      <w:r>
        <w:rPr>
          <w:rFonts w:hint="eastAsia"/>
        </w:rPr>
        <w:t>（12）《中华人民共和国森林法》（2020年7月1日起施行）；</w:t>
      </w:r>
    </w:p>
    <w:p>
      <w:pPr>
        <w:pStyle w:val="6"/>
        <w:ind w:firstLine="480"/>
        <w:rPr>
          <w:rFonts w:hint="eastAsia"/>
        </w:rPr>
      </w:pPr>
      <w:r>
        <w:rPr>
          <w:rFonts w:hint="eastAsia"/>
        </w:rPr>
        <w:t>（13）《中华人民共和国野生动物保护法》（2018.10.26）；</w:t>
      </w:r>
    </w:p>
    <w:p>
      <w:pPr>
        <w:pStyle w:val="6"/>
        <w:ind w:firstLine="480"/>
        <w:rPr>
          <w:rFonts w:hint="eastAsia"/>
        </w:rPr>
      </w:pPr>
      <w:r>
        <w:rPr>
          <w:rFonts w:hint="eastAsia"/>
        </w:rPr>
        <w:t xml:space="preserve">（14）《中华人民共和国节约能源法》（2018.10.26）； </w:t>
      </w:r>
    </w:p>
    <w:p>
      <w:pPr>
        <w:pStyle w:val="6"/>
        <w:ind w:firstLine="480"/>
        <w:rPr>
          <w:rFonts w:hint="eastAsia"/>
        </w:rPr>
      </w:pPr>
      <w:r>
        <w:rPr>
          <w:rFonts w:hint="eastAsia"/>
        </w:rPr>
        <w:t xml:space="preserve">（15）《中华人民共和国旅游法》（2018.10.26）； </w:t>
      </w:r>
    </w:p>
    <w:p>
      <w:pPr>
        <w:pStyle w:val="6"/>
        <w:ind w:firstLine="480"/>
        <w:rPr>
          <w:rFonts w:hint="eastAsia"/>
        </w:rPr>
      </w:pPr>
      <w:r>
        <w:rPr>
          <w:rFonts w:hint="eastAsia"/>
        </w:rPr>
        <w:t xml:space="preserve">（16）《中华人民共和国水法》（2016.7.2）； </w:t>
      </w:r>
    </w:p>
    <w:p>
      <w:pPr>
        <w:pStyle w:val="6"/>
        <w:ind w:firstLine="480"/>
        <w:rPr>
          <w:rFonts w:hint="eastAsia"/>
        </w:rPr>
      </w:pPr>
      <w:r>
        <w:rPr>
          <w:rFonts w:hint="eastAsia"/>
        </w:rPr>
        <w:t xml:space="preserve">（17）《中华人民共和国文物保护法》（2017.11.4）； </w:t>
      </w:r>
    </w:p>
    <w:p>
      <w:pPr>
        <w:pStyle w:val="6"/>
        <w:ind w:firstLine="480"/>
        <w:rPr>
          <w:rFonts w:hint="eastAsia"/>
        </w:rPr>
      </w:pPr>
      <w:r>
        <w:rPr>
          <w:rFonts w:hint="eastAsia"/>
        </w:rPr>
        <w:t xml:space="preserve">（18）《中华人民共和国农业法》（2013.1.1）； </w:t>
      </w:r>
    </w:p>
    <w:p>
      <w:pPr>
        <w:pStyle w:val="6"/>
        <w:ind w:firstLine="480"/>
        <w:rPr>
          <w:rFonts w:hint="eastAsia"/>
        </w:rPr>
      </w:pPr>
      <w:r>
        <w:rPr>
          <w:rFonts w:hint="eastAsia"/>
        </w:rPr>
        <w:t>（19）《中华人民共和国传染病防治法》（2020.10.2）；</w:t>
      </w:r>
    </w:p>
    <w:p>
      <w:pPr>
        <w:pStyle w:val="6"/>
        <w:ind w:firstLine="480"/>
        <w:rPr>
          <w:rFonts w:hint="eastAsia"/>
        </w:rPr>
      </w:pPr>
      <w:r>
        <w:rPr>
          <w:rFonts w:hint="eastAsia"/>
        </w:rPr>
        <w:t>（20）《中华人民共和国长江保护法》（2021.3.1）；</w:t>
      </w:r>
    </w:p>
    <w:p>
      <w:pPr>
        <w:pStyle w:val="6"/>
        <w:ind w:firstLine="480"/>
        <w:rPr>
          <w:rFonts w:hint="eastAsia"/>
        </w:rPr>
      </w:pPr>
      <w:r>
        <w:rPr>
          <w:rFonts w:hint="eastAsia"/>
        </w:rPr>
        <w:t>（21）《规划环境影响评价条例》（2009.10.1）；</w:t>
      </w:r>
    </w:p>
    <w:p>
      <w:pPr>
        <w:pStyle w:val="6"/>
        <w:ind w:firstLine="480"/>
        <w:rPr>
          <w:rFonts w:hint="eastAsia"/>
        </w:rPr>
      </w:pPr>
      <w:r>
        <w:rPr>
          <w:rFonts w:hint="eastAsia"/>
        </w:rPr>
        <w:t>（22）《建设项目管理条例》（2017.10.1）；</w:t>
      </w:r>
    </w:p>
    <w:p>
      <w:pPr>
        <w:pStyle w:val="6"/>
        <w:ind w:firstLine="480"/>
        <w:rPr>
          <w:rFonts w:hint="eastAsia"/>
        </w:rPr>
      </w:pPr>
      <w:r>
        <w:rPr>
          <w:rFonts w:hint="eastAsia"/>
        </w:rPr>
        <w:t>（23）《中华人民共和国自然保护区条例》（2017年10月7日修订）；</w:t>
      </w:r>
    </w:p>
    <w:p>
      <w:pPr>
        <w:pStyle w:val="6"/>
        <w:ind w:firstLine="480"/>
        <w:rPr>
          <w:rFonts w:hint="eastAsia"/>
        </w:rPr>
      </w:pPr>
      <w:r>
        <w:rPr>
          <w:rFonts w:hint="eastAsia"/>
        </w:rPr>
        <w:t>（24）《风景名胜区条例》（2006年12月1日实施）；</w:t>
      </w:r>
    </w:p>
    <w:p>
      <w:pPr>
        <w:pStyle w:val="6"/>
        <w:ind w:firstLine="480"/>
        <w:rPr>
          <w:rFonts w:hint="eastAsia"/>
        </w:rPr>
      </w:pPr>
      <w:r>
        <w:rPr>
          <w:rFonts w:hint="eastAsia"/>
        </w:rPr>
        <w:t xml:space="preserve">（25）《基本农田保护条例》（1999.1.1）； </w:t>
      </w:r>
    </w:p>
    <w:p>
      <w:pPr>
        <w:pStyle w:val="6"/>
        <w:ind w:firstLine="480"/>
        <w:rPr>
          <w:rFonts w:hint="eastAsia"/>
        </w:rPr>
      </w:pPr>
      <w:r>
        <w:rPr>
          <w:rFonts w:hint="eastAsia"/>
        </w:rPr>
        <w:t xml:space="preserve">（26）《中华人民共和国野生植物保护条例》（2017.10.7）； </w:t>
      </w:r>
    </w:p>
    <w:p>
      <w:pPr>
        <w:pStyle w:val="6"/>
        <w:ind w:firstLine="480"/>
        <w:rPr>
          <w:rFonts w:hint="eastAsia"/>
        </w:rPr>
      </w:pPr>
      <w:r>
        <w:rPr>
          <w:rFonts w:hint="eastAsia"/>
        </w:rPr>
        <w:t>（27）《地下水管理条例》（2021.12.1）；</w:t>
      </w:r>
    </w:p>
    <w:p>
      <w:pPr>
        <w:pStyle w:val="6"/>
        <w:ind w:firstLine="480"/>
        <w:rPr>
          <w:rFonts w:hint="eastAsia"/>
        </w:rPr>
      </w:pPr>
      <w:r>
        <w:rPr>
          <w:rFonts w:hint="eastAsia"/>
        </w:rPr>
        <w:t>（28）《排污许可管理条例》（2021.3.1）；</w:t>
      </w:r>
    </w:p>
    <w:p>
      <w:pPr>
        <w:pStyle w:val="6"/>
        <w:ind w:firstLine="480"/>
        <w:rPr>
          <w:rFonts w:hint="eastAsia"/>
        </w:rPr>
      </w:pPr>
      <w:r>
        <w:rPr>
          <w:rFonts w:hint="eastAsia"/>
        </w:rPr>
        <w:t>（29）《城镇排水与污水处理条例》（2014.1.1）；</w:t>
      </w:r>
    </w:p>
    <w:p>
      <w:pPr>
        <w:pStyle w:val="6"/>
        <w:ind w:firstLine="480"/>
        <w:rPr>
          <w:rFonts w:hint="eastAsia"/>
        </w:rPr>
      </w:pPr>
      <w:r>
        <w:rPr>
          <w:rFonts w:hint="eastAsia"/>
        </w:rPr>
        <w:t>（30）《危险化学品安全管理条例》（2011.2.16）；</w:t>
      </w:r>
    </w:p>
    <w:p>
      <w:pPr>
        <w:pStyle w:val="6"/>
        <w:ind w:firstLine="480"/>
        <w:rPr>
          <w:rFonts w:hint="eastAsia"/>
        </w:rPr>
      </w:pPr>
      <w:r>
        <w:rPr>
          <w:rFonts w:hint="eastAsia"/>
        </w:rPr>
        <w:t>（31）《中共中央 国务院关于深入打好污染防治攻坚战的意见》（2021.11.2）；</w:t>
      </w:r>
    </w:p>
    <w:p>
      <w:pPr>
        <w:pStyle w:val="6"/>
        <w:ind w:firstLine="480"/>
        <w:rPr>
          <w:rFonts w:hint="eastAsia"/>
        </w:rPr>
      </w:pPr>
      <w:r>
        <w:rPr>
          <w:rFonts w:hint="eastAsia"/>
        </w:rPr>
        <w:t>（31）《国务院关于印发土壤污染防治行动计划的通知》（国发〔2016〕31号）；</w:t>
      </w:r>
    </w:p>
    <w:p>
      <w:pPr>
        <w:pStyle w:val="6"/>
        <w:ind w:firstLine="480"/>
        <w:rPr>
          <w:rFonts w:hint="eastAsia"/>
        </w:rPr>
      </w:pPr>
      <w:r>
        <w:rPr>
          <w:rFonts w:hint="eastAsia"/>
        </w:rPr>
        <w:t>（32）《国务院关于印发水污染防治行动计划的通知》（国发〔2015〕17号）；</w:t>
      </w:r>
    </w:p>
    <w:p>
      <w:pPr>
        <w:pStyle w:val="6"/>
        <w:ind w:firstLine="480"/>
        <w:rPr>
          <w:rFonts w:hint="eastAsia"/>
        </w:rPr>
      </w:pPr>
      <w:r>
        <w:rPr>
          <w:rFonts w:hint="eastAsia"/>
        </w:rPr>
        <w:t>（33）《国务院关于印发大气污染防治行动计划的通知》（国发〔2013〕37号）；</w:t>
      </w:r>
    </w:p>
    <w:p>
      <w:pPr>
        <w:pStyle w:val="6"/>
        <w:ind w:firstLine="480"/>
        <w:rPr>
          <w:rFonts w:hint="eastAsia"/>
        </w:rPr>
      </w:pPr>
      <w:r>
        <w:rPr>
          <w:rFonts w:hint="eastAsia"/>
        </w:rPr>
        <w:t>（34）《环境保护部关于规划环境影响评价加强空间管制、总量管控和环境准入的指导意见（试行）》（环办环评〔2016〕14 号）；</w:t>
      </w:r>
    </w:p>
    <w:p>
      <w:pPr>
        <w:pStyle w:val="6"/>
        <w:ind w:firstLine="480"/>
        <w:rPr>
          <w:rFonts w:hint="eastAsia"/>
        </w:rPr>
      </w:pPr>
      <w:r>
        <w:rPr>
          <w:rFonts w:hint="eastAsia"/>
        </w:rPr>
        <w:t>（35）《环境保护部关于以改善环境质量为核心加强环境影响评价管理的通知》（环环评〔2016〕150 号）；</w:t>
      </w:r>
    </w:p>
    <w:p>
      <w:pPr>
        <w:pStyle w:val="6"/>
        <w:ind w:firstLine="480"/>
        <w:rPr>
          <w:rFonts w:hint="eastAsia"/>
        </w:rPr>
      </w:pPr>
      <w:r>
        <w:rPr>
          <w:rFonts w:hint="eastAsia"/>
        </w:rPr>
        <w:t>（36）《关于进一步加强生物多样性保护的意见》（2021.10.19）；</w:t>
      </w:r>
    </w:p>
    <w:p>
      <w:pPr>
        <w:pStyle w:val="6"/>
        <w:ind w:firstLine="480"/>
        <w:rPr>
          <w:rFonts w:hint="eastAsia"/>
        </w:rPr>
      </w:pPr>
      <w:r>
        <w:rPr>
          <w:rFonts w:hint="eastAsia"/>
        </w:rPr>
        <w:t>（37）《国务院关于加快建立健全绿色低碳循环发展经济体系的指导意见》（2021.2.2）；</w:t>
      </w:r>
    </w:p>
    <w:p>
      <w:pPr>
        <w:pStyle w:val="6"/>
        <w:ind w:firstLine="480"/>
        <w:rPr>
          <w:rFonts w:hint="eastAsia"/>
        </w:rPr>
      </w:pPr>
      <w:r>
        <w:rPr>
          <w:rFonts w:hint="eastAsia"/>
        </w:rPr>
        <w:t>（38）《中华人民共和国国民经济和社会发展第十四个五年规划和2035年远景目标纲要》；</w:t>
      </w:r>
    </w:p>
    <w:p>
      <w:pPr>
        <w:pStyle w:val="6"/>
        <w:ind w:firstLine="480"/>
        <w:rPr>
          <w:rFonts w:hint="eastAsia"/>
        </w:rPr>
      </w:pPr>
      <w:r>
        <w:rPr>
          <w:rFonts w:hint="eastAsia"/>
        </w:rPr>
        <w:t>（39）《产业结构调整指导目录）》（20</w:t>
      </w:r>
      <w:r>
        <w:rPr>
          <w:rFonts w:hint="eastAsia"/>
          <w:lang w:val="en-US" w:eastAsia="zh-CN"/>
        </w:rPr>
        <w:t>21</w:t>
      </w:r>
      <w:r>
        <w:rPr>
          <w:rFonts w:hint="eastAsia"/>
        </w:rPr>
        <w:t xml:space="preserve">年本）； </w:t>
      </w:r>
    </w:p>
    <w:p>
      <w:pPr>
        <w:pStyle w:val="6"/>
        <w:ind w:firstLine="480"/>
        <w:rPr>
          <w:rFonts w:hint="eastAsia"/>
        </w:rPr>
      </w:pPr>
      <w:r>
        <w:rPr>
          <w:rFonts w:hint="eastAsia"/>
        </w:rPr>
        <w:t>（40）《环境影响评价公众参与办法》（2019.1.1）</w:t>
      </w:r>
    </w:p>
    <w:p>
      <w:pPr>
        <w:pStyle w:val="6"/>
        <w:bidi w:val="0"/>
        <w:rPr>
          <w:rFonts w:hint="eastAsia"/>
          <w:color w:val="auto"/>
          <w:highlight w:val="none"/>
        </w:rPr>
      </w:pPr>
      <w:r>
        <w:rPr>
          <w:rFonts w:hint="eastAsia"/>
        </w:rPr>
        <w:t>（41）《国家重点保护野生植物名录（第一批）修正案》（2001.8）。</w:t>
      </w:r>
    </w:p>
    <w:p>
      <w:pPr>
        <w:pStyle w:val="5"/>
        <w:bidi w:val="0"/>
        <w:rPr>
          <w:rFonts w:hint="eastAsia"/>
          <w:color w:val="auto"/>
          <w:highlight w:val="none"/>
        </w:rPr>
      </w:pPr>
      <w:bookmarkStart w:id="16" w:name="_Toc21404"/>
      <w:bookmarkStart w:id="17" w:name="_Toc32017"/>
      <w:r>
        <w:rPr>
          <w:rFonts w:hint="eastAsia"/>
          <w:color w:val="auto"/>
          <w:highlight w:val="none"/>
        </w:rPr>
        <w:t>1.2.2地方政府及其职能部门的法规、政策及规范性文件</w:t>
      </w:r>
      <w:bookmarkEnd w:id="16"/>
      <w:bookmarkEnd w:id="17"/>
    </w:p>
    <w:p>
      <w:pPr>
        <w:pStyle w:val="6"/>
        <w:ind w:firstLine="480"/>
        <w:rPr>
          <w:rFonts w:hint="eastAsia"/>
        </w:rPr>
      </w:pPr>
      <w:r>
        <w:rPr>
          <w:rFonts w:hint="eastAsia"/>
        </w:rPr>
        <w:t>（1）《西藏自治区旅游管理条例》（2002年10月1日起实施）；</w:t>
      </w:r>
    </w:p>
    <w:p>
      <w:pPr>
        <w:pStyle w:val="6"/>
        <w:ind w:firstLine="480"/>
        <w:rPr>
          <w:rFonts w:hint="eastAsia"/>
        </w:rPr>
      </w:pPr>
      <w:r>
        <w:rPr>
          <w:rFonts w:hint="eastAsia"/>
        </w:rPr>
        <w:t>（2）《西藏自治区文物保护条例》（2007年8月20日起实施）；</w:t>
      </w:r>
    </w:p>
    <w:p>
      <w:pPr>
        <w:pStyle w:val="6"/>
        <w:ind w:firstLine="480"/>
        <w:rPr>
          <w:rFonts w:hint="eastAsia"/>
        </w:rPr>
      </w:pPr>
      <w:r>
        <w:rPr>
          <w:rFonts w:hint="eastAsia"/>
        </w:rPr>
        <w:t>（3）《西藏自治区公路条例》（2010年7月30日起实施）；</w:t>
      </w:r>
    </w:p>
    <w:p>
      <w:pPr>
        <w:pStyle w:val="6"/>
        <w:ind w:firstLine="480"/>
        <w:rPr>
          <w:rFonts w:hint="eastAsia"/>
        </w:rPr>
      </w:pPr>
      <w:r>
        <w:rPr>
          <w:rFonts w:hint="eastAsia"/>
        </w:rPr>
        <w:t>（4）《西藏自治区旅游条例》（2017年2月1日起实施）；</w:t>
      </w:r>
    </w:p>
    <w:p>
      <w:pPr>
        <w:pStyle w:val="6"/>
        <w:ind w:firstLine="480"/>
        <w:rPr>
          <w:rFonts w:hint="eastAsia"/>
        </w:rPr>
      </w:pPr>
      <w:r>
        <w:rPr>
          <w:rFonts w:hint="eastAsia"/>
        </w:rPr>
        <w:t>（5）《西藏自治区湿地保护条例》（2011年3月1日起施行）；</w:t>
      </w:r>
    </w:p>
    <w:p>
      <w:pPr>
        <w:pStyle w:val="6"/>
        <w:ind w:firstLine="480"/>
        <w:rPr>
          <w:rFonts w:hint="eastAsia"/>
        </w:rPr>
      </w:pPr>
      <w:r>
        <w:rPr>
          <w:rFonts w:hint="eastAsia"/>
        </w:rPr>
        <w:t>（6）《西藏自治区城乡规划条例》（2012年6月1日起施行）；</w:t>
      </w:r>
    </w:p>
    <w:p>
      <w:pPr>
        <w:pStyle w:val="6"/>
        <w:ind w:firstLine="480"/>
        <w:rPr>
          <w:rFonts w:hint="eastAsia"/>
        </w:rPr>
      </w:pPr>
      <w:r>
        <w:rPr>
          <w:rFonts w:hint="eastAsia"/>
        </w:rPr>
        <w:t>（7）《西藏自治区环境保护条例》（2013年9月1日起施行）；</w:t>
      </w:r>
    </w:p>
    <w:p>
      <w:pPr>
        <w:pStyle w:val="6"/>
        <w:ind w:firstLine="480"/>
        <w:rPr>
          <w:rFonts w:hint="eastAsia"/>
        </w:rPr>
      </w:pPr>
      <w:r>
        <w:rPr>
          <w:rFonts w:hint="eastAsia"/>
        </w:rPr>
        <w:t>（8）《西藏自治区实施&lt;中华人民共和国野生动物保护法&gt;办法》（2002年1月20日起施行）；</w:t>
      </w:r>
    </w:p>
    <w:p>
      <w:pPr>
        <w:pStyle w:val="6"/>
        <w:ind w:firstLine="480"/>
        <w:rPr>
          <w:rFonts w:hint="eastAsia"/>
        </w:rPr>
      </w:pPr>
      <w:r>
        <w:rPr>
          <w:rFonts w:hint="eastAsia"/>
        </w:rPr>
        <w:t>（9）《西藏自治区饮用水水源环境保护管理办法》（2005年1月1日起施行）；</w:t>
      </w:r>
    </w:p>
    <w:p>
      <w:pPr>
        <w:pStyle w:val="6"/>
        <w:ind w:firstLine="480"/>
        <w:rPr>
          <w:rFonts w:hint="eastAsia"/>
        </w:rPr>
      </w:pPr>
      <w:r>
        <w:rPr>
          <w:rFonts w:hint="eastAsia"/>
        </w:rPr>
        <w:t>（10）《西藏自治区野生植物保护办法》（2009年10月1日起施行）；</w:t>
      </w:r>
    </w:p>
    <w:p>
      <w:pPr>
        <w:pStyle w:val="6"/>
        <w:ind w:firstLine="480"/>
        <w:rPr>
          <w:rFonts w:hint="eastAsia"/>
        </w:rPr>
      </w:pPr>
      <w:r>
        <w:rPr>
          <w:rFonts w:hint="eastAsia"/>
        </w:rPr>
        <w:t>（11）《西藏自治区林地管理办法》（2009年10月1日起实施）；</w:t>
      </w:r>
    </w:p>
    <w:p>
      <w:pPr>
        <w:pStyle w:val="6"/>
        <w:ind w:firstLine="480"/>
        <w:rPr>
          <w:rFonts w:hint="eastAsia"/>
        </w:rPr>
      </w:pPr>
      <w:r>
        <w:rPr>
          <w:rFonts w:hint="eastAsia"/>
        </w:rPr>
        <w:t>（12）《西藏自治区生态环境保护监督管理办法》（2013年7月25日起施行）；</w:t>
      </w:r>
    </w:p>
    <w:p>
      <w:pPr>
        <w:pStyle w:val="6"/>
        <w:ind w:firstLine="480"/>
        <w:rPr>
          <w:rFonts w:hint="eastAsia"/>
        </w:rPr>
      </w:pPr>
      <w:r>
        <w:rPr>
          <w:rFonts w:hint="eastAsia"/>
        </w:rPr>
        <w:t>（13）《西藏自治区实施〈中华人民共和国防洪法〉办法》（2007年3月1日起实施）；</w:t>
      </w:r>
    </w:p>
    <w:p>
      <w:pPr>
        <w:pStyle w:val="6"/>
        <w:ind w:firstLine="480"/>
        <w:rPr>
          <w:rFonts w:hint="eastAsia"/>
        </w:rPr>
      </w:pPr>
      <w:r>
        <w:rPr>
          <w:rFonts w:hint="eastAsia"/>
        </w:rPr>
        <w:t>（14）《西藏自治区实施&lt;中华人民共和国土地管理法&gt;办法》（2011年11月24日起施行）；</w:t>
      </w:r>
    </w:p>
    <w:p>
      <w:pPr>
        <w:pStyle w:val="6"/>
        <w:ind w:firstLine="480"/>
        <w:rPr>
          <w:rFonts w:hint="eastAsia"/>
        </w:rPr>
      </w:pPr>
      <w:r>
        <w:rPr>
          <w:rFonts w:hint="eastAsia"/>
        </w:rPr>
        <w:t>（15）《西藏自治区实施&lt;中华人民共和国水土保持法&gt;办法》（2013年10月1日起施行）；</w:t>
      </w:r>
    </w:p>
    <w:p>
      <w:pPr>
        <w:pStyle w:val="6"/>
        <w:ind w:firstLine="480"/>
        <w:rPr>
          <w:rFonts w:hint="eastAsia"/>
        </w:rPr>
      </w:pPr>
      <w:r>
        <w:rPr>
          <w:rFonts w:hint="eastAsia"/>
        </w:rPr>
        <w:t>（16）《西藏自治区实施&lt;中华人民共和国水法&gt;办法》，（2013年10月1日起施行）；</w:t>
      </w:r>
    </w:p>
    <w:p>
      <w:pPr>
        <w:pStyle w:val="6"/>
        <w:ind w:firstLine="480"/>
        <w:rPr>
          <w:rFonts w:hint="eastAsia"/>
        </w:rPr>
      </w:pPr>
      <w:r>
        <w:rPr>
          <w:rFonts w:hint="eastAsia"/>
        </w:rPr>
        <w:t>（17）《西藏自治区生物多样性保护战略与行动计划》（西藏自治区人民政府，2014年6月）；</w:t>
      </w:r>
    </w:p>
    <w:p>
      <w:pPr>
        <w:pStyle w:val="6"/>
        <w:ind w:firstLine="480"/>
        <w:rPr>
          <w:rFonts w:hint="eastAsia"/>
        </w:rPr>
      </w:pPr>
      <w:r>
        <w:rPr>
          <w:rFonts w:hint="eastAsia"/>
        </w:rPr>
        <w:t>（18）《实施国务院关于落实科学发展观加强环境保护的决定的意见》（藏政发[2007]15号）；</w:t>
      </w:r>
    </w:p>
    <w:p>
      <w:pPr>
        <w:pStyle w:val="6"/>
        <w:ind w:firstLine="480"/>
        <w:rPr>
          <w:rFonts w:hint="eastAsia"/>
        </w:rPr>
      </w:pPr>
      <w:r>
        <w:rPr>
          <w:rFonts w:hint="eastAsia"/>
        </w:rPr>
        <w:t>（19）西藏自治区人民政府关于印发《西藏自治区“三线一单”生态环境分区管控方案》的通知（藏政发[2020]11号）；</w:t>
      </w:r>
    </w:p>
    <w:p>
      <w:pPr>
        <w:pStyle w:val="6"/>
        <w:bidi w:val="0"/>
        <w:rPr>
          <w:rFonts w:hint="eastAsia"/>
          <w:color w:val="auto"/>
          <w:highlight w:val="none"/>
        </w:rPr>
      </w:pPr>
      <w:r>
        <w:rPr>
          <w:rFonts w:hint="eastAsia"/>
        </w:rPr>
        <w:t>（20）《西藏自治区水污染防治行动计划工作方案》（西藏自治区人民政府办公厅秘书处2015年12月25日印发）。</w:t>
      </w:r>
    </w:p>
    <w:p>
      <w:pPr>
        <w:pStyle w:val="5"/>
        <w:bidi w:val="0"/>
        <w:rPr>
          <w:rFonts w:hint="eastAsia"/>
          <w:color w:val="auto"/>
          <w:highlight w:val="none"/>
        </w:rPr>
      </w:pPr>
      <w:bookmarkStart w:id="18" w:name="_Toc27809"/>
      <w:bookmarkStart w:id="19" w:name="_Toc19482"/>
      <w:r>
        <w:rPr>
          <w:rFonts w:hint="eastAsia"/>
          <w:color w:val="auto"/>
          <w:highlight w:val="none"/>
        </w:rPr>
        <w:t>1.2.</w:t>
      </w:r>
      <w:r>
        <w:rPr>
          <w:rFonts w:hint="eastAsia"/>
          <w:color w:val="auto"/>
          <w:highlight w:val="none"/>
          <w:lang w:val="en-US" w:eastAsia="zh-CN"/>
        </w:rPr>
        <w:t>3</w:t>
      </w:r>
      <w:bookmarkEnd w:id="18"/>
      <w:r>
        <w:rPr>
          <w:rFonts w:hint="eastAsia"/>
          <w:color w:val="auto"/>
          <w:highlight w:val="none"/>
        </w:rPr>
        <w:t>环境影响评价导则及相关技术规范、标准</w:t>
      </w:r>
      <w:bookmarkEnd w:id="19"/>
    </w:p>
    <w:p>
      <w:pPr>
        <w:pStyle w:val="6"/>
        <w:ind w:firstLine="480"/>
        <w:rPr>
          <w:rFonts w:hint="eastAsia"/>
        </w:rPr>
      </w:pPr>
      <w:r>
        <w:rPr>
          <w:rFonts w:hint="eastAsia"/>
        </w:rPr>
        <w:t>（1）《规划环境影响评价技术导则 总纲》（HJ130-2019）；</w:t>
      </w:r>
    </w:p>
    <w:p>
      <w:pPr>
        <w:pStyle w:val="6"/>
        <w:ind w:firstLine="480"/>
        <w:rPr>
          <w:rFonts w:hint="eastAsia"/>
        </w:rPr>
      </w:pPr>
      <w:r>
        <w:rPr>
          <w:rFonts w:hint="eastAsia"/>
        </w:rPr>
        <w:t>（2）《环境影响评价技术导则 大气环境》（HJ2.2-2018）；</w:t>
      </w:r>
    </w:p>
    <w:p>
      <w:pPr>
        <w:pStyle w:val="6"/>
        <w:ind w:firstLine="480"/>
        <w:rPr>
          <w:rFonts w:hint="eastAsia"/>
        </w:rPr>
      </w:pPr>
      <w:r>
        <w:rPr>
          <w:rFonts w:hint="eastAsia"/>
        </w:rPr>
        <w:t>（3）《环境影响评价技术导则 地表水环境》（HJ2.3-2018）；</w:t>
      </w:r>
    </w:p>
    <w:p>
      <w:pPr>
        <w:pStyle w:val="6"/>
        <w:ind w:firstLine="480"/>
        <w:rPr>
          <w:rFonts w:hint="eastAsia"/>
        </w:rPr>
      </w:pPr>
      <w:r>
        <w:rPr>
          <w:rFonts w:hint="eastAsia"/>
        </w:rPr>
        <w:t>（4）《环境影响评价技术导则 声环境》（HJ2.4-2021）；</w:t>
      </w:r>
    </w:p>
    <w:p>
      <w:pPr>
        <w:pStyle w:val="6"/>
        <w:ind w:firstLine="480"/>
        <w:rPr>
          <w:rFonts w:hint="eastAsia"/>
        </w:rPr>
      </w:pPr>
      <w:r>
        <w:rPr>
          <w:rFonts w:hint="eastAsia"/>
        </w:rPr>
        <w:t>（5）《环境影响评价技术 导则 生态影响》（HJ19—2022）；</w:t>
      </w:r>
    </w:p>
    <w:p>
      <w:pPr>
        <w:pStyle w:val="6"/>
        <w:ind w:firstLine="480"/>
        <w:rPr>
          <w:rFonts w:hint="eastAsia"/>
        </w:rPr>
      </w:pPr>
      <w:r>
        <w:rPr>
          <w:rFonts w:hint="eastAsia"/>
        </w:rPr>
        <w:t>（6）《环境影响评价技术导则 地下水环境》（HJ610-2016）；</w:t>
      </w:r>
    </w:p>
    <w:p>
      <w:pPr>
        <w:pStyle w:val="6"/>
        <w:ind w:firstLine="480"/>
        <w:rPr>
          <w:rFonts w:hint="eastAsia"/>
        </w:rPr>
      </w:pPr>
      <w:r>
        <w:rPr>
          <w:rFonts w:hint="eastAsia"/>
        </w:rPr>
        <w:t>（7）《环境影响评价技术导则 土壤环境》（HJ964-2018）；</w:t>
      </w:r>
    </w:p>
    <w:p>
      <w:pPr>
        <w:pStyle w:val="6"/>
        <w:ind w:firstLine="480"/>
        <w:rPr>
          <w:rFonts w:hint="eastAsia"/>
        </w:rPr>
      </w:pPr>
      <w:r>
        <w:rPr>
          <w:rFonts w:hint="eastAsia"/>
        </w:rPr>
        <w:t>（8）《环境噪声与振动控制工程技术导则》（HJ2034-2013）；</w:t>
      </w:r>
    </w:p>
    <w:p>
      <w:pPr>
        <w:pStyle w:val="6"/>
        <w:ind w:firstLine="480"/>
        <w:rPr>
          <w:rFonts w:hint="eastAsia"/>
        </w:rPr>
      </w:pPr>
      <w:r>
        <w:rPr>
          <w:rFonts w:hint="eastAsia"/>
        </w:rPr>
        <w:t>（9）《建设项目环境风险评价技术导则》（HJ169-2018）；</w:t>
      </w:r>
    </w:p>
    <w:p>
      <w:pPr>
        <w:pStyle w:val="6"/>
        <w:ind w:firstLine="480"/>
        <w:rPr>
          <w:rFonts w:hint="eastAsia"/>
        </w:rPr>
      </w:pPr>
      <w:r>
        <w:rPr>
          <w:rFonts w:hint="eastAsia"/>
        </w:rPr>
        <w:t>（10）《环境空气质量标准》（GB3095-2012）；</w:t>
      </w:r>
    </w:p>
    <w:p>
      <w:pPr>
        <w:pStyle w:val="6"/>
        <w:ind w:firstLine="480"/>
        <w:rPr>
          <w:rFonts w:hint="eastAsia"/>
        </w:rPr>
      </w:pPr>
      <w:r>
        <w:rPr>
          <w:rFonts w:hint="eastAsia"/>
        </w:rPr>
        <w:t>（11）《地表水环境质量标准》(GB3838-2002)；</w:t>
      </w:r>
    </w:p>
    <w:p>
      <w:pPr>
        <w:pStyle w:val="6"/>
        <w:ind w:firstLine="480"/>
        <w:rPr>
          <w:rFonts w:hint="eastAsia"/>
        </w:rPr>
      </w:pPr>
      <w:r>
        <w:rPr>
          <w:rFonts w:hint="eastAsia"/>
        </w:rPr>
        <w:t>（12）《地下水环境质量标准》(GB/T14848-2017)；</w:t>
      </w:r>
    </w:p>
    <w:p>
      <w:pPr>
        <w:pStyle w:val="6"/>
        <w:bidi w:val="0"/>
        <w:rPr>
          <w:color w:val="auto"/>
          <w:highlight w:val="none"/>
        </w:rPr>
      </w:pPr>
      <w:r>
        <w:rPr>
          <w:rFonts w:hint="eastAsia"/>
        </w:rPr>
        <w:t>（13）《声环境质量标准》(GB3096-2008)。</w:t>
      </w:r>
    </w:p>
    <w:p>
      <w:pPr>
        <w:pStyle w:val="5"/>
        <w:bidi w:val="0"/>
        <w:rPr>
          <w:rFonts w:hint="default"/>
          <w:color w:val="auto"/>
          <w:highlight w:val="none"/>
          <w:lang w:val="en-US" w:eastAsia="zh-CN"/>
        </w:rPr>
      </w:pPr>
      <w:bookmarkStart w:id="20" w:name="_Toc1221"/>
      <w:bookmarkStart w:id="21" w:name="_Toc11035"/>
      <w:r>
        <w:rPr>
          <w:rFonts w:hint="eastAsia"/>
          <w:color w:val="auto"/>
          <w:highlight w:val="none"/>
          <w:lang w:val="en-US" w:eastAsia="zh-CN"/>
        </w:rPr>
        <w:t>1.2.4规划相关资料</w:t>
      </w:r>
      <w:bookmarkEnd w:id="20"/>
      <w:bookmarkEnd w:id="21"/>
    </w:p>
    <w:p>
      <w:pPr>
        <w:pStyle w:val="6"/>
        <w:ind w:firstLine="480"/>
        <w:rPr>
          <w:rFonts w:hint="eastAsia"/>
        </w:rPr>
      </w:pPr>
      <w:r>
        <w:rPr>
          <w:rFonts w:hint="eastAsia"/>
        </w:rPr>
        <w:t>（1）《全国生态旅游发展规划》（2016-2025年）；</w:t>
      </w:r>
    </w:p>
    <w:p>
      <w:pPr>
        <w:pStyle w:val="6"/>
        <w:ind w:firstLine="480"/>
        <w:rPr>
          <w:rFonts w:hint="eastAsia"/>
        </w:rPr>
      </w:pPr>
      <w:r>
        <w:rPr>
          <w:rFonts w:hint="eastAsia"/>
        </w:rPr>
        <w:t>（2）《全国生态保护与建设规划（2013-2020）》；</w:t>
      </w:r>
    </w:p>
    <w:p>
      <w:pPr>
        <w:pStyle w:val="6"/>
        <w:ind w:firstLine="480"/>
        <w:rPr>
          <w:rFonts w:hint="eastAsia"/>
        </w:rPr>
      </w:pPr>
      <w:r>
        <w:rPr>
          <w:rFonts w:hint="eastAsia"/>
        </w:rPr>
        <w:t>（3）《西藏自治区生态功能区划》；</w:t>
      </w:r>
    </w:p>
    <w:p>
      <w:pPr>
        <w:pStyle w:val="6"/>
        <w:ind w:firstLine="480"/>
        <w:rPr>
          <w:rFonts w:hint="eastAsia"/>
        </w:rPr>
      </w:pPr>
      <w:r>
        <w:rPr>
          <w:rFonts w:hint="eastAsia"/>
        </w:rPr>
        <w:t>（4）《西藏自治区主体功能区规划》；</w:t>
      </w:r>
    </w:p>
    <w:p>
      <w:pPr>
        <w:pStyle w:val="6"/>
        <w:ind w:firstLine="480"/>
        <w:rPr>
          <w:rFonts w:hint="eastAsia"/>
        </w:rPr>
      </w:pPr>
      <w:r>
        <w:rPr>
          <w:rFonts w:hint="eastAsia"/>
        </w:rPr>
        <w:t>（5）《西藏自治区“十四五”时期旅游综合发展规划》；</w:t>
      </w:r>
    </w:p>
    <w:p>
      <w:pPr>
        <w:pStyle w:val="6"/>
        <w:ind w:firstLine="480"/>
        <w:rPr>
          <w:rFonts w:hint="eastAsia"/>
        </w:rPr>
      </w:pPr>
      <w:r>
        <w:rPr>
          <w:rFonts w:hint="eastAsia"/>
        </w:rPr>
        <w:t>（6）《西藏自治区“十四五”时期生态环境保护规划》；</w:t>
      </w:r>
    </w:p>
    <w:p>
      <w:pPr>
        <w:pStyle w:val="6"/>
        <w:ind w:firstLine="480"/>
        <w:rPr>
          <w:rFonts w:hint="eastAsia"/>
          <w:color w:val="0000FF"/>
          <w:lang w:eastAsia="zh-CN"/>
        </w:rPr>
      </w:pPr>
      <w:r>
        <w:rPr>
          <w:rFonts w:hint="eastAsia"/>
          <w:color w:val="0000FF"/>
          <w:lang w:eastAsia="zh-CN"/>
        </w:rPr>
        <w:t>（</w:t>
      </w:r>
      <w:r>
        <w:rPr>
          <w:rFonts w:hint="eastAsia"/>
          <w:color w:val="0000FF"/>
          <w:lang w:val="en-US" w:eastAsia="zh-CN"/>
        </w:rPr>
        <w:t>7</w:t>
      </w:r>
      <w:r>
        <w:rPr>
          <w:rFonts w:hint="eastAsia"/>
          <w:color w:val="0000FF"/>
          <w:lang w:eastAsia="zh-CN"/>
        </w:rPr>
        <w:t>）《西藏自治区国民经济和社会发展第十四个五年规划和二〇三五年远景目标纲要》</w:t>
      </w:r>
    </w:p>
    <w:p>
      <w:pPr>
        <w:pStyle w:val="6"/>
        <w:ind w:firstLine="480"/>
        <w:rPr>
          <w:rFonts w:hint="eastAsia"/>
          <w:color w:val="0000FF"/>
          <w:lang w:eastAsia="zh-CN"/>
        </w:rPr>
      </w:pPr>
      <w:r>
        <w:rPr>
          <w:rFonts w:hint="eastAsia"/>
          <w:color w:val="0000FF"/>
          <w:lang w:eastAsia="zh-CN"/>
        </w:rPr>
        <w:t>（</w:t>
      </w:r>
      <w:r>
        <w:rPr>
          <w:rFonts w:hint="eastAsia"/>
          <w:color w:val="0000FF"/>
          <w:lang w:val="en-US" w:eastAsia="zh-CN"/>
        </w:rPr>
        <w:t>8</w:t>
      </w:r>
      <w:r>
        <w:rPr>
          <w:rFonts w:hint="eastAsia"/>
          <w:color w:val="0000FF"/>
          <w:lang w:eastAsia="zh-CN"/>
        </w:rPr>
        <w:t>）《林芝市国民经济和社会发展第十四个五年规划和二〇三五年远景目标纲要》</w:t>
      </w:r>
    </w:p>
    <w:p>
      <w:pPr>
        <w:pStyle w:val="6"/>
        <w:ind w:firstLine="480"/>
        <w:rPr>
          <w:rFonts w:hint="eastAsia"/>
        </w:rPr>
      </w:pPr>
      <w:r>
        <w:rPr>
          <w:rFonts w:hint="eastAsia"/>
        </w:rPr>
        <w:t>（</w:t>
      </w:r>
      <w:r>
        <w:rPr>
          <w:rFonts w:hint="eastAsia"/>
          <w:lang w:val="en-US" w:eastAsia="zh-CN"/>
        </w:rPr>
        <w:t>9</w:t>
      </w:r>
      <w:r>
        <w:rPr>
          <w:rFonts w:hint="eastAsia"/>
        </w:rPr>
        <w:t>）《西藏雅鲁藏布大峡谷国家级自然保护区总体规划（2011~2020）》；</w:t>
      </w:r>
    </w:p>
    <w:p>
      <w:pPr>
        <w:pStyle w:val="6"/>
        <w:ind w:firstLine="480"/>
        <w:rPr>
          <w:rFonts w:hint="eastAsia"/>
        </w:rPr>
      </w:pPr>
      <w:r>
        <w:rPr>
          <w:rFonts w:hint="eastAsia"/>
        </w:rPr>
        <w:t>（</w:t>
      </w:r>
      <w:r>
        <w:rPr>
          <w:rFonts w:hint="eastAsia"/>
          <w:lang w:val="en-US" w:eastAsia="zh-CN"/>
        </w:rPr>
        <w:t>10</w:t>
      </w:r>
      <w:r>
        <w:rPr>
          <w:rFonts w:hint="eastAsia"/>
        </w:rPr>
        <w:t>）《西藏察隅慈巴沟国家级自然保护区总体规划（2011~2020）》；</w:t>
      </w:r>
    </w:p>
    <w:p>
      <w:pPr>
        <w:pStyle w:val="6"/>
        <w:ind w:firstLine="480"/>
        <w:rPr>
          <w:rFonts w:hint="eastAsia"/>
        </w:rPr>
      </w:pPr>
      <w:r>
        <w:rPr>
          <w:rFonts w:hint="eastAsia"/>
        </w:rPr>
        <w:t>（</w:t>
      </w:r>
      <w:r>
        <w:rPr>
          <w:rFonts w:hint="eastAsia"/>
          <w:lang w:val="en-US" w:eastAsia="zh-CN"/>
        </w:rPr>
        <w:t>11</w:t>
      </w:r>
      <w:r>
        <w:rPr>
          <w:rFonts w:hint="eastAsia"/>
        </w:rPr>
        <w:t>）《西藏工布自然保护区总体规划》；</w:t>
      </w:r>
    </w:p>
    <w:p>
      <w:pPr>
        <w:pStyle w:val="6"/>
        <w:ind w:firstLine="480"/>
        <w:rPr>
          <w:rFonts w:hint="eastAsia"/>
        </w:rPr>
      </w:pPr>
      <w:r>
        <w:rPr>
          <w:rFonts w:hint="eastAsia"/>
        </w:rPr>
        <w:t>（</w:t>
      </w:r>
      <w:r>
        <w:rPr>
          <w:rFonts w:hint="eastAsia"/>
          <w:lang w:val="en-US" w:eastAsia="zh-CN"/>
        </w:rPr>
        <w:t>12</w:t>
      </w:r>
      <w:r>
        <w:rPr>
          <w:rFonts w:hint="eastAsia"/>
        </w:rPr>
        <w:t>）《西藏雅尼国家湿地公园总体规划（2009~2018）》；</w:t>
      </w:r>
    </w:p>
    <w:p>
      <w:pPr>
        <w:pStyle w:val="6"/>
        <w:ind w:firstLine="480"/>
        <w:rPr>
          <w:rFonts w:hint="eastAsia"/>
        </w:rPr>
      </w:pPr>
      <w:r>
        <w:rPr>
          <w:rFonts w:hint="eastAsia"/>
        </w:rPr>
        <w:t>（</w:t>
      </w:r>
      <w:r>
        <w:rPr>
          <w:rFonts w:hint="eastAsia"/>
          <w:lang w:val="en-US" w:eastAsia="zh-CN"/>
        </w:rPr>
        <w:t>13</w:t>
      </w:r>
      <w:r>
        <w:rPr>
          <w:rFonts w:hint="eastAsia"/>
        </w:rPr>
        <w:t>）《西藏林芝嘎朗国家湿地公园总体规划（2009~2018）》；</w:t>
      </w:r>
    </w:p>
    <w:p>
      <w:pPr>
        <w:pStyle w:val="6"/>
        <w:ind w:firstLine="480"/>
        <w:rPr>
          <w:rFonts w:hint="eastAsia"/>
        </w:rPr>
      </w:pPr>
      <w:r>
        <w:rPr>
          <w:rFonts w:hint="eastAsia"/>
        </w:rPr>
        <w:t>（</w:t>
      </w:r>
      <w:r>
        <w:rPr>
          <w:rFonts w:hint="eastAsia"/>
          <w:lang w:val="en-US" w:eastAsia="zh-CN"/>
        </w:rPr>
        <w:t>14</w:t>
      </w:r>
      <w:r>
        <w:rPr>
          <w:rFonts w:hint="eastAsia"/>
        </w:rPr>
        <w:t>）《西藏自治区朱拉河国家湿地公园总体规划（2012~2020）》；</w:t>
      </w:r>
    </w:p>
    <w:p>
      <w:pPr>
        <w:pStyle w:val="6"/>
        <w:ind w:firstLine="480"/>
        <w:rPr>
          <w:rFonts w:hint="eastAsia"/>
        </w:rPr>
      </w:pPr>
      <w:r>
        <w:rPr>
          <w:rFonts w:hint="eastAsia"/>
        </w:rPr>
        <w:t>（</w:t>
      </w:r>
      <w:r>
        <w:rPr>
          <w:rFonts w:hint="eastAsia"/>
          <w:lang w:val="en-US" w:eastAsia="zh-CN"/>
        </w:rPr>
        <w:t>15</w:t>
      </w:r>
      <w:r>
        <w:rPr>
          <w:rFonts w:hint="eastAsia"/>
        </w:rPr>
        <w:t>）《西藏比日神山国家森林公园总体规划（2013～2020）》；</w:t>
      </w:r>
    </w:p>
    <w:p>
      <w:pPr>
        <w:pStyle w:val="6"/>
        <w:ind w:firstLine="480"/>
        <w:rPr>
          <w:rFonts w:hint="eastAsia"/>
        </w:rPr>
      </w:pPr>
      <w:r>
        <w:rPr>
          <w:rFonts w:hint="eastAsia"/>
        </w:rPr>
        <w:t>（</w:t>
      </w:r>
      <w:r>
        <w:rPr>
          <w:rFonts w:hint="eastAsia"/>
          <w:lang w:val="en-US" w:eastAsia="zh-CN"/>
        </w:rPr>
        <w:t>16</w:t>
      </w:r>
      <w:r>
        <w:rPr>
          <w:rFonts w:hint="eastAsia"/>
        </w:rPr>
        <w:t>）《西藏色季拉国家森林公园总体规划（2013～2022）》；</w:t>
      </w:r>
    </w:p>
    <w:p>
      <w:pPr>
        <w:pStyle w:val="6"/>
        <w:bidi w:val="0"/>
        <w:rPr>
          <w:rFonts w:hint="eastAsia"/>
          <w:color w:val="auto"/>
          <w:highlight w:val="none"/>
        </w:rPr>
      </w:pPr>
      <w:r>
        <w:rPr>
          <w:rFonts w:hint="eastAsia"/>
        </w:rPr>
        <w:t>（</w:t>
      </w:r>
      <w:r>
        <w:rPr>
          <w:rFonts w:hint="eastAsia"/>
          <w:lang w:val="en-US" w:eastAsia="zh-CN"/>
        </w:rPr>
        <w:t>17</w:t>
      </w:r>
      <w:r>
        <w:rPr>
          <w:rFonts w:hint="eastAsia"/>
        </w:rPr>
        <w:t>）《西藏巴松湖国家森林公园总体规划（2014~2023）》。</w:t>
      </w:r>
    </w:p>
    <w:p>
      <w:pPr>
        <w:pStyle w:val="4"/>
        <w:bidi w:val="0"/>
        <w:rPr>
          <w:rFonts w:hint="eastAsia"/>
          <w:color w:val="auto"/>
          <w:highlight w:val="none"/>
        </w:rPr>
      </w:pPr>
      <w:bookmarkStart w:id="22" w:name="_Toc29935"/>
      <w:bookmarkStart w:id="23" w:name="_Toc27319"/>
      <w:r>
        <w:rPr>
          <w:rFonts w:hint="eastAsia"/>
          <w:color w:val="auto"/>
          <w:highlight w:val="none"/>
        </w:rPr>
        <w:t>1.3评价目的和原则</w:t>
      </w:r>
      <w:bookmarkEnd w:id="22"/>
      <w:bookmarkEnd w:id="23"/>
    </w:p>
    <w:p>
      <w:pPr>
        <w:pStyle w:val="5"/>
        <w:bidi w:val="0"/>
        <w:rPr>
          <w:rFonts w:hint="eastAsia"/>
          <w:color w:val="auto"/>
          <w:highlight w:val="none"/>
        </w:rPr>
      </w:pPr>
      <w:bookmarkStart w:id="24" w:name="_Toc4923"/>
      <w:bookmarkStart w:id="25" w:name="_Toc5147"/>
      <w:r>
        <w:rPr>
          <w:rFonts w:hint="eastAsia"/>
          <w:color w:val="auto"/>
          <w:highlight w:val="none"/>
        </w:rPr>
        <w:t>1.3.1评价目的</w:t>
      </w:r>
      <w:bookmarkEnd w:id="24"/>
      <w:bookmarkEnd w:id="25"/>
    </w:p>
    <w:p>
      <w:pPr>
        <w:pStyle w:val="6"/>
        <w:bidi w:val="0"/>
        <w:rPr>
          <w:rFonts w:hint="eastAsia"/>
          <w:color w:val="auto"/>
          <w:highlight w:val="none"/>
        </w:rPr>
      </w:pPr>
      <w:r>
        <w:rPr>
          <w:rFonts w:hint="eastAsia"/>
        </w:rPr>
        <w:t>以改善环境质量和保障生态安全为目标，论证规划方案的生态环境合理性和环境效益，提出规划优化调整建议；明确不良生态环境影响的减缓措施，提出生态环境保护建议和管控要求，为规划决策和规划实施过程中的生态环境管理提供依据。</w:t>
      </w:r>
    </w:p>
    <w:p>
      <w:pPr>
        <w:pStyle w:val="5"/>
        <w:bidi w:val="0"/>
        <w:rPr>
          <w:rFonts w:hint="eastAsia"/>
          <w:color w:val="auto"/>
          <w:highlight w:val="none"/>
        </w:rPr>
      </w:pPr>
      <w:bookmarkStart w:id="26" w:name="_Toc23371"/>
      <w:bookmarkStart w:id="27" w:name="_Toc11289"/>
      <w:r>
        <w:rPr>
          <w:rFonts w:hint="eastAsia"/>
          <w:color w:val="auto"/>
          <w:highlight w:val="none"/>
        </w:rPr>
        <w:t>1.3.2评价原则</w:t>
      </w:r>
      <w:bookmarkEnd w:id="26"/>
      <w:bookmarkEnd w:id="27"/>
    </w:p>
    <w:p>
      <w:pPr>
        <w:pStyle w:val="6"/>
        <w:bidi w:val="0"/>
        <w:rPr>
          <w:rFonts w:hint="eastAsia"/>
          <w:b/>
          <w:bCs/>
          <w:color w:val="auto"/>
          <w:highlight w:val="none"/>
        </w:rPr>
      </w:pPr>
      <w:r>
        <w:rPr>
          <w:rFonts w:hint="eastAsia"/>
          <w:b/>
          <w:bCs/>
          <w:color w:val="auto"/>
          <w:highlight w:val="none"/>
          <w:lang w:val="en-US" w:eastAsia="zh-CN"/>
        </w:rPr>
        <w:t>1、</w:t>
      </w:r>
      <w:r>
        <w:rPr>
          <w:rFonts w:hint="eastAsia"/>
          <w:b/>
          <w:bCs/>
          <w:color w:val="auto"/>
          <w:highlight w:val="none"/>
        </w:rPr>
        <w:t>早期介入、过程互动</w:t>
      </w:r>
    </w:p>
    <w:p>
      <w:pPr>
        <w:pStyle w:val="6"/>
        <w:bidi w:val="0"/>
        <w:rPr>
          <w:rFonts w:hint="eastAsia"/>
          <w:color w:val="auto"/>
          <w:highlight w:val="none"/>
        </w:rPr>
      </w:pPr>
      <w:r>
        <w:rPr>
          <w:rFonts w:hint="eastAsia"/>
          <w:color w:val="auto"/>
          <w:highlight w:val="none"/>
        </w:rPr>
        <w:t xml:space="preserve">评价应在规划编制的早期阶段介入，在规划前期研究和方案编制、论证、审定等关键环节和过程中充分互动，不断优化规划方案，提高环境合理性。 </w:t>
      </w:r>
    </w:p>
    <w:p>
      <w:pPr>
        <w:pStyle w:val="6"/>
        <w:bidi w:val="0"/>
        <w:rPr>
          <w:rFonts w:hint="eastAsia"/>
          <w:b/>
          <w:bCs/>
          <w:color w:val="auto"/>
          <w:highlight w:val="none"/>
        </w:rPr>
      </w:pPr>
      <w:r>
        <w:rPr>
          <w:rFonts w:hint="eastAsia"/>
          <w:b/>
          <w:bCs/>
          <w:color w:val="auto"/>
          <w:highlight w:val="none"/>
          <w:lang w:val="en-US" w:eastAsia="zh-CN"/>
        </w:rPr>
        <w:t>2、</w:t>
      </w:r>
      <w:r>
        <w:rPr>
          <w:rFonts w:hint="eastAsia"/>
          <w:b/>
          <w:bCs/>
          <w:color w:val="auto"/>
          <w:highlight w:val="none"/>
        </w:rPr>
        <w:t xml:space="preserve">统筹衔接、分类指导 </w:t>
      </w:r>
    </w:p>
    <w:p>
      <w:pPr>
        <w:pStyle w:val="6"/>
        <w:bidi w:val="0"/>
        <w:rPr>
          <w:rFonts w:hint="eastAsia"/>
          <w:color w:val="auto"/>
          <w:highlight w:val="none"/>
        </w:rPr>
      </w:pPr>
      <w:r>
        <w:rPr>
          <w:rFonts w:hint="eastAsia"/>
          <w:color w:val="auto"/>
          <w:highlight w:val="none"/>
        </w:rPr>
        <w:t xml:space="preserve">评价工作应突出不同类型、不同层级规划及其环境影响特点，充分衔接“三线一单”成果，分类指导规划所包含建设项目的布局和生态环境准入。 </w:t>
      </w:r>
    </w:p>
    <w:p>
      <w:pPr>
        <w:pStyle w:val="6"/>
        <w:bidi w:val="0"/>
        <w:rPr>
          <w:rFonts w:hint="eastAsia"/>
          <w:b/>
          <w:bCs/>
          <w:color w:val="auto"/>
          <w:highlight w:val="none"/>
        </w:rPr>
      </w:pPr>
      <w:r>
        <w:rPr>
          <w:rFonts w:hint="eastAsia"/>
          <w:b/>
          <w:bCs/>
          <w:color w:val="auto"/>
          <w:highlight w:val="none"/>
          <w:lang w:val="en-US" w:eastAsia="zh-CN"/>
        </w:rPr>
        <w:t>3、</w:t>
      </w:r>
      <w:r>
        <w:rPr>
          <w:rFonts w:hint="eastAsia"/>
          <w:b/>
          <w:bCs/>
          <w:color w:val="auto"/>
          <w:highlight w:val="none"/>
        </w:rPr>
        <w:t xml:space="preserve">客观评价、结论科学 </w:t>
      </w:r>
    </w:p>
    <w:p>
      <w:pPr>
        <w:pStyle w:val="6"/>
        <w:bidi w:val="0"/>
        <w:rPr>
          <w:rFonts w:hint="eastAsia"/>
          <w:color w:val="auto"/>
          <w:highlight w:val="none"/>
        </w:rPr>
      </w:pPr>
      <w:r>
        <w:rPr>
          <w:rFonts w:hint="eastAsia"/>
          <w:color w:val="auto"/>
          <w:highlight w:val="none"/>
        </w:rPr>
        <w:t>依据现有知识水平和技术条件对规划实施可能产生的不良环境影响的范围和程度进行客观分析，评价方法应成熟可靠，数据资料应完整可信，结论建议应具体明确且具有可操作性。</w:t>
      </w:r>
    </w:p>
    <w:p>
      <w:pPr>
        <w:pStyle w:val="4"/>
        <w:bidi w:val="0"/>
        <w:rPr>
          <w:rFonts w:hint="eastAsia"/>
          <w:color w:val="auto"/>
          <w:highlight w:val="none"/>
        </w:rPr>
      </w:pPr>
      <w:bookmarkStart w:id="28" w:name="_Toc31887"/>
      <w:bookmarkStart w:id="29" w:name="_Toc4336"/>
      <w:r>
        <w:rPr>
          <w:rFonts w:hint="eastAsia"/>
          <w:color w:val="auto"/>
          <w:highlight w:val="none"/>
        </w:rPr>
        <w:t>1.4评价空间范围和时段</w:t>
      </w:r>
      <w:bookmarkEnd w:id="28"/>
      <w:bookmarkEnd w:id="29"/>
    </w:p>
    <w:p>
      <w:pPr>
        <w:pStyle w:val="6"/>
        <w:bidi w:val="0"/>
        <w:rPr>
          <w:rFonts w:hint="eastAsia"/>
          <w:color w:val="auto"/>
          <w:highlight w:val="none"/>
        </w:rPr>
      </w:pPr>
      <w:r>
        <w:rPr>
          <w:rFonts w:hint="eastAsia"/>
          <w:color w:val="auto"/>
          <w:highlight w:val="none"/>
        </w:rPr>
        <w:t>本次评价的空间范围与时段与规划范围及规划年限一致，即：</w:t>
      </w:r>
    </w:p>
    <w:p>
      <w:pPr>
        <w:pStyle w:val="6"/>
        <w:bidi w:val="0"/>
        <w:rPr>
          <w:rFonts w:hint="eastAsia"/>
          <w:color w:val="auto"/>
          <w:highlight w:val="none"/>
        </w:rPr>
      </w:pPr>
      <w:r>
        <w:rPr>
          <w:rFonts w:hint="eastAsia"/>
          <w:color w:val="auto"/>
          <w:highlight w:val="none"/>
        </w:rPr>
        <w:t>评价年限：本次规划年限为201</w:t>
      </w:r>
      <w:r>
        <w:rPr>
          <w:rFonts w:hint="eastAsia"/>
          <w:color w:val="auto"/>
          <w:highlight w:val="none"/>
          <w:lang w:val="en-US" w:eastAsia="zh-CN"/>
        </w:rPr>
        <w:t>8</w:t>
      </w:r>
      <w:r>
        <w:rPr>
          <w:rFonts w:hint="eastAsia"/>
          <w:color w:val="auto"/>
          <w:highlight w:val="none"/>
        </w:rPr>
        <w:t>年至20</w:t>
      </w:r>
      <w:r>
        <w:rPr>
          <w:rFonts w:hint="eastAsia"/>
          <w:color w:val="auto"/>
          <w:highlight w:val="none"/>
          <w:lang w:val="en-US" w:eastAsia="zh-CN"/>
        </w:rPr>
        <w:t>25</w:t>
      </w:r>
      <w:r>
        <w:rPr>
          <w:rFonts w:hint="eastAsia"/>
          <w:color w:val="auto"/>
          <w:highlight w:val="none"/>
        </w:rPr>
        <w:t>年，其中201</w:t>
      </w:r>
      <w:r>
        <w:rPr>
          <w:rFonts w:hint="eastAsia"/>
          <w:color w:val="auto"/>
          <w:highlight w:val="none"/>
          <w:lang w:val="en-US" w:eastAsia="zh-CN"/>
        </w:rPr>
        <w:t>8</w:t>
      </w:r>
      <w:r>
        <w:rPr>
          <w:rFonts w:hint="eastAsia"/>
          <w:color w:val="auto"/>
          <w:highlight w:val="none"/>
        </w:rPr>
        <w:t>~2020年为近期；2021~202</w:t>
      </w:r>
      <w:r>
        <w:rPr>
          <w:rFonts w:hint="eastAsia"/>
          <w:color w:val="auto"/>
          <w:highlight w:val="none"/>
          <w:lang w:val="en-US" w:eastAsia="zh-CN"/>
        </w:rPr>
        <w:t>3</w:t>
      </w:r>
      <w:r>
        <w:rPr>
          <w:rFonts w:hint="eastAsia"/>
          <w:color w:val="auto"/>
          <w:highlight w:val="none"/>
        </w:rPr>
        <w:t>年为中期；202</w:t>
      </w:r>
      <w:r>
        <w:rPr>
          <w:rFonts w:hint="eastAsia"/>
          <w:color w:val="auto"/>
          <w:highlight w:val="none"/>
          <w:lang w:val="en-US" w:eastAsia="zh-CN"/>
        </w:rPr>
        <w:t>4</w:t>
      </w:r>
      <w:r>
        <w:rPr>
          <w:rFonts w:hint="eastAsia"/>
          <w:color w:val="auto"/>
          <w:highlight w:val="none"/>
        </w:rPr>
        <w:t>~20</w:t>
      </w:r>
      <w:r>
        <w:rPr>
          <w:rFonts w:hint="eastAsia"/>
          <w:color w:val="auto"/>
          <w:highlight w:val="none"/>
          <w:lang w:val="en-US" w:eastAsia="zh-CN"/>
        </w:rPr>
        <w:t>25</w:t>
      </w:r>
      <w:r>
        <w:rPr>
          <w:rFonts w:hint="eastAsia"/>
          <w:color w:val="auto"/>
          <w:highlight w:val="none"/>
        </w:rPr>
        <w:t>年为远期。</w:t>
      </w:r>
    </w:p>
    <w:p>
      <w:pPr>
        <w:pStyle w:val="6"/>
        <w:bidi w:val="0"/>
        <w:rPr>
          <w:rFonts w:hint="eastAsia" w:eastAsia="宋体"/>
          <w:color w:val="auto"/>
          <w:highlight w:val="none"/>
          <w:lang w:eastAsia="zh-CN"/>
        </w:rPr>
      </w:pPr>
      <w:r>
        <w:rPr>
          <w:rFonts w:hint="eastAsia"/>
        </w:rPr>
        <w:t>评价范围：林芝市行政管辖范围，具体包括巴宜区、米林县、朗县、工布江达县、波密县、墨脱县、察隅县七个县区，共7.6万km</w:t>
      </w:r>
      <w:r>
        <w:rPr>
          <w:rFonts w:hint="eastAsia"/>
          <w:vertAlign w:val="superscript"/>
        </w:rPr>
        <w:t>2</w:t>
      </w:r>
      <w:r>
        <w:rPr>
          <w:rFonts w:hint="eastAsia"/>
        </w:rPr>
        <w:t>。</w:t>
      </w:r>
    </w:p>
    <w:p>
      <w:pPr>
        <w:pStyle w:val="4"/>
        <w:bidi w:val="0"/>
        <w:rPr>
          <w:rFonts w:hint="eastAsia"/>
          <w:color w:val="auto"/>
          <w:highlight w:val="none"/>
        </w:rPr>
      </w:pPr>
      <w:bookmarkStart w:id="30" w:name="_Toc17788"/>
      <w:bookmarkStart w:id="31" w:name="_Toc24580"/>
      <w:r>
        <w:rPr>
          <w:rFonts w:hint="eastAsia"/>
          <w:color w:val="auto"/>
          <w:highlight w:val="none"/>
        </w:rPr>
        <w:t>1.5评价重点及评价方法</w:t>
      </w:r>
      <w:bookmarkEnd w:id="30"/>
      <w:bookmarkEnd w:id="31"/>
    </w:p>
    <w:p>
      <w:pPr>
        <w:pStyle w:val="5"/>
        <w:bidi w:val="0"/>
        <w:rPr>
          <w:color w:val="auto"/>
          <w:highlight w:val="none"/>
        </w:rPr>
      </w:pPr>
      <w:bookmarkStart w:id="32" w:name="_Toc28923"/>
      <w:bookmarkStart w:id="33" w:name="_Toc5676"/>
      <w:r>
        <w:rPr>
          <w:rFonts w:hint="eastAsia"/>
          <w:color w:val="auto"/>
          <w:highlight w:val="none"/>
        </w:rPr>
        <w:t>1.5.1评价重点</w:t>
      </w:r>
      <w:bookmarkEnd w:id="32"/>
      <w:bookmarkEnd w:id="33"/>
    </w:p>
    <w:p>
      <w:pPr>
        <w:pStyle w:val="6"/>
        <w:ind w:firstLine="480"/>
        <w:rPr>
          <w:rFonts w:hint="eastAsia"/>
        </w:rPr>
      </w:pPr>
      <w:r>
        <w:rPr>
          <w:rFonts w:hint="eastAsia"/>
        </w:rPr>
        <w:t>本次规划环评的重点主要包括以下这方面的内容。</w:t>
      </w:r>
    </w:p>
    <w:p>
      <w:pPr>
        <w:pStyle w:val="6"/>
        <w:ind w:firstLine="480"/>
        <w:rPr>
          <w:rFonts w:hint="eastAsia"/>
        </w:rPr>
      </w:pPr>
      <w:r>
        <w:rPr>
          <w:rFonts w:hint="eastAsia"/>
        </w:rPr>
        <w:t>1、根据规划的层级和属性，分析规划与相关政策、法规、上层位规划在资源利用、环境保护要求等方面的符合性，与同层位规划在环境目标、资源利用、环境容量与承载力等方面的协调性。</w:t>
      </w:r>
    </w:p>
    <w:p>
      <w:pPr>
        <w:pStyle w:val="6"/>
        <w:ind w:firstLine="480"/>
        <w:rPr>
          <w:rFonts w:hint="eastAsia"/>
        </w:rPr>
      </w:pPr>
      <w:r>
        <w:rPr>
          <w:rFonts w:hint="eastAsia"/>
        </w:rPr>
        <w:t>2、调查识别区域环境敏感区和重点生态功能区等环境保护目标的分布情况及保护要求，分析资源利用和保护中存在的问题，评价区域环境质量状况，评价生态系统的组成、结构与功能状况、变化趋势和存在的主要环境问题，提出规划实施的资源与环境制约因素。</w:t>
      </w:r>
    </w:p>
    <w:p>
      <w:pPr>
        <w:pStyle w:val="6"/>
        <w:ind w:firstLine="480"/>
        <w:rPr>
          <w:rFonts w:hint="eastAsia"/>
        </w:rPr>
      </w:pPr>
      <w:r>
        <w:rPr>
          <w:rFonts w:hint="eastAsia"/>
        </w:rPr>
        <w:t>3、评价规划实施对区域环境质量的影响，对区域生态系统完整性所造成的影响，对主要环境敏感区和重点生态功能区等环境保护目标的响性质与程度。分析评价区域资源与环境承载能力对规划实施的支撑状况，综合论证规划方案的环境合理性。</w:t>
      </w:r>
    </w:p>
    <w:p>
      <w:pPr>
        <w:pStyle w:val="6"/>
        <w:ind w:firstLine="480"/>
        <w:rPr>
          <w:rFonts w:hint="eastAsia"/>
        </w:rPr>
      </w:pPr>
      <w:r>
        <w:rPr>
          <w:rFonts w:hint="eastAsia"/>
        </w:rPr>
        <w:t>4、根据可供规划实施利用的资源量、环境容量等，综合分析区域资源与环境对规划实施的支撑力，以“三线一单”（生态保护红线、环境质量底线、资源利用上线、环境准入负面清单）为手段，强化空间、准入环境管理。</w:t>
      </w:r>
    </w:p>
    <w:p>
      <w:pPr>
        <w:pStyle w:val="6"/>
        <w:ind w:firstLine="480"/>
        <w:rPr>
          <w:rFonts w:hint="eastAsia"/>
        </w:rPr>
      </w:pPr>
      <w:r>
        <w:rPr>
          <w:rFonts w:hint="eastAsia"/>
        </w:rPr>
        <w:t>5、提出预防或减轻不良环境影响的对策和措施，对有重大环境资源制约的规划内容提出优化建议。</w:t>
      </w:r>
    </w:p>
    <w:p>
      <w:pPr>
        <w:pStyle w:val="5"/>
        <w:bidi w:val="0"/>
        <w:rPr>
          <w:rFonts w:hint="eastAsia"/>
          <w:color w:val="auto"/>
          <w:highlight w:val="none"/>
        </w:rPr>
      </w:pPr>
      <w:bookmarkStart w:id="34" w:name="_Toc29943"/>
      <w:r>
        <w:rPr>
          <w:rFonts w:hint="eastAsia"/>
          <w:color w:val="auto"/>
          <w:highlight w:val="none"/>
        </w:rPr>
        <w:t>1.5.2评价方法</w:t>
      </w:r>
      <w:bookmarkEnd w:id="34"/>
    </w:p>
    <w:p>
      <w:pPr>
        <w:pStyle w:val="6"/>
        <w:bidi w:val="0"/>
        <w:rPr>
          <w:rFonts w:hint="default"/>
        </w:rPr>
      </w:pPr>
      <w:r>
        <w:rPr>
          <w:rFonts w:hint="default"/>
        </w:rPr>
        <w:t>评价工作以规划环境影响评价技术导则总纲为指导，选用导则附录B.1中评价方法，具体见表</w:t>
      </w:r>
      <w:r>
        <w:rPr>
          <w:rFonts w:hint="eastAsia"/>
          <w:lang w:val="en-US" w:eastAsia="zh-CN"/>
        </w:rPr>
        <w:t>1.5</w:t>
      </w:r>
      <w:r>
        <w:rPr>
          <w:rFonts w:hint="default"/>
        </w:rPr>
        <w:t>-1。</w:t>
      </w:r>
    </w:p>
    <w:p>
      <w:pPr>
        <w:pStyle w:val="27"/>
        <w:bidi w:val="0"/>
        <w:rPr>
          <w:rFonts w:hint="default"/>
        </w:rPr>
      </w:pPr>
      <w:r>
        <w:rPr>
          <w:rFonts w:hint="default"/>
        </w:rPr>
        <w:t>表</w:t>
      </w:r>
      <w:r>
        <w:rPr>
          <w:rFonts w:hint="eastAsia"/>
          <w:lang w:val="en-US" w:eastAsia="zh-CN"/>
        </w:rPr>
        <w:t>1.5</w:t>
      </w:r>
      <w:r>
        <w:rPr>
          <w:rFonts w:hint="default"/>
        </w:rPr>
        <w:t>-1  评价方法</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352"/>
        <w:gridCol w:w="617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380" w:type="pct"/>
            <w:tcBorders>
              <w:tl2br w:val="nil"/>
              <w:tr2bl w:val="nil"/>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default"/>
              </w:rPr>
              <w:t>评价环节</w:t>
            </w:r>
          </w:p>
        </w:tc>
        <w:tc>
          <w:tcPr>
            <w:tcW w:w="3620" w:type="pct"/>
            <w:tcBorders>
              <w:tl2br w:val="nil"/>
              <w:tr2bl w:val="nil"/>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default"/>
              </w:rPr>
              <w:t>可采用的主要方式和方法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380" w:type="pct"/>
            <w:tcBorders>
              <w:tl2br w:val="nil"/>
              <w:tr2bl w:val="nil"/>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default"/>
              </w:rPr>
              <w:t>规划分析</w:t>
            </w:r>
          </w:p>
        </w:tc>
        <w:tc>
          <w:tcPr>
            <w:tcW w:w="3620" w:type="pct"/>
            <w:tcBorders>
              <w:tl2br w:val="nil"/>
              <w:tr2bl w:val="nil"/>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default"/>
              </w:rPr>
              <w:t>情景分析、叠图分析、系统分析、专家咨询、类比分析等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380" w:type="pct"/>
            <w:tcBorders>
              <w:tl2br w:val="nil"/>
              <w:tr2bl w:val="nil"/>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default"/>
              </w:rPr>
              <w:t>现状调查与评价</w:t>
            </w:r>
          </w:p>
        </w:tc>
        <w:tc>
          <w:tcPr>
            <w:tcW w:w="3620" w:type="pct"/>
            <w:tcBorders>
              <w:tl2br w:val="nil"/>
              <w:tr2bl w:val="nil"/>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default"/>
              </w:rPr>
              <w:t>现状调查：资料收集、现场踏勘、环境监测、生态调查、访谈。</w:t>
            </w:r>
          </w:p>
          <w:p>
            <w:pPr>
              <w:pStyle w:val="29"/>
              <w:keepNext w:val="0"/>
              <w:keepLines w:val="0"/>
              <w:suppressLineNumbers w:val="0"/>
              <w:bidi w:val="0"/>
              <w:spacing w:before="0" w:beforeAutospacing="0" w:after="0" w:afterAutospacing="0"/>
              <w:ind w:left="0" w:right="0"/>
              <w:rPr>
                <w:rFonts w:hint="default"/>
              </w:rPr>
            </w:pPr>
            <w:r>
              <w:rPr>
                <w:rFonts w:hint="default"/>
              </w:rPr>
              <w:t>环境要素的调查方式和监测方法可参考HJ2.2、HJ2.3、HJ2.4、HJ19、HJ610、HJ623、HJ964和有关监测规范执行。</w:t>
            </w:r>
          </w:p>
          <w:p>
            <w:pPr>
              <w:pStyle w:val="29"/>
              <w:keepNext w:val="0"/>
              <w:keepLines w:val="0"/>
              <w:suppressLineNumbers w:val="0"/>
              <w:bidi w:val="0"/>
              <w:spacing w:before="0" w:beforeAutospacing="0" w:after="0" w:afterAutospacing="0"/>
              <w:ind w:left="0" w:right="0"/>
              <w:rPr>
                <w:rFonts w:hint="default"/>
              </w:rPr>
            </w:pPr>
            <w:r>
              <w:rPr>
                <w:rFonts w:hint="default"/>
              </w:rPr>
              <w:t>现状分析与评价：专家咨询、类比分析、叠图分析、生态学分析法等。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380" w:type="pct"/>
            <w:tcBorders>
              <w:tl2br w:val="nil"/>
              <w:tr2bl w:val="nil"/>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default"/>
              </w:rPr>
              <w:t>环境影响识别与评价指标确定</w:t>
            </w:r>
          </w:p>
        </w:tc>
        <w:tc>
          <w:tcPr>
            <w:tcW w:w="3620" w:type="pct"/>
            <w:tcBorders>
              <w:tl2br w:val="nil"/>
              <w:tr2bl w:val="nil"/>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default"/>
              </w:rPr>
              <w:t>矩阵分析、核查表、专家咨询、类比分析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380" w:type="pct"/>
            <w:tcBorders>
              <w:tl2br w:val="nil"/>
              <w:tr2bl w:val="nil"/>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default"/>
              </w:rPr>
              <w:t>规划实施生态环境压力分析</w:t>
            </w:r>
          </w:p>
        </w:tc>
        <w:tc>
          <w:tcPr>
            <w:tcW w:w="3620" w:type="pct"/>
            <w:tcBorders>
              <w:tl2br w:val="nil"/>
              <w:tr2bl w:val="nil"/>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default"/>
              </w:rPr>
              <w:t>负荷分析（估算单位国内生产总值物耗、能耗和污染物排放量等）、专家咨询、情景分析、趋势分析、类比分析、供需平衡分析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380" w:type="pct"/>
            <w:tcBorders>
              <w:tl2br w:val="nil"/>
              <w:tr2bl w:val="nil"/>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default"/>
              </w:rPr>
              <w:t>环境影响预测与评价</w:t>
            </w:r>
          </w:p>
        </w:tc>
        <w:tc>
          <w:tcPr>
            <w:tcW w:w="3620" w:type="pct"/>
            <w:tcBorders>
              <w:tl2br w:val="nil"/>
              <w:tr2bl w:val="nil"/>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default"/>
              </w:rPr>
              <w:t>类比分析、对比分析、负荷分析、投入产出分析、供需平衡分析、数值模拟。</w:t>
            </w:r>
          </w:p>
          <w:p>
            <w:pPr>
              <w:pStyle w:val="29"/>
              <w:keepNext w:val="0"/>
              <w:keepLines w:val="0"/>
              <w:suppressLineNumbers w:val="0"/>
              <w:bidi w:val="0"/>
              <w:spacing w:before="0" w:beforeAutospacing="0" w:after="0" w:afterAutospacing="0"/>
              <w:ind w:left="0" w:right="0"/>
              <w:rPr>
                <w:rFonts w:hint="default"/>
              </w:rPr>
            </w:pPr>
            <w:r>
              <w:rPr>
                <w:rFonts w:hint="default"/>
              </w:rPr>
              <w:t>环境要素影响预测与评价的方式和方法可参考HJ2.2、HJ2.3</w:t>
            </w:r>
            <w:r>
              <w:rPr>
                <w:rFonts w:hint="default"/>
                <w:lang w:eastAsia="zh-CN"/>
              </w:rPr>
              <w:t>、</w:t>
            </w:r>
            <w:r>
              <w:rPr>
                <w:rFonts w:hint="default"/>
              </w:rPr>
              <w:t>HJ2.4、HJ19、HJ610、HJ623、HJ964执行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380" w:type="pct"/>
            <w:tcBorders>
              <w:tl2br w:val="nil"/>
              <w:tr2bl w:val="nil"/>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default"/>
              </w:rPr>
              <w:t>环境风险评价</w:t>
            </w:r>
          </w:p>
        </w:tc>
        <w:tc>
          <w:tcPr>
            <w:tcW w:w="3620" w:type="pct"/>
            <w:tcBorders>
              <w:tl2br w:val="nil"/>
              <w:tr2bl w:val="nil"/>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default"/>
              </w:rPr>
              <w:t>模糊数学法、类比分析</w:t>
            </w:r>
          </w:p>
          <w:p>
            <w:pPr>
              <w:pStyle w:val="29"/>
              <w:keepNext w:val="0"/>
              <w:keepLines w:val="0"/>
              <w:suppressLineNumbers w:val="0"/>
              <w:bidi w:val="0"/>
              <w:spacing w:before="0" w:beforeAutospacing="0" w:after="0" w:afterAutospacing="0"/>
              <w:ind w:left="0" w:right="0"/>
              <w:rPr>
                <w:rFonts w:hint="default"/>
              </w:rPr>
            </w:pPr>
            <w:r>
              <w:rPr>
                <w:rFonts w:hint="default"/>
              </w:rPr>
              <w:t>参考HJ169执行</w:t>
            </w:r>
          </w:p>
        </w:tc>
      </w:tr>
    </w:tbl>
    <w:p>
      <w:pPr>
        <w:pStyle w:val="6"/>
        <w:ind w:firstLine="480"/>
        <w:rPr>
          <w:rFonts w:hint="eastAsia"/>
          <w:color w:val="0000FF"/>
        </w:rPr>
      </w:pPr>
      <w:r>
        <w:rPr>
          <w:rFonts w:hint="eastAsia"/>
          <w:color w:val="0000FF"/>
        </w:rPr>
        <w:t>根据《规划环境影响评价技术导则 总纲》（HJ130-2019），本次旅游规划环评分别采用系统工程科学、规划学、环境科学、经济学、生态学、计算机科学等学科的理论与方法，根据评价内容采用不同的方法完成本次评价。</w:t>
      </w:r>
    </w:p>
    <w:p>
      <w:pPr>
        <w:pStyle w:val="6"/>
        <w:bidi w:val="0"/>
        <w:rPr>
          <w:color w:val="auto"/>
          <w:highlight w:val="none"/>
        </w:rPr>
      </w:pPr>
      <w:r>
        <w:rPr>
          <w:rFonts w:hint="eastAsia"/>
          <w:color w:val="0000FF"/>
        </w:rPr>
        <w:t>环境现状调查与评价采用资料收集、现场踏勘等方法；环境影响识别与评价指标确定采用矩阵分析法；规划开发强度采用趋势分析法；环境要素影响预测与评价采用趋势分析法。公众参与采取媒体信息公开、登报、乡镇公示等方式开展。</w:t>
      </w:r>
    </w:p>
    <w:p>
      <w:pPr>
        <w:pStyle w:val="4"/>
        <w:bidi w:val="0"/>
        <w:rPr>
          <w:rFonts w:hint="eastAsia"/>
          <w:color w:val="auto"/>
          <w:highlight w:val="none"/>
        </w:rPr>
      </w:pPr>
      <w:bookmarkStart w:id="35" w:name="_Toc16032"/>
      <w:bookmarkStart w:id="36" w:name="_Toc21116"/>
      <w:r>
        <w:rPr>
          <w:rFonts w:hint="eastAsia"/>
          <w:color w:val="auto"/>
          <w:highlight w:val="none"/>
        </w:rPr>
        <w:t>1.6环境功能区划</w:t>
      </w:r>
      <w:bookmarkEnd w:id="35"/>
      <w:bookmarkEnd w:id="36"/>
    </w:p>
    <w:p>
      <w:pPr>
        <w:pStyle w:val="5"/>
        <w:bidi w:val="0"/>
        <w:rPr>
          <w:rFonts w:hint="eastAsia"/>
          <w:color w:val="auto"/>
          <w:highlight w:val="none"/>
        </w:rPr>
      </w:pPr>
      <w:bookmarkStart w:id="37" w:name="_Toc4912"/>
      <w:bookmarkStart w:id="38" w:name="_Toc19679"/>
      <w:r>
        <w:rPr>
          <w:rFonts w:hint="eastAsia"/>
          <w:color w:val="auto"/>
          <w:highlight w:val="none"/>
        </w:rPr>
        <w:t>1.6.1生态功能区划</w:t>
      </w:r>
      <w:bookmarkEnd w:id="37"/>
      <w:bookmarkEnd w:id="38"/>
    </w:p>
    <w:p>
      <w:pPr>
        <w:pStyle w:val="6"/>
        <w:bidi w:val="0"/>
        <w:rPr>
          <w:color w:val="auto"/>
          <w:highlight w:val="none"/>
        </w:rPr>
      </w:pPr>
      <w:r>
        <w:rPr>
          <w:rFonts w:hint="eastAsia"/>
          <w:color w:val="auto"/>
          <w:highlight w:val="none"/>
        </w:rPr>
        <w:t>根据</w:t>
      </w:r>
      <w:r>
        <w:rPr>
          <w:color w:val="auto"/>
          <w:highlight w:val="none"/>
        </w:rPr>
        <w:t>《</w:t>
      </w:r>
      <w:r>
        <w:rPr>
          <w:rFonts w:hint="eastAsia"/>
          <w:color w:val="auto"/>
          <w:highlight w:val="none"/>
          <w:lang w:val="en-US" w:eastAsia="zh-CN"/>
        </w:rPr>
        <w:t>西藏</w:t>
      </w:r>
      <w:r>
        <w:rPr>
          <w:color w:val="auto"/>
          <w:highlight w:val="none"/>
        </w:rPr>
        <w:t>生态功能区划》，</w:t>
      </w:r>
      <w:r>
        <w:rPr>
          <w:rFonts w:hint="eastAsia"/>
          <w:color w:val="auto"/>
          <w:highlight w:val="none"/>
          <w:lang w:val="en-US" w:eastAsia="zh-CN"/>
        </w:rPr>
        <w:t>林芝市包含藏东南山地热带雨林、季雨林生态区，藏东高山深谷温带半湿润常绿阔叶林—暗针叶林生态区</w:t>
      </w:r>
      <w:r>
        <w:rPr>
          <w:color w:val="auto"/>
          <w:highlight w:val="none"/>
        </w:rPr>
        <w:t>。</w:t>
      </w:r>
    </w:p>
    <w:p>
      <w:pPr>
        <w:pStyle w:val="27"/>
        <w:bidi w:val="0"/>
        <w:rPr>
          <w:color w:val="auto"/>
          <w:highlight w:val="none"/>
        </w:rPr>
      </w:pPr>
      <w:r>
        <w:rPr>
          <w:rFonts w:hint="eastAsia"/>
          <w:color w:val="auto"/>
          <w:highlight w:val="none"/>
        </w:rPr>
        <w:t>表1</w:t>
      </w:r>
      <w:r>
        <w:rPr>
          <w:rFonts w:hint="eastAsia"/>
          <w:color w:val="auto"/>
          <w:highlight w:val="none"/>
          <w:lang w:val="en-US" w:eastAsia="zh-CN"/>
        </w:rPr>
        <w:t>.6</w:t>
      </w:r>
      <w:r>
        <w:rPr>
          <w:rFonts w:hint="eastAsia"/>
          <w:color w:val="auto"/>
          <w:highlight w:val="none"/>
        </w:rPr>
        <w:t xml:space="preserve">-1  </w:t>
      </w:r>
      <w:r>
        <w:rPr>
          <w:rFonts w:hint="eastAsia"/>
          <w:color w:val="auto"/>
          <w:highlight w:val="none"/>
          <w:lang w:val="en-US" w:eastAsia="zh-CN"/>
        </w:rPr>
        <w:t>林芝市</w:t>
      </w:r>
      <w:r>
        <w:rPr>
          <w:rFonts w:hint="eastAsia"/>
          <w:color w:val="auto"/>
          <w:highlight w:val="none"/>
        </w:rPr>
        <w:t>生态功能类型区</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2110"/>
        <w:gridCol w:w="4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一级生态区</w:t>
            </w:r>
          </w:p>
        </w:tc>
        <w:tc>
          <w:tcPr>
            <w:tcW w:w="123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二级生态区</w:t>
            </w:r>
          </w:p>
        </w:tc>
        <w:tc>
          <w:tcPr>
            <w:tcW w:w="28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三级生态区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I  藏东南山地热带雨林、季雨林生态区</w:t>
            </w:r>
          </w:p>
        </w:tc>
        <w:tc>
          <w:tcPr>
            <w:tcW w:w="1238" w:type="pct"/>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I</w:t>
            </w:r>
            <w:r>
              <w:rPr>
                <w:rFonts w:hint="eastAsia"/>
                <w:color w:val="auto"/>
                <w:highlight w:val="none"/>
                <w:vertAlign w:val="subscript"/>
              </w:rPr>
              <w:t>1</w:t>
            </w:r>
            <w:r>
              <w:rPr>
                <w:rFonts w:hint="eastAsia"/>
                <w:color w:val="auto"/>
                <w:highlight w:val="none"/>
              </w:rPr>
              <w:t xml:space="preserve">  藏东南山地热带雨林、季雨林生态亚区</w:t>
            </w:r>
          </w:p>
        </w:tc>
        <w:tc>
          <w:tcPr>
            <w:tcW w:w="2898" w:type="pct"/>
            <w:vAlign w:val="center"/>
          </w:tcPr>
          <w:p>
            <w:pPr>
              <w:pStyle w:val="29"/>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restart"/>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II  藏东高山深谷温带半湿润常绿阔叶林—暗针叶林生态区</w:t>
            </w:r>
          </w:p>
        </w:tc>
        <w:tc>
          <w:tcPr>
            <w:tcW w:w="1238" w:type="pct"/>
            <w:vMerge w:val="restart"/>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II</w:t>
            </w:r>
            <w:r>
              <w:rPr>
                <w:rFonts w:hint="eastAsia"/>
                <w:color w:val="auto"/>
                <w:highlight w:val="none"/>
                <w:vertAlign w:val="subscript"/>
              </w:rPr>
              <w:t>1</w:t>
            </w:r>
            <w:r>
              <w:rPr>
                <w:rFonts w:hint="eastAsia"/>
                <w:color w:val="auto"/>
                <w:highlight w:val="none"/>
              </w:rPr>
              <w:t xml:space="preserve">  念青唐古拉山南翼常绿阔叶林、云冷杉林生态亚区</w:t>
            </w:r>
          </w:p>
        </w:tc>
        <w:tc>
          <w:tcPr>
            <w:tcW w:w="2898" w:type="pct"/>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II</w:t>
            </w:r>
            <w:r>
              <w:rPr>
                <w:rFonts w:hint="eastAsia"/>
                <w:color w:val="auto"/>
                <w:highlight w:val="none"/>
                <w:vertAlign w:val="subscript"/>
              </w:rPr>
              <w:t>1-3</w:t>
            </w:r>
            <w:r>
              <w:rPr>
                <w:rFonts w:hint="eastAsia"/>
                <w:color w:val="auto"/>
                <w:highlight w:val="none"/>
              </w:rPr>
              <w:t xml:space="preserve"> 雅鲁藏布大峡谷生物多样性保护生态功能区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1238"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2898" w:type="pct"/>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II</w:t>
            </w:r>
            <w:r>
              <w:rPr>
                <w:rFonts w:hint="eastAsia"/>
                <w:color w:val="auto"/>
                <w:highlight w:val="none"/>
                <w:vertAlign w:val="subscript"/>
              </w:rPr>
              <w:t>1-4</w:t>
            </w:r>
            <w:r>
              <w:rPr>
                <w:rFonts w:hint="eastAsia"/>
                <w:color w:val="auto"/>
                <w:highlight w:val="none"/>
              </w:rPr>
              <w:t xml:space="preserve"> 尼洋河下游宽谷特色农林产业与生态旅游生态功能区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1238"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2898" w:type="pct"/>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II</w:t>
            </w:r>
            <w:r>
              <w:rPr>
                <w:rFonts w:hint="eastAsia"/>
                <w:color w:val="auto"/>
                <w:highlight w:val="none"/>
                <w:vertAlign w:val="subscript"/>
              </w:rPr>
              <w:t>1-5</w:t>
            </w:r>
            <w:r>
              <w:rPr>
                <w:rFonts w:hint="eastAsia"/>
                <w:color w:val="auto"/>
                <w:highlight w:val="none"/>
              </w:rPr>
              <w:t xml:space="preserve"> 尼洋河中上游水源涵养和牧业适度发展生态功能区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1238"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2898" w:type="pct"/>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II</w:t>
            </w:r>
            <w:r>
              <w:rPr>
                <w:rFonts w:hint="eastAsia"/>
                <w:color w:val="auto"/>
                <w:highlight w:val="none"/>
                <w:vertAlign w:val="subscript"/>
              </w:rPr>
              <w:t>1-6</w:t>
            </w:r>
            <w:r>
              <w:rPr>
                <w:rFonts w:hint="eastAsia"/>
                <w:color w:val="auto"/>
                <w:highlight w:val="none"/>
              </w:rPr>
              <w:t xml:space="preserve"> 米林谷地农林业与土壤保持生态功能区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1238"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2898" w:type="pct"/>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II</w:t>
            </w:r>
            <w:r>
              <w:rPr>
                <w:rFonts w:hint="eastAsia"/>
                <w:color w:val="auto"/>
                <w:highlight w:val="none"/>
                <w:vertAlign w:val="subscript"/>
              </w:rPr>
              <w:t>1-7</w:t>
            </w:r>
            <w:r>
              <w:rPr>
                <w:rFonts w:hint="eastAsia"/>
                <w:color w:val="auto"/>
                <w:highlight w:val="none"/>
              </w:rPr>
              <w:t xml:space="preserve"> 加查—朗县谷地农业与土壤保持生态功能区</w:t>
            </w:r>
          </w:p>
        </w:tc>
      </w:tr>
    </w:tbl>
    <w:p>
      <w:pPr>
        <w:pStyle w:val="5"/>
        <w:bidi w:val="0"/>
        <w:rPr>
          <w:rFonts w:hint="eastAsia"/>
          <w:color w:val="auto"/>
          <w:highlight w:val="none"/>
        </w:rPr>
      </w:pPr>
      <w:bookmarkStart w:id="39" w:name="_Toc23633"/>
      <w:bookmarkStart w:id="40" w:name="_Toc12417"/>
      <w:r>
        <w:rPr>
          <w:rFonts w:hint="eastAsia"/>
          <w:color w:val="auto"/>
          <w:highlight w:val="none"/>
        </w:rPr>
        <w:t>1.6.</w:t>
      </w:r>
      <w:r>
        <w:rPr>
          <w:rFonts w:hint="eastAsia"/>
          <w:color w:val="auto"/>
          <w:highlight w:val="none"/>
          <w:lang w:val="en-US" w:eastAsia="zh-CN"/>
        </w:rPr>
        <w:t>2</w:t>
      </w:r>
      <w:r>
        <w:rPr>
          <w:rFonts w:hint="eastAsia"/>
          <w:color w:val="auto"/>
          <w:highlight w:val="none"/>
        </w:rPr>
        <w:t>环境空气功能区划</w:t>
      </w:r>
      <w:bookmarkEnd w:id="39"/>
      <w:bookmarkEnd w:id="40"/>
    </w:p>
    <w:p>
      <w:pPr>
        <w:pStyle w:val="6"/>
        <w:bidi w:val="0"/>
        <w:rPr>
          <w:color w:val="auto"/>
          <w:highlight w:val="none"/>
        </w:rPr>
      </w:pPr>
      <w:r>
        <w:rPr>
          <w:rFonts w:hint="eastAsia"/>
          <w:color w:val="auto"/>
          <w:highlight w:val="none"/>
        </w:rPr>
        <w:t>根据《环境空气质量标准》（GB3095-2012）中环境空气功能区分分类和质量要求，规划区内自然保护区和其他需要特殊保护区域等环境空气功能区为一类区；居住区、商业交通居民混合区、文化区、工业区和农村地区环境空气功能区为二类区。</w:t>
      </w:r>
    </w:p>
    <w:p>
      <w:pPr>
        <w:pStyle w:val="5"/>
        <w:bidi w:val="0"/>
        <w:rPr>
          <w:rFonts w:hint="eastAsia"/>
          <w:color w:val="auto"/>
          <w:highlight w:val="none"/>
        </w:rPr>
      </w:pPr>
      <w:bookmarkStart w:id="41" w:name="_Toc28953"/>
      <w:bookmarkStart w:id="42" w:name="_Toc14518"/>
      <w:r>
        <w:rPr>
          <w:rFonts w:hint="eastAsia"/>
          <w:color w:val="auto"/>
          <w:highlight w:val="none"/>
        </w:rPr>
        <w:t>1.6.</w:t>
      </w:r>
      <w:r>
        <w:rPr>
          <w:rFonts w:hint="eastAsia"/>
          <w:color w:val="auto"/>
          <w:highlight w:val="none"/>
          <w:lang w:val="en-US" w:eastAsia="zh-CN"/>
        </w:rPr>
        <w:t>3</w:t>
      </w:r>
      <w:r>
        <w:rPr>
          <w:rFonts w:hint="eastAsia"/>
          <w:color w:val="auto"/>
          <w:highlight w:val="none"/>
        </w:rPr>
        <w:t>地表水环境功能分区</w:t>
      </w:r>
      <w:bookmarkEnd w:id="41"/>
      <w:bookmarkEnd w:id="42"/>
    </w:p>
    <w:p>
      <w:pPr>
        <w:pStyle w:val="6"/>
        <w:bidi w:val="0"/>
        <w:rPr>
          <w:rFonts w:hint="eastAsia"/>
          <w:color w:val="auto"/>
          <w:highlight w:val="none"/>
        </w:rPr>
      </w:pPr>
      <w:r>
        <w:rPr>
          <w:rFonts w:hint="eastAsia"/>
          <w:color w:val="auto"/>
          <w:highlight w:val="none"/>
        </w:rPr>
        <w:t>根据《西藏自治区林芝市二级支流水功能区划报告》（</w:t>
      </w:r>
      <w:r>
        <w:rPr>
          <w:rFonts w:hint="eastAsia"/>
          <w:color w:val="auto"/>
          <w:highlight w:val="none"/>
          <w:lang w:val="en-US" w:eastAsia="zh-CN"/>
        </w:rPr>
        <w:t>2017年~2025</w:t>
      </w:r>
      <w:r>
        <w:rPr>
          <w:rFonts w:hint="eastAsia"/>
          <w:color w:val="auto"/>
          <w:highlight w:val="none"/>
        </w:rPr>
        <w:t>），</w:t>
      </w:r>
      <w:r>
        <w:rPr>
          <w:rFonts w:hint="eastAsia"/>
          <w:color w:val="auto"/>
          <w:highlight w:val="none"/>
          <w:lang w:val="en-US" w:eastAsia="zh-CN"/>
        </w:rPr>
        <w:t>林芝</w:t>
      </w:r>
      <w:r>
        <w:rPr>
          <w:rFonts w:hint="eastAsia"/>
          <w:color w:val="auto"/>
          <w:highlight w:val="none"/>
        </w:rPr>
        <w:t>境内水体环境功能区划包括</w:t>
      </w:r>
      <w:r>
        <w:rPr>
          <w:rFonts w:hint="eastAsia"/>
          <w:color w:val="auto"/>
          <w:highlight w:val="none"/>
          <w:lang w:val="en-US" w:eastAsia="zh-CN"/>
        </w:rPr>
        <w:t>I类、II类、III类水体</w:t>
      </w:r>
      <w:r>
        <w:rPr>
          <w:rFonts w:hint="eastAsia"/>
          <w:color w:val="auto"/>
          <w:highlight w:val="none"/>
        </w:rPr>
        <w:t>，地表水环境功能区分别执行《地表水环境质量标准》(GB3838-2002)中的相应水质级别标准，即Ⅰ类区执行Ⅰ类水质标准、Ⅱ类区执行Ⅱ类水质标准，依次类推。</w:t>
      </w:r>
    </w:p>
    <w:p>
      <w:pPr>
        <w:pStyle w:val="6"/>
        <w:bidi w:val="0"/>
        <w:rPr>
          <w:rFonts w:hint="eastAsia"/>
          <w:color w:val="auto"/>
          <w:highlight w:val="none"/>
        </w:rPr>
        <w:sectPr>
          <w:headerReference r:id="rId6" w:type="default"/>
          <w:footerReference r:id="rId7" w:type="default"/>
          <w:pgSz w:w="11906" w:h="16838"/>
          <w:pgMar w:top="1440" w:right="1800" w:bottom="1440" w:left="1800" w:header="851" w:footer="992" w:gutter="0"/>
          <w:pgNumType w:fmt="decimal" w:start="1"/>
          <w:cols w:space="425" w:num="1"/>
          <w:docGrid w:type="lines" w:linePitch="312" w:charSpace="0"/>
        </w:sectPr>
      </w:pPr>
      <w:r>
        <w:rPr>
          <w:rFonts w:hint="eastAsia"/>
          <w:color w:val="auto"/>
          <w:highlight w:val="none"/>
        </w:rPr>
        <w:t>具体明细见表1</w:t>
      </w:r>
      <w:r>
        <w:rPr>
          <w:rFonts w:hint="eastAsia"/>
          <w:color w:val="auto"/>
          <w:highlight w:val="none"/>
          <w:lang w:val="en-US" w:eastAsia="zh-CN"/>
        </w:rPr>
        <w:t>.6</w:t>
      </w:r>
      <w:r>
        <w:rPr>
          <w:rFonts w:hint="eastAsia"/>
          <w:color w:val="auto"/>
          <w:highlight w:val="none"/>
        </w:rPr>
        <w:t>-2。</w:t>
      </w:r>
    </w:p>
    <w:p>
      <w:pPr>
        <w:pStyle w:val="27"/>
        <w:bidi w:val="0"/>
        <w:rPr>
          <w:rFonts w:hint="eastAsia"/>
          <w:color w:val="auto"/>
          <w:highlight w:val="none"/>
        </w:rPr>
      </w:pPr>
      <w:r>
        <w:rPr>
          <w:rFonts w:hint="eastAsia"/>
          <w:color w:val="auto"/>
          <w:highlight w:val="none"/>
        </w:rPr>
        <w:t>表</w:t>
      </w:r>
      <w:r>
        <w:rPr>
          <w:rFonts w:hint="eastAsia"/>
          <w:color w:val="auto"/>
          <w:highlight w:val="none"/>
          <w:lang w:val="en-US" w:eastAsia="zh-CN"/>
        </w:rPr>
        <w:t>1.6-2</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林芝市水功能区划（一级）统计表</w:t>
      </w:r>
    </w:p>
    <w:tbl>
      <w:tblPr>
        <w:tblStyle w:val="24"/>
        <w:tblW w:w="5040" w:type="pct"/>
        <w:tblInd w:w="-12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405"/>
        <w:gridCol w:w="870"/>
        <w:gridCol w:w="1545"/>
        <w:gridCol w:w="648"/>
        <w:gridCol w:w="813"/>
        <w:gridCol w:w="819"/>
        <w:gridCol w:w="930"/>
        <w:gridCol w:w="771"/>
        <w:gridCol w:w="825"/>
        <w:gridCol w:w="825"/>
        <w:gridCol w:w="825"/>
        <w:gridCol w:w="825"/>
        <w:gridCol w:w="624"/>
        <w:gridCol w:w="690"/>
        <w:gridCol w:w="885"/>
        <w:gridCol w:w="975"/>
        <w:gridCol w:w="10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blHeader/>
        </w:trPr>
        <w:tc>
          <w:tcPr>
            <w:tcW w:w="141"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序号</w:t>
            </w:r>
          </w:p>
        </w:tc>
        <w:tc>
          <w:tcPr>
            <w:tcW w:w="304"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编码</w:t>
            </w:r>
          </w:p>
        </w:tc>
        <w:tc>
          <w:tcPr>
            <w:tcW w:w="540"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一级水功能区名称</w:t>
            </w:r>
          </w:p>
        </w:tc>
        <w:tc>
          <w:tcPr>
            <w:tcW w:w="1123"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所在</w:t>
            </w:r>
          </w:p>
        </w:tc>
        <w:tc>
          <w:tcPr>
            <w:tcW w:w="269"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河流</w:t>
            </w:r>
          </w:p>
        </w:tc>
        <w:tc>
          <w:tcPr>
            <w:tcW w:w="57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范围</w:t>
            </w:r>
          </w:p>
        </w:tc>
        <w:tc>
          <w:tcPr>
            <w:tcW w:w="288"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水质代表断面</w:t>
            </w:r>
          </w:p>
        </w:tc>
        <w:tc>
          <w:tcPr>
            <w:tcW w:w="288"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长度/km</w:t>
            </w:r>
          </w:p>
        </w:tc>
        <w:tc>
          <w:tcPr>
            <w:tcW w:w="218"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水质现状</w:t>
            </w:r>
          </w:p>
        </w:tc>
        <w:tc>
          <w:tcPr>
            <w:tcW w:w="241"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水质目标</w:t>
            </w:r>
          </w:p>
        </w:tc>
        <w:tc>
          <w:tcPr>
            <w:tcW w:w="309"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执行水质标准</w:t>
            </w:r>
          </w:p>
        </w:tc>
        <w:tc>
          <w:tcPr>
            <w:tcW w:w="341"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区划依据</w:t>
            </w:r>
          </w:p>
        </w:tc>
        <w:tc>
          <w:tcPr>
            <w:tcW w:w="354"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blHeader/>
        </w:trPr>
        <w:tc>
          <w:tcPr>
            <w:tcW w:w="141"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c>
          <w:tcPr>
            <w:tcW w:w="304"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c>
          <w:tcPr>
            <w:tcW w:w="540"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 xml:space="preserve">流域 </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水系</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水资源三级区</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县级行政区</w:t>
            </w:r>
          </w:p>
        </w:tc>
        <w:tc>
          <w:tcPr>
            <w:tcW w:w="269"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 xml:space="preserve">起始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lang w:val="en-US" w:eastAsia="zh-CN"/>
              </w:rPr>
              <w:t>终止</w:t>
            </w:r>
          </w:p>
        </w:tc>
        <w:tc>
          <w:tcPr>
            <w:tcW w:w="288"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c>
          <w:tcPr>
            <w:tcW w:w="288"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c>
          <w:tcPr>
            <w:tcW w:w="218"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c>
          <w:tcPr>
            <w:tcW w:w="241"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c>
          <w:tcPr>
            <w:tcW w:w="309"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c>
          <w:tcPr>
            <w:tcW w:w="341"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c>
          <w:tcPr>
            <w:tcW w:w="354"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jc w:val="both"/>
              <w:rPr>
                <w:rFonts w:hint="default"/>
                <w:b/>
                <w:bCs/>
                <w:color w:val="auto"/>
                <w:sz w:val="18"/>
                <w:szCs w:val="18"/>
                <w:highlight w:val="none"/>
                <w:lang w:val="en-US" w:eastAsia="zh-CN"/>
              </w:rPr>
            </w:pPr>
            <w:r>
              <w:rPr>
                <w:rFonts w:hint="eastAsia"/>
                <w:b/>
                <w:bCs/>
                <w:color w:val="auto"/>
                <w:sz w:val="18"/>
                <w:szCs w:val="18"/>
                <w:highlight w:val="none"/>
                <w:lang w:val="en-US" w:eastAsia="zh-CN"/>
              </w:rPr>
              <w:t>一、巴宜区一级水功能区登记表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1</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J0402030101000</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几布雄工布自治区级自然保护区</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诸河</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布江</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派镇</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巴宜区</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几布</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雄</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源头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拉格村</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拉格村汇口下游</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34 </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Ⅲ </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Ⅱ</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省级自然保护区</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工布自治区级自然保护区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2</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J040203</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0202000</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几布雄巴宜保留区</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西南诸河</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雅鲁藏布江</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拉孜-派镇</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巴宜区</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几布雄</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拉格村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12 </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Ⅲ </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Ⅲ</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程度低</w:t>
            </w:r>
          </w:p>
        </w:tc>
        <w:tc>
          <w:tcPr>
            <w:tcW w:w="354" w:type="pct"/>
            <w:shd w:val="clear" w:color="auto" w:fill="auto"/>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3</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J040203</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0301000</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则弄工布自治区</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级自然保护区</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诸河</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布江</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派镇</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巴宜区 </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则弄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源头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49 </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Ⅱ</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省级自然</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保护区</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工布自治区级自然保护区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4</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J040203</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0401000</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白雍工布自治区</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级自然保护区</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诸河</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布江</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派镇</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巴宜区 </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白雍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源头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36 </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Ⅱ</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省级自然</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保护区</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工布自治区级自然保护区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5</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J040203</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0501000</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尼西曲工布自治</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区级自然保护区</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诸河</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布江</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派镇</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巴宜区</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尼西</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曲</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源头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27 </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Ⅱ</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省级自然</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保护区</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工布自治区级自然保护区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6</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J040206</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0102000</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八及曲巴宜保留</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区</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诸河</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布江</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派镇</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巴宜区</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八及</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曲</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源头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30 </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Ⅲ</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程度低</w:t>
            </w:r>
          </w:p>
        </w:tc>
        <w:tc>
          <w:tcPr>
            <w:tcW w:w="354" w:type="pct"/>
            <w:shd w:val="clear" w:color="auto" w:fill="auto"/>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7</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J040206</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0201000</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林芝沟工布自治</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区级自然保护区</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诸河</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布江</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派镇</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巴宜区</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林芝</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沟</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源头</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工布自然保护区边界</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工布自然保护区边</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界</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24 </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Ⅱ</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省级自然保护区</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工布自治区级自然保护区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8</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J040206</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0302000</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林芝沟巴宜保留</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区</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诸河</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布江</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派镇</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巴宜区</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林芝</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沟</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工布自</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然保护</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区边界</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16 </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Ⅲ</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开发利用程度低</w:t>
            </w:r>
          </w:p>
        </w:tc>
        <w:tc>
          <w:tcPr>
            <w:tcW w:w="354" w:type="pct"/>
            <w:shd w:val="clear" w:color="auto" w:fill="auto"/>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9</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J040303</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0101000</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拉月曲巴宜源头</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保护区</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诸河</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布江</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派镇以</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下</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巴宜区</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拉月</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曲</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源头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鲁朗镇</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鲁朗镇上游</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36 </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Ⅰ </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源头水</w:t>
            </w:r>
          </w:p>
        </w:tc>
        <w:tc>
          <w:tcPr>
            <w:tcW w:w="354" w:type="pct"/>
            <w:shd w:val="clear" w:color="auto" w:fill="auto"/>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10</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J040303</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0202000</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拉月曲巴宜保留</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区</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诸河</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布江</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派镇以</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下</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巴宜区</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拉月</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曲</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鲁朗镇</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东久河</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汇口</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东久河汇</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口</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19 </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Ⅲ</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程度低</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11</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J040303</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0301000</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拉月曲雅鲁藏布</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大峡谷国家级自</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然保护区</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诸河</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布江</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派镇以</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下</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巴宜区</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拉月</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曲</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东久河</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汇口</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32 </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 xml:space="preserve">Ⅱ </w:t>
            </w: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Ⅰ</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国家级自</w:t>
            </w:r>
          </w:p>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然保护区</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val="en-US" w:eastAsia="zh-CN"/>
              </w:rPr>
              <w:t>雅鲁藏布大峡谷国家级自然保护区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jc w:val="both"/>
              <w:rPr>
                <w:rFonts w:hint="default"/>
                <w:b/>
                <w:bCs/>
                <w:color w:val="auto"/>
                <w:sz w:val="18"/>
                <w:szCs w:val="18"/>
                <w:highlight w:val="none"/>
                <w:lang w:val="en-US" w:eastAsia="zh-CN"/>
              </w:rPr>
            </w:pPr>
            <w:r>
              <w:rPr>
                <w:rFonts w:hint="eastAsia"/>
                <w:b/>
                <w:bCs/>
                <w:color w:val="auto"/>
                <w:sz w:val="18"/>
                <w:szCs w:val="18"/>
                <w:highlight w:val="none"/>
                <w:lang w:val="en-US" w:eastAsia="zh-CN"/>
              </w:rPr>
              <w:t>二、工布江达县一级水功能区登记表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1</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J040201</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0102000</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白朗曲工布江达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工布江</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达县</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白朗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曲</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47 </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程度低</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2</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J040201</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0201000</w:t>
            </w:r>
          </w:p>
        </w:tc>
        <w:tc>
          <w:tcPr>
            <w:tcW w:w="54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洞中弄工布江达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源头保护区</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2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工布江</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达县</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洞中</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弄</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拉荣村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拉荣村 </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30 </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Ⅰ </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源头水</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3</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J040201</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0302000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洞中弄工布江达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工布江</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达县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洞中</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弄</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拉荣村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15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程度低</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4</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J040201</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0401000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下不梭朗工布江</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达源头保护区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工布江</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达县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下不</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梭朗</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夏坝村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夏坝村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37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Ⅰ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源头水</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5</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J040201</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0502000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下不梭朗工布江</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达保留区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工布江</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达县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下不</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梭朗</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夏坝村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10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程度低</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6</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J040202</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0101000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娘曲工布江达源</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头保护区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工布江</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达县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娘曲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岗郎村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岗郎村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27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Ⅰ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源头水</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7</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J040202</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0202000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娘曲工布江达保</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工布江</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达县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娘曲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岗郎村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58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程度低</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8</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J040204</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0101000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巴郎曲工布自治</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区级自然保护区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工布江</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达县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巴朗曲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源头</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河口上游</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5km</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河口上</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游 5km</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50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Ⅱ</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省级自然</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工布自治区级自然保护区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9</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J040204</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0202000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巴郎曲工布江达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工布江</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达县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巴朗曲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河口上游5km</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5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乡镇所在地</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10</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J040205</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0101000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巴河工布自治区</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级自然保护区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工布江</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达县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巴河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源头</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巴松措湖口</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巴松措湖口</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60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Ⅱ</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省级自然</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工布自治区级自然保护区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11</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J040205</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0202000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巴河工布江达保</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工布江</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达县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巴河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巴松措湖口</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40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程度低</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5000" w:type="pct"/>
            <w:gridSpan w:val="17"/>
            <w:shd w:val="clear" w:color="auto" w:fill="auto"/>
            <w:vAlign w:val="center"/>
          </w:tcPr>
          <w:p>
            <w:pPr>
              <w:pStyle w:val="29"/>
              <w:keepNext w:val="0"/>
              <w:keepLines w:val="0"/>
              <w:suppressLineNumbers w:val="0"/>
              <w:bidi w:val="0"/>
              <w:spacing w:before="0" w:beforeAutospacing="0" w:after="0" w:afterAutospacing="0"/>
              <w:ind w:left="0" w:right="0"/>
              <w:jc w:val="both"/>
              <w:rPr>
                <w:rFonts w:hint="default"/>
                <w:b/>
                <w:bCs/>
                <w:color w:val="auto"/>
                <w:sz w:val="18"/>
                <w:szCs w:val="18"/>
                <w:highlight w:val="none"/>
                <w:lang w:val="en-US" w:eastAsia="zh-CN"/>
              </w:rPr>
            </w:pPr>
            <w:r>
              <w:rPr>
                <w:rFonts w:hint="eastAsia"/>
                <w:b/>
                <w:bCs/>
                <w:color w:val="auto"/>
                <w:sz w:val="18"/>
                <w:szCs w:val="18"/>
                <w:highlight w:val="none"/>
                <w:lang w:val="en-US" w:eastAsia="zh-CN"/>
              </w:rPr>
              <w:t>三、朗县一级水功能区登记表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1</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J0402000102000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古如曲朗县</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朗县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古如</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44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开发利用程度低</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2</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J0402000202000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拿窝蒲朗县</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西南诸</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朗县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拿窝蒲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58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开发利用程度低</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3</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J0402000302000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阿那塘朗县</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朗县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阿那塘</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50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开发利用程度低</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4</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J0402000402000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金东曲朗县</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朗县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金东曲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45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5000" w:type="pct"/>
            <w:gridSpan w:val="17"/>
            <w:shd w:val="clear" w:color="auto" w:fill="auto"/>
            <w:vAlign w:val="center"/>
          </w:tcPr>
          <w:p>
            <w:pPr>
              <w:pStyle w:val="29"/>
              <w:keepNext w:val="0"/>
              <w:keepLines w:val="0"/>
              <w:suppressLineNumbers w:val="0"/>
              <w:bidi w:val="0"/>
              <w:spacing w:before="0" w:beforeAutospacing="0" w:after="0" w:afterAutospacing="0"/>
              <w:ind w:left="0" w:right="0"/>
              <w:jc w:val="both"/>
              <w:rPr>
                <w:rFonts w:hint="default"/>
                <w:b/>
                <w:bCs/>
                <w:color w:val="auto"/>
                <w:sz w:val="18"/>
                <w:szCs w:val="18"/>
                <w:highlight w:val="none"/>
                <w:lang w:val="en-US" w:eastAsia="zh-CN"/>
              </w:rPr>
            </w:pPr>
            <w:r>
              <w:rPr>
                <w:rFonts w:hint="eastAsia"/>
                <w:b/>
                <w:bCs/>
                <w:color w:val="auto"/>
                <w:sz w:val="18"/>
                <w:szCs w:val="18"/>
                <w:highlight w:val="none"/>
                <w:lang w:val="en-US" w:eastAsia="zh-CN"/>
              </w:rPr>
              <w:t>四、米林县一级水功能区登记表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1</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0501000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那姆曲工布自治区级自然保护区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米林县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那姆</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50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Ⅱ</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省级自然</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工布自治区级自然保护区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2</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0601000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里龙普曲工布自治区级自然保护区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米林县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里龙</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普曲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里龙乡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里龙乡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79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Ⅱ</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省级自然</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工布自治区级自然保护区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3</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0702000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里龙普曲米林县保留区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米林县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里龙</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普曲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里龙乡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2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乡镇所在</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地</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4</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0801000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拉普曲工布自治区级自然保护区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米林县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拉普</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源头</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扎西绕</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登乡</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扎西绕</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登乡</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50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Ⅱ</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省级自然</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工布自治区级自然保护区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141"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5</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0902000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拉普曲米林县保留区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米林县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拉普</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扎西绕</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登乡</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4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乡镇所在</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地</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6</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1001000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南伊曲工布自治区级自然保护区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米林县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南伊</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南伊乡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南伊乡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53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Ⅱ</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省级自然</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工布自治区级自然保护区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7</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1102000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南伊曲米林县保留区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米林县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南伊</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南伊乡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5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乡镇所在</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地</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8</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J040200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1201000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巴嘎普曲工布自治区级自然保护区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拉孜-派</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镇</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米林县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巴嘎</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普曲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25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Ⅱ</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省级自然</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工布自治区级自然保护区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5000" w:type="pct"/>
            <w:gridSpan w:val="17"/>
            <w:shd w:val="clear" w:color="auto" w:fill="auto"/>
            <w:vAlign w:val="center"/>
          </w:tcPr>
          <w:p>
            <w:pPr>
              <w:pStyle w:val="29"/>
              <w:keepNext w:val="0"/>
              <w:keepLines w:val="0"/>
              <w:suppressLineNumbers w:val="0"/>
              <w:bidi w:val="0"/>
              <w:spacing w:before="0" w:beforeAutospacing="0" w:after="0" w:afterAutospacing="0"/>
              <w:ind w:left="0" w:right="0"/>
              <w:jc w:val="both"/>
              <w:rPr>
                <w:rFonts w:hint="default"/>
                <w:color w:val="auto"/>
                <w:sz w:val="18"/>
                <w:szCs w:val="18"/>
                <w:highlight w:val="none"/>
                <w:lang w:val="en-US" w:eastAsia="zh-CN"/>
              </w:rPr>
            </w:pPr>
            <w:r>
              <w:rPr>
                <w:rFonts w:hint="eastAsia"/>
                <w:color w:val="auto"/>
                <w:sz w:val="18"/>
                <w:szCs w:val="18"/>
                <w:highlight w:val="none"/>
                <w:lang w:val="en-US" w:eastAsia="zh-CN"/>
              </w:rPr>
              <w:t>五、墨脱县一级水功能区登记表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1</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J040300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0101000</w:t>
            </w:r>
          </w:p>
        </w:tc>
        <w:tc>
          <w:tcPr>
            <w:tcW w:w="540"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金珠曲雅鲁藏布大峡谷国家级自然保护区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派镇以</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墨脱县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金珠</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源头</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嘎弄曲</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汇口</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嘎弄曲</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汇口</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70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Ⅰ</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国家级自</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然保护区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雅鲁藏布大峡谷国家级自然</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2</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J040300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0201000</w:t>
            </w:r>
          </w:p>
        </w:tc>
        <w:tc>
          <w:tcPr>
            <w:tcW w:w="540"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嘎弄曲雅鲁藏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布大峡谷国家</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级自然保护区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派镇以</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墨脱县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金珠</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嘎弄曲</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源头</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嘎弄曲</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河口</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嘎弄曲</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河口</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47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Ⅰ</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国家级自</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然保护区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雅鲁藏布大峡谷国家级自然</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3</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J040300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0302000</w:t>
            </w:r>
          </w:p>
        </w:tc>
        <w:tc>
          <w:tcPr>
            <w:tcW w:w="540"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金珠曲墨脱县</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派镇以</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墨脱县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金珠</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嘎弄曲</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汇口</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6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乡镇所在</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地</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4</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J040300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0401000</w:t>
            </w:r>
          </w:p>
        </w:tc>
        <w:tc>
          <w:tcPr>
            <w:tcW w:w="540"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西工河雅鲁藏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布大峡谷国家</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级自然保护区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派镇以</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墨脱县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西工</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28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Ⅰ</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国家级自</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然保护区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雅鲁藏布大峡谷国家级自然</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5</w:t>
            </w:r>
          </w:p>
        </w:tc>
        <w:tc>
          <w:tcPr>
            <w:tcW w:w="304"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J040300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0501000</w:t>
            </w:r>
          </w:p>
        </w:tc>
        <w:tc>
          <w:tcPr>
            <w:tcW w:w="540" w:type="pct"/>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白马西路河雅</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鲁藏布大峡谷</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国家级自然保</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派镇以</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墨脱县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白马</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西路</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38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Ⅰ</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国家级自</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然保护区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雅鲁藏布大峡谷国家级自然</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5000" w:type="pct"/>
            <w:gridSpan w:val="17"/>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六．</w:t>
            </w:r>
            <w:r>
              <w:rPr>
                <w:rFonts w:hint="default"/>
                <w:color w:val="auto"/>
                <w:sz w:val="18"/>
                <w:szCs w:val="18"/>
                <w:highlight w:val="none"/>
                <w:lang w:val="en-US" w:eastAsia="zh-CN"/>
              </w:rPr>
              <w:t>波密县一级水功能区登记表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1</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J040301</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0102000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曲宗藏布波密</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县保留区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派镇以</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波密县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曲宗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藏布</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73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开发利用程度低</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2</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J040301</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0201000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波堆藏布波密</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源头水保护区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派镇以</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波密县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波堆</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藏布</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则普村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则普村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33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Ⅰ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源头水</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3</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J040301</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0302000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波堆藏布波密</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派镇以</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波密县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波堆</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藏布</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则普村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69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乡镇所在地</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4</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J040301</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0401000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亚龙藏布波密</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源头水保护区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派镇以</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波密县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波堆</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藏布</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曲西村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曲西村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47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Ⅰ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源头水</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5</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J040301</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0502000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亚龙藏布波密</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派镇以</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波密县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波堆</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藏布</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曲西村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28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开发利用程度低</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6</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J040302</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0102000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易贡藏布波密</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雅鲁藏</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派镇以</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下</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波密县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易贡</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藏布</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林芝界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126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开发利用程度低</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7</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J030101</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0102000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德曲波密保留</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怒江及</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伊洛瓦</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底江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怒江勐</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古以上</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波密县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德曲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林芝界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林芝界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45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开发利用程度低</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5000" w:type="pct"/>
            <w:gridSpan w:val="17"/>
            <w:shd w:val="clear" w:color="auto" w:fill="auto"/>
            <w:vAlign w:val="center"/>
          </w:tcPr>
          <w:p>
            <w:pPr>
              <w:pStyle w:val="29"/>
              <w:keepNext w:val="0"/>
              <w:keepLines w:val="0"/>
              <w:suppressLineNumbers w:val="0"/>
              <w:bidi w:val="0"/>
              <w:spacing w:before="0" w:beforeAutospacing="0" w:after="0" w:afterAutospacing="0"/>
              <w:ind w:left="0" w:right="0"/>
              <w:jc w:val="both"/>
              <w:rPr>
                <w:rFonts w:hint="default"/>
                <w:color w:val="auto"/>
                <w:sz w:val="18"/>
                <w:szCs w:val="18"/>
                <w:highlight w:val="none"/>
                <w:lang w:val="en-US" w:eastAsia="zh-CN"/>
              </w:rPr>
            </w:pPr>
            <w:r>
              <w:rPr>
                <w:rFonts w:hint="eastAsia"/>
                <w:color w:val="auto"/>
                <w:sz w:val="18"/>
                <w:szCs w:val="18"/>
                <w:highlight w:val="none"/>
                <w:lang w:val="en-US" w:eastAsia="zh-CN"/>
              </w:rPr>
              <w:t>七、察隅县一级水功能区登记表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1</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J050101</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0102000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左拉曲察隅县</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藏南诸河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藏南诸</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察隅县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左拉曲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40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程度低</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2</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J050101</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0202000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桑久曲察隅县</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藏南诸河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藏南诸</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察隅县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桑久曲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34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程度低</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3</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J050102</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0102000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贡日嘎布曲察</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隅县保留区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藏南诸河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藏南诸</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察隅县</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贡日嘎</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布曲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161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程度低</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4</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J030100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0102000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木空曲察隅县</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怒江及伊洛</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瓦底江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怒江勐</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古以上</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察隅县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木空曲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44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程度低</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5</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J030100</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0202000</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舍曲河察隅县</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保留区</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西南</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诸河</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怒江及伊洛</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瓦底江</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怒江勐</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古以上</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察隅县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舍曲河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源头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河口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31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 xml:space="preserve">Ⅱ </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Ⅲ</w:t>
            </w:r>
          </w:p>
        </w:tc>
        <w:tc>
          <w:tcPr>
            <w:tcW w:w="0" w:type="auto"/>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开发利用</w:t>
            </w:r>
          </w:p>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default"/>
                <w:color w:val="auto"/>
                <w:sz w:val="18"/>
                <w:szCs w:val="18"/>
                <w:highlight w:val="none"/>
                <w:lang w:val="en-US" w:eastAsia="zh-CN"/>
              </w:rPr>
              <w:t>程度低</w:t>
            </w:r>
          </w:p>
        </w:tc>
        <w:tc>
          <w:tcPr>
            <w:tcW w:w="0" w:type="auto"/>
            <w:shd w:val="clear" w:color="auto" w:fill="auto"/>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p>
        </w:tc>
      </w:tr>
    </w:tbl>
    <w:p>
      <w:pPr>
        <w:pStyle w:val="29"/>
        <w:bidi w:val="0"/>
        <w:rPr>
          <w:color w:val="auto"/>
          <w:sz w:val="18"/>
          <w:szCs w:val="18"/>
          <w:highlight w:val="none"/>
        </w:rPr>
      </w:pPr>
    </w:p>
    <w:p>
      <w:pPr>
        <w:pStyle w:val="6"/>
        <w:bidi w:val="0"/>
        <w:rPr>
          <w:rFonts w:hint="eastAsia"/>
          <w:color w:val="FF0000"/>
          <w:highlight w:val="none"/>
        </w:rPr>
      </w:pPr>
    </w:p>
    <w:p>
      <w:pPr>
        <w:pStyle w:val="6"/>
        <w:bidi w:val="0"/>
        <w:rPr>
          <w:rFonts w:hint="eastAsia"/>
          <w:color w:val="FF0000"/>
          <w:highlight w:val="none"/>
        </w:rPr>
      </w:pPr>
    </w:p>
    <w:p>
      <w:pPr>
        <w:pStyle w:val="6"/>
        <w:bidi w:val="0"/>
        <w:rPr>
          <w:rFonts w:hint="eastAsia"/>
          <w:color w:val="FF0000"/>
          <w:highlight w:val="none"/>
        </w:rPr>
      </w:pPr>
    </w:p>
    <w:p>
      <w:pPr>
        <w:pStyle w:val="6"/>
        <w:bidi w:val="0"/>
        <w:rPr>
          <w:rFonts w:hint="eastAsia"/>
          <w:color w:val="FF0000"/>
          <w:highlight w:val="none"/>
        </w:rPr>
      </w:pPr>
    </w:p>
    <w:p>
      <w:pPr>
        <w:pStyle w:val="6"/>
        <w:bidi w:val="0"/>
        <w:rPr>
          <w:rFonts w:hint="eastAsia"/>
          <w:color w:val="FF0000"/>
          <w:highlight w:val="none"/>
        </w:rPr>
      </w:pPr>
    </w:p>
    <w:p>
      <w:pPr>
        <w:pStyle w:val="6"/>
        <w:bidi w:val="0"/>
        <w:rPr>
          <w:rFonts w:hint="eastAsia"/>
          <w:color w:val="FF0000"/>
          <w:highlight w:val="none"/>
        </w:rPr>
      </w:pPr>
    </w:p>
    <w:p>
      <w:pPr>
        <w:pStyle w:val="6"/>
        <w:bidi w:val="0"/>
        <w:rPr>
          <w:rFonts w:hint="eastAsia"/>
          <w:color w:val="FF0000"/>
          <w:highlight w:val="none"/>
        </w:rPr>
      </w:pPr>
    </w:p>
    <w:p>
      <w:pPr>
        <w:pStyle w:val="6"/>
        <w:bidi w:val="0"/>
        <w:rPr>
          <w:rFonts w:hint="eastAsia"/>
          <w:color w:val="FF0000"/>
          <w:highlight w:val="none"/>
        </w:rPr>
      </w:pPr>
    </w:p>
    <w:p>
      <w:pPr>
        <w:pStyle w:val="6"/>
        <w:bidi w:val="0"/>
        <w:rPr>
          <w:rFonts w:hint="eastAsia"/>
          <w:color w:val="FF0000"/>
          <w:highlight w:val="none"/>
        </w:rPr>
        <w:sectPr>
          <w:pgSz w:w="16838" w:h="11906" w:orient="landscape"/>
          <w:pgMar w:top="1800" w:right="1440" w:bottom="1800" w:left="1440" w:header="851" w:footer="992" w:gutter="0"/>
          <w:pgNumType w:fmt="decimal"/>
          <w:cols w:space="425" w:num="1"/>
          <w:docGrid w:type="lines" w:linePitch="312" w:charSpace="0"/>
        </w:sectPr>
      </w:pPr>
    </w:p>
    <w:p>
      <w:pPr>
        <w:pStyle w:val="5"/>
        <w:bidi w:val="0"/>
        <w:rPr>
          <w:rFonts w:hint="eastAsia"/>
          <w:color w:val="auto"/>
          <w:highlight w:val="none"/>
        </w:rPr>
      </w:pPr>
      <w:bookmarkStart w:id="43" w:name="_Toc17481"/>
      <w:bookmarkStart w:id="44" w:name="_Toc21590"/>
      <w:r>
        <w:rPr>
          <w:rFonts w:hint="eastAsia"/>
          <w:color w:val="auto"/>
          <w:highlight w:val="none"/>
        </w:rPr>
        <w:t>1.6.</w:t>
      </w:r>
      <w:r>
        <w:rPr>
          <w:rFonts w:hint="eastAsia"/>
          <w:color w:val="auto"/>
          <w:highlight w:val="none"/>
          <w:lang w:val="en-US" w:eastAsia="zh-CN"/>
        </w:rPr>
        <w:t>4</w:t>
      </w:r>
      <w:r>
        <w:rPr>
          <w:rFonts w:hint="eastAsia"/>
          <w:color w:val="auto"/>
          <w:highlight w:val="none"/>
        </w:rPr>
        <w:t>地下水功能区划</w:t>
      </w:r>
      <w:bookmarkEnd w:id="43"/>
      <w:bookmarkEnd w:id="44"/>
    </w:p>
    <w:p>
      <w:pPr>
        <w:pStyle w:val="6"/>
        <w:bidi w:val="0"/>
        <w:rPr>
          <w:rFonts w:hint="eastAsia"/>
          <w:color w:val="FF0000"/>
          <w:highlight w:val="none"/>
        </w:rPr>
      </w:pPr>
      <w:r>
        <w:rPr>
          <w:rFonts w:hint="eastAsia"/>
        </w:rPr>
        <w:t>根据《地下水质量标准》（GB/T14848-2017）中地下水质量分类，以人体健康基准为依据，主要适用于集中式生活饮用水水源及工、农业水的水质为Ⅲ类水体。</w:t>
      </w:r>
    </w:p>
    <w:p>
      <w:pPr>
        <w:pStyle w:val="5"/>
        <w:bidi w:val="0"/>
        <w:rPr>
          <w:color w:val="auto"/>
          <w:highlight w:val="none"/>
        </w:rPr>
      </w:pPr>
      <w:bookmarkStart w:id="45" w:name="_Toc9958"/>
      <w:bookmarkStart w:id="46" w:name="_Toc17678"/>
      <w:r>
        <w:rPr>
          <w:rFonts w:hint="eastAsia"/>
          <w:color w:val="auto"/>
          <w:highlight w:val="none"/>
        </w:rPr>
        <w:t>1.6.5声环境功能区划</w:t>
      </w:r>
      <w:bookmarkEnd w:id="45"/>
      <w:bookmarkEnd w:id="46"/>
    </w:p>
    <w:p>
      <w:pPr>
        <w:pStyle w:val="6"/>
        <w:ind w:firstLine="480"/>
        <w:rPr>
          <w:rFonts w:hint="eastAsia"/>
        </w:rPr>
      </w:pPr>
      <w:r>
        <w:rPr>
          <w:rFonts w:hint="eastAsia"/>
        </w:rPr>
        <w:t>八一镇区域声能分区按照《林芝地区八一镇城市区域环境噪声适用区划分技术报告》执行，其余区域根据《声环境质量标准》（GB3096-2008）及《声环境功能区划分技术规范》（GB/T15190-2014）中声环境功能区划分方法执行：</w:t>
      </w:r>
    </w:p>
    <w:p>
      <w:pPr>
        <w:pStyle w:val="6"/>
        <w:bidi w:val="0"/>
        <w:rPr>
          <w:color w:val="auto"/>
          <w:highlight w:val="none"/>
        </w:rPr>
      </w:pPr>
      <w:r>
        <w:rPr>
          <w:rFonts w:hint="eastAsia"/>
        </w:rPr>
        <w:t>康复疗养区等特别需要安静的区域为0类声环境功能区；以居民住宅、医疗卫生、文化教育、科研设计、行政办公为主要功能，需要保持安静的区域为1类声环境功能区；以商业金融、集市贸易为主要功能，或者居住、商业、工业混杂，需要维护住宅安静的区域为2类声环境功能区；以工业生产、仓储物流为主要功能，需要防止工业噪声对周围环境产生严重影响的区域为3类声环境功能区；交通干线两侧一定距离之内，需要防止交通噪声对周围环境产生严重影响的区域，分为4a类和4b类两种类型。4a类为高速公路、一级公路、二级公路、城市快速路、城市主干路、城市次干路、城市轨道交通（地面段）、内河航道两侧区域；4b类为铁路干线两侧区域。</w:t>
      </w:r>
    </w:p>
    <w:p>
      <w:pPr>
        <w:pStyle w:val="4"/>
        <w:bidi w:val="0"/>
        <w:rPr>
          <w:rFonts w:hint="eastAsia"/>
          <w:color w:val="auto"/>
          <w:highlight w:val="none"/>
        </w:rPr>
      </w:pPr>
      <w:bookmarkStart w:id="47" w:name="_Toc22850"/>
      <w:bookmarkStart w:id="48" w:name="_Toc26125"/>
      <w:r>
        <w:rPr>
          <w:rFonts w:hint="eastAsia"/>
          <w:color w:val="auto"/>
          <w:highlight w:val="none"/>
        </w:rPr>
        <w:t>1.7环境质量标准及污染物排放标准</w:t>
      </w:r>
      <w:bookmarkEnd w:id="47"/>
      <w:bookmarkEnd w:id="48"/>
    </w:p>
    <w:p>
      <w:pPr>
        <w:pStyle w:val="5"/>
        <w:bidi w:val="0"/>
        <w:rPr>
          <w:color w:val="auto"/>
          <w:highlight w:val="none"/>
        </w:rPr>
      </w:pPr>
      <w:bookmarkStart w:id="49" w:name="_Toc8781"/>
      <w:bookmarkStart w:id="50" w:name="_Toc13575"/>
      <w:r>
        <w:rPr>
          <w:rFonts w:hint="eastAsia"/>
          <w:color w:val="auto"/>
          <w:highlight w:val="none"/>
        </w:rPr>
        <w:t>1.7.1环境质量标准</w:t>
      </w:r>
      <w:bookmarkEnd w:id="49"/>
      <w:bookmarkEnd w:id="50"/>
    </w:p>
    <w:p>
      <w:pPr>
        <w:pStyle w:val="6"/>
        <w:bidi w:val="0"/>
        <w:rPr>
          <w:rFonts w:hint="eastAsia"/>
          <w:b/>
          <w:bCs/>
          <w:color w:val="auto"/>
          <w:highlight w:val="none"/>
        </w:rPr>
      </w:pPr>
      <w:r>
        <w:rPr>
          <w:rFonts w:hint="eastAsia"/>
          <w:b/>
          <w:bCs/>
          <w:color w:val="auto"/>
          <w:highlight w:val="none"/>
          <w:lang w:val="en-US" w:eastAsia="zh-CN"/>
        </w:rPr>
        <w:t>1、</w:t>
      </w:r>
      <w:r>
        <w:rPr>
          <w:rFonts w:hint="eastAsia"/>
          <w:b/>
          <w:bCs/>
          <w:color w:val="auto"/>
          <w:highlight w:val="none"/>
        </w:rPr>
        <w:t>环境空气质量标准</w:t>
      </w:r>
    </w:p>
    <w:p>
      <w:pPr>
        <w:pStyle w:val="6"/>
        <w:bidi w:val="0"/>
        <w:rPr>
          <w:color w:val="auto"/>
          <w:sz w:val="24"/>
          <w:highlight w:val="none"/>
        </w:rPr>
      </w:pPr>
      <w:r>
        <w:rPr>
          <w:rFonts w:hint="eastAsia"/>
          <w:color w:val="auto"/>
          <w:highlight w:val="none"/>
        </w:rPr>
        <w:t>根据《环境空气质量标准》（GB3095-2012）中规定，规划区内自然保护区、风景名胜区和其他需要特殊保护区域等环境空气功能区为一类区执行一级限值；居住区、商业交通居民混合区、文化区、工业区和农村地区环境空气功能区为二类区执行二类浓度限值，</w:t>
      </w:r>
      <w:r>
        <w:rPr>
          <w:color w:val="auto"/>
          <w:sz w:val="24"/>
          <w:highlight w:val="none"/>
        </w:rPr>
        <w:t>标准值见表1.</w:t>
      </w:r>
      <w:r>
        <w:rPr>
          <w:rFonts w:hint="eastAsia"/>
          <w:color w:val="auto"/>
          <w:sz w:val="24"/>
          <w:highlight w:val="none"/>
          <w:lang w:val="en-US" w:eastAsia="zh-CN"/>
        </w:rPr>
        <w:t>7</w:t>
      </w:r>
      <w:r>
        <w:rPr>
          <w:color w:val="auto"/>
          <w:sz w:val="24"/>
          <w:highlight w:val="none"/>
        </w:rPr>
        <w:t>-1。</w:t>
      </w:r>
    </w:p>
    <w:p>
      <w:pPr>
        <w:pStyle w:val="27"/>
        <w:bidi w:val="0"/>
        <w:rPr>
          <w:color w:val="auto"/>
          <w:highlight w:val="none"/>
        </w:rPr>
      </w:pPr>
      <w:r>
        <w:rPr>
          <w:color w:val="auto"/>
          <w:highlight w:val="none"/>
        </w:rPr>
        <w:t>表1.</w:t>
      </w:r>
      <w:r>
        <w:rPr>
          <w:rFonts w:hint="eastAsia"/>
          <w:color w:val="auto"/>
          <w:highlight w:val="none"/>
          <w:lang w:val="en-US" w:eastAsia="zh-CN"/>
        </w:rPr>
        <w:t>7</w:t>
      </w:r>
      <w:r>
        <w:rPr>
          <w:color w:val="auto"/>
          <w:highlight w:val="none"/>
        </w:rPr>
        <w:t>-1  环境空气质量标准（单位：μg/m</w:t>
      </w:r>
      <w:r>
        <w:rPr>
          <w:color w:val="auto"/>
          <w:highlight w:val="none"/>
          <w:vertAlign w:val="superscript"/>
        </w:rPr>
        <w:t>3</w:t>
      </w:r>
      <w:r>
        <w:rPr>
          <w:color w:val="auto"/>
          <w:highlight w:val="none"/>
        </w:rPr>
        <w:t>）</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83"/>
        <w:gridCol w:w="1982"/>
        <w:gridCol w:w="1530"/>
        <w:gridCol w:w="1769"/>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33" w:hRule="atLeast"/>
          <w:tblHeader/>
          <w:jc w:val="center"/>
        </w:trPr>
        <w:tc>
          <w:tcPr>
            <w:tcW w:w="827" w:type="pct"/>
            <w:vMerge w:val="restart"/>
            <w:vAlign w:val="center"/>
          </w:tcPr>
          <w:p>
            <w:pPr>
              <w:pStyle w:val="29"/>
              <w:keepNext w:val="0"/>
              <w:keepLines w:val="0"/>
              <w:suppressLineNumbers w:val="0"/>
              <w:bidi w:val="0"/>
              <w:spacing w:before="0" w:beforeAutospacing="0" w:after="0" w:afterAutospacing="0"/>
              <w:ind w:left="0" w:right="0"/>
              <w:rPr>
                <w:rFonts w:hint="default"/>
                <w:b/>
                <w:bCs/>
                <w:color w:val="auto"/>
                <w:highlight w:val="none"/>
                <w:lang w:val="zh-CN"/>
              </w:rPr>
            </w:pPr>
            <w:r>
              <w:rPr>
                <w:rFonts w:hint="default"/>
                <w:b/>
                <w:bCs/>
                <w:color w:val="auto"/>
                <w:highlight w:val="none"/>
                <w:lang w:val="zh-CN"/>
              </w:rPr>
              <w:t>污染物名称</w:t>
            </w:r>
          </w:p>
        </w:tc>
        <w:tc>
          <w:tcPr>
            <w:tcW w:w="1185" w:type="pct"/>
            <w:vMerge w:val="restart"/>
            <w:vAlign w:val="center"/>
          </w:tcPr>
          <w:p>
            <w:pPr>
              <w:pStyle w:val="29"/>
              <w:keepNext w:val="0"/>
              <w:keepLines w:val="0"/>
              <w:suppressLineNumbers w:val="0"/>
              <w:bidi w:val="0"/>
              <w:spacing w:before="0" w:beforeAutospacing="0" w:after="0" w:afterAutospacing="0"/>
              <w:ind w:left="0" w:right="0"/>
              <w:rPr>
                <w:rFonts w:hint="default"/>
                <w:b/>
                <w:bCs/>
                <w:color w:val="auto"/>
                <w:highlight w:val="none"/>
                <w:lang w:val="zh-CN"/>
              </w:rPr>
            </w:pPr>
            <w:r>
              <w:rPr>
                <w:rFonts w:hint="default"/>
                <w:b/>
                <w:bCs/>
                <w:color w:val="auto"/>
                <w:highlight w:val="none"/>
                <w:lang w:val="zh-CN"/>
              </w:rPr>
              <w:t>取值时间</w:t>
            </w:r>
          </w:p>
        </w:tc>
        <w:tc>
          <w:tcPr>
            <w:tcW w:w="1973" w:type="pct"/>
            <w:gridSpan w:val="2"/>
            <w:vAlign w:val="center"/>
          </w:tcPr>
          <w:p>
            <w:pPr>
              <w:pStyle w:val="29"/>
              <w:keepNext w:val="0"/>
              <w:keepLines w:val="0"/>
              <w:suppressLineNumbers w:val="0"/>
              <w:bidi w:val="0"/>
              <w:spacing w:before="0" w:beforeAutospacing="0" w:after="0" w:afterAutospacing="0"/>
              <w:ind w:left="0" w:right="0"/>
              <w:rPr>
                <w:rFonts w:hint="default"/>
                <w:b/>
                <w:bCs/>
                <w:color w:val="auto"/>
                <w:highlight w:val="none"/>
                <w:lang w:val="zh-CN"/>
              </w:rPr>
            </w:pPr>
            <w:r>
              <w:rPr>
                <w:rFonts w:hint="default"/>
                <w:b/>
                <w:bCs/>
                <w:color w:val="auto"/>
                <w:highlight w:val="none"/>
                <w:lang w:val="zh-CN"/>
              </w:rPr>
              <w:t>浓度限值</w:t>
            </w:r>
          </w:p>
        </w:tc>
        <w:tc>
          <w:tcPr>
            <w:tcW w:w="1013" w:type="pct"/>
            <w:vMerge w:val="restart"/>
            <w:vAlign w:val="center"/>
          </w:tcPr>
          <w:p>
            <w:pPr>
              <w:pStyle w:val="29"/>
              <w:keepNext w:val="0"/>
              <w:keepLines w:val="0"/>
              <w:suppressLineNumbers w:val="0"/>
              <w:bidi w:val="0"/>
              <w:spacing w:before="0" w:beforeAutospacing="0" w:after="0" w:afterAutospacing="0"/>
              <w:ind w:left="0" w:right="0"/>
              <w:rPr>
                <w:rFonts w:hint="default"/>
                <w:b/>
                <w:bCs/>
                <w:color w:val="auto"/>
                <w:highlight w:val="none"/>
                <w:lang w:val="zh-CN"/>
              </w:rPr>
            </w:pPr>
            <w:r>
              <w:rPr>
                <w:rFonts w:hint="default"/>
                <w:b/>
                <w:bCs/>
                <w:color w:val="auto"/>
                <w:highlight w:val="none"/>
                <w:lang w:val="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33" w:hRule="atLeast"/>
          <w:tblHeader/>
          <w:jc w:val="center"/>
        </w:trPr>
        <w:tc>
          <w:tcPr>
            <w:tcW w:w="827" w:type="pct"/>
            <w:vMerge w:val="continue"/>
            <w:vAlign w:val="center"/>
          </w:tcPr>
          <w:p>
            <w:pPr>
              <w:pStyle w:val="29"/>
              <w:keepNext w:val="0"/>
              <w:keepLines w:val="0"/>
              <w:suppressLineNumbers w:val="0"/>
              <w:bidi w:val="0"/>
              <w:spacing w:before="0" w:beforeAutospacing="0" w:after="0" w:afterAutospacing="0"/>
              <w:ind w:left="0" w:right="0"/>
              <w:rPr>
                <w:rFonts w:hint="default"/>
                <w:b/>
                <w:bCs/>
                <w:color w:val="auto"/>
                <w:highlight w:val="none"/>
                <w:lang w:val="zh-CN"/>
              </w:rPr>
            </w:pPr>
          </w:p>
        </w:tc>
        <w:tc>
          <w:tcPr>
            <w:tcW w:w="1185" w:type="pct"/>
            <w:vMerge w:val="continue"/>
            <w:vAlign w:val="center"/>
          </w:tcPr>
          <w:p>
            <w:pPr>
              <w:pStyle w:val="29"/>
              <w:keepNext w:val="0"/>
              <w:keepLines w:val="0"/>
              <w:suppressLineNumbers w:val="0"/>
              <w:bidi w:val="0"/>
              <w:spacing w:before="0" w:beforeAutospacing="0" w:after="0" w:afterAutospacing="0"/>
              <w:ind w:left="0" w:right="0"/>
              <w:rPr>
                <w:rFonts w:hint="default"/>
                <w:b/>
                <w:bCs/>
                <w:color w:val="auto"/>
                <w:highlight w:val="none"/>
                <w:lang w:val="zh-CN"/>
              </w:rPr>
            </w:pPr>
          </w:p>
        </w:tc>
        <w:tc>
          <w:tcPr>
            <w:tcW w:w="915" w:type="pct"/>
            <w:vAlign w:val="center"/>
          </w:tcPr>
          <w:p>
            <w:pPr>
              <w:pStyle w:val="29"/>
              <w:keepNext w:val="0"/>
              <w:keepLines w:val="0"/>
              <w:suppressLineNumbers w:val="0"/>
              <w:bidi w:val="0"/>
              <w:spacing w:before="0" w:beforeAutospacing="0" w:after="0" w:afterAutospacing="0"/>
              <w:ind w:left="0" w:right="0"/>
              <w:rPr>
                <w:rFonts w:hint="default"/>
                <w:b/>
                <w:bCs/>
                <w:color w:val="auto"/>
                <w:highlight w:val="none"/>
                <w:lang w:val="zh-CN"/>
              </w:rPr>
            </w:pPr>
            <w:r>
              <w:rPr>
                <w:rFonts w:hint="default"/>
                <w:b/>
                <w:bCs/>
                <w:color w:val="auto"/>
                <w:highlight w:val="none"/>
                <w:lang w:val="zh-CN"/>
              </w:rPr>
              <w:t>一级标准</w:t>
            </w:r>
          </w:p>
        </w:tc>
        <w:tc>
          <w:tcPr>
            <w:tcW w:w="1058" w:type="pct"/>
            <w:vAlign w:val="center"/>
          </w:tcPr>
          <w:p>
            <w:pPr>
              <w:pStyle w:val="29"/>
              <w:keepNext w:val="0"/>
              <w:keepLines w:val="0"/>
              <w:suppressLineNumbers w:val="0"/>
              <w:bidi w:val="0"/>
              <w:spacing w:before="0" w:beforeAutospacing="0" w:after="0" w:afterAutospacing="0"/>
              <w:ind w:left="0" w:right="0"/>
              <w:rPr>
                <w:rFonts w:hint="default"/>
                <w:b/>
                <w:bCs/>
                <w:color w:val="auto"/>
                <w:highlight w:val="none"/>
                <w:lang w:val="zh-CN"/>
              </w:rPr>
            </w:pPr>
            <w:r>
              <w:rPr>
                <w:rFonts w:hint="default"/>
                <w:b/>
                <w:bCs/>
                <w:color w:val="auto"/>
                <w:highlight w:val="none"/>
                <w:lang w:val="zh-CN"/>
              </w:rPr>
              <w:t>二级标准</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b/>
                <w:bCs/>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restar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SO</w:t>
            </w:r>
            <w:r>
              <w:rPr>
                <w:rFonts w:hint="default"/>
                <w:color w:val="auto"/>
                <w:highlight w:val="none"/>
                <w:vertAlign w:val="subscript"/>
              </w:rPr>
              <w:t>2</w:t>
            </w: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年平均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eastAsia"/>
                <w:color w:val="auto"/>
                <w:highlight w:val="none"/>
                <w:lang w:val="zh-CN"/>
              </w:rPr>
              <w:t>2</w:t>
            </w:r>
            <w:r>
              <w:rPr>
                <w:rFonts w:hint="default"/>
                <w:color w:val="auto"/>
                <w:highlight w:val="none"/>
                <w:lang w:val="zh-CN"/>
              </w:rPr>
              <w:t>0</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60</w:t>
            </w:r>
          </w:p>
        </w:tc>
        <w:tc>
          <w:tcPr>
            <w:tcW w:w="1013" w:type="pct"/>
            <w:vMerge w:val="restar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rPr>
              <w:t>GB3095-2012《环境空气质量标准》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24小时平均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50</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150</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1小时平均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eastAsia"/>
                <w:color w:val="auto"/>
                <w:highlight w:val="none"/>
                <w:lang w:val="zh-CN"/>
              </w:rPr>
              <w:t>15</w:t>
            </w:r>
            <w:r>
              <w:rPr>
                <w:rFonts w:hint="default"/>
                <w:color w:val="auto"/>
                <w:highlight w:val="none"/>
                <w:lang w:val="zh-CN"/>
              </w:rPr>
              <w:t>0</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500</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restar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NO</w:t>
            </w:r>
            <w:r>
              <w:rPr>
                <w:rFonts w:hint="default"/>
                <w:color w:val="auto"/>
                <w:highlight w:val="none"/>
                <w:vertAlign w:val="subscript"/>
              </w:rPr>
              <w:t>2</w:t>
            </w: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年平均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40</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40</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24小时平均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80</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80</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1小时平均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20</w:t>
            </w:r>
            <w:r>
              <w:rPr>
                <w:rFonts w:hint="eastAsia"/>
                <w:color w:val="auto"/>
                <w:highlight w:val="none"/>
                <w:lang w:val="zh-CN"/>
              </w:rPr>
              <w:t>0</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200</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restar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CO</w:t>
            </w: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24小时平均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4</w:t>
            </w:r>
            <w:r>
              <w:rPr>
                <w:rFonts w:hint="default"/>
                <w:color w:val="auto"/>
                <w:highlight w:val="none"/>
              </w:rPr>
              <w:t>000</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4</w:t>
            </w:r>
            <w:r>
              <w:rPr>
                <w:rFonts w:hint="default"/>
                <w:color w:val="auto"/>
                <w:highlight w:val="none"/>
              </w:rPr>
              <w:t>000</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1小时平均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10</w:t>
            </w:r>
            <w:r>
              <w:rPr>
                <w:rFonts w:hint="default"/>
                <w:color w:val="auto"/>
                <w:highlight w:val="none"/>
              </w:rPr>
              <w:t>000</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10</w:t>
            </w:r>
            <w:r>
              <w:rPr>
                <w:rFonts w:hint="default"/>
                <w:color w:val="auto"/>
                <w:highlight w:val="none"/>
              </w:rPr>
              <w:t>000</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restar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O</w:t>
            </w:r>
            <w:r>
              <w:rPr>
                <w:rFonts w:hint="default"/>
                <w:color w:val="auto"/>
                <w:highlight w:val="none"/>
                <w:vertAlign w:val="subscript"/>
                <w:lang w:val="zh-CN"/>
              </w:rPr>
              <w:t>3</w:t>
            </w: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日最大8小时平均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eastAsia"/>
                <w:color w:val="auto"/>
                <w:highlight w:val="none"/>
                <w:lang w:val="zh-CN"/>
              </w:rPr>
              <w:t>1</w:t>
            </w:r>
            <w:r>
              <w:rPr>
                <w:rFonts w:hint="default"/>
                <w:color w:val="auto"/>
                <w:highlight w:val="none"/>
                <w:lang w:val="zh-CN"/>
              </w:rPr>
              <w:t>00</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160</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1小时平均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eastAsia"/>
                <w:color w:val="auto"/>
                <w:highlight w:val="none"/>
                <w:lang w:val="zh-CN"/>
              </w:rPr>
              <w:t>1</w:t>
            </w:r>
            <w:r>
              <w:rPr>
                <w:rFonts w:hint="default"/>
                <w:color w:val="auto"/>
                <w:highlight w:val="none"/>
                <w:lang w:val="zh-CN"/>
              </w:rPr>
              <w:t>60</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200</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restar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PM</w:t>
            </w:r>
            <w:r>
              <w:rPr>
                <w:rFonts w:hint="default"/>
                <w:color w:val="auto"/>
                <w:highlight w:val="none"/>
                <w:vertAlign w:val="subscript"/>
              </w:rPr>
              <w:t>10</w:t>
            </w: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年平均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70</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70</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24小时平均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150</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150</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restar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rPr>
              <w:t>PM</w:t>
            </w:r>
            <w:r>
              <w:rPr>
                <w:rFonts w:hint="default"/>
                <w:color w:val="auto"/>
                <w:highlight w:val="none"/>
                <w:vertAlign w:val="subscript"/>
              </w:rPr>
              <w:t>2.5</w:t>
            </w: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年平均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35</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35</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24小时平均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75</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75</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restar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TSP</w:t>
            </w: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年平均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80</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200</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7"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c>
          <w:tcPr>
            <w:tcW w:w="1185"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24小时平均</w:t>
            </w:r>
          </w:p>
        </w:tc>
        <w:tc>
          <w:tcPr>
            <w:tcW w:w="915"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120</w:t>
            </w:r>
          </w:p>
        </w:tc>
        <w:tc>
          <w:tcPr>
            <w:tcW w:w="1058" w:type="pct"/>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300</w:t>
            </w:r>
          </w:p>
        </w:tc>
        <w:tc>
          <w:tcPr>
            <w:tcW w:w="1013"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lang w:val="zh-CN"/>
              </w:rPr>
            </w:pPr>
          </w:p>
        </w:tc>
      </w:tr>
    </w:tbl>
    <w:p>
      <w:pPr>
        <w:pStyle w:val="6"/>
        <w:bidi w:val="0"/>
        <w:rPr>
          <w:rFonts w:hint="default" w:eastAsia="宋体"/>
          <w:b/>
          <w:bCs/>
          <w:color w:val="auto"/>
          <w:highlight w:val="none"/>
          <w:lang w:val="en-US" w:eastAsia="zh-CN"/>
        </w:rPr>
      </w:pPr>
      <w:r>
        <w:rPr>
          <w:rFonts w:hint="eastAsia"/>
          <w:b/>
          <w:bCs/>
          <w:color w:val="auto"/>
          <w:highlight w:val="none"/>
          <w:lang w:val="en-US" w:eastAsia="zh-CN"/>
        </w:rPr>
        <w:t>2、地表水</w:t>
      </w:r>
      <w:r>
        <w:rPr>
          <w:rFonts w:hint="eastAsia"/>
          <w:b/>
          <w:bCs/>
          <w:color w:val="auto"/>
          <w:highlight w:val="none"/>
        </w:rPr>
        <w:t>环境质量标准</w:t>
      </w:r>
    </w:p>
    <w:p>
      <w:pPr>
        <w:pStyle w:val="6"/>
        <w:bidi w:val="0"/>
        <w:rPr>
          <w:rFonts w:hint="eastAsia"/>
          <w:color w:val="auto"/>
          <w:highlight w:val="none"/>
        </w:rPr>
      </w:pPr>
      <w:r>
        <w:rPr>
          <w:rFonts w:hint="eastAsia"/>
          <w:color w:val="auto"/>
          <w:highlight w:val="none"/>
        </w:rPr>
        <w:t>根据《林芝地区地表水环境功能区划分技术报告》（2013年），林芝境内水体环境功能区划包括I类、II类、III类，地表水环境功能区分别执行《地表水环境质量标准》(GB3838-2002)中的相应水质级别标准，即Ⅰ类区执行Ⅰ类水质标准、Ⅱ类区执行Ⅱ类水质标准，依次类推。</w:t>
      </w:r>
    </w:p>
    <w:p>
      <w:pPr>
        <w:pStyle w:val="27"/>
        <w:bidi w:val="0"/>
        <w:rPr>
          <w:color w:val="auto"/>
          <w:highlight w:val="none"/>
        </w:rPr>
      </w:pPr>
      <w:r>
        <w:rPr>
          <w:color w:val="auto"/>
          <w:highlight w:val="none"/>
        </w:rPr>
        <w:t>表1.</w:t>
      </w:r>
      <w:r>
        <w:rPr>
          <w:rFonts w:hint="eastAsia"/>
          <w:color w:val="auto"/>
          <w:highlight w:val="none"/>
          <w:lang w:val="en-US" w:eastAsia="zh-CN"/>
        </w:rPr>
        <w:t>7</w:t>
      </w:r>
      <w:r>
        <w:rPr>
          <w:color w:val="auto"/>
          <w:highlight w:val="none"/>
        </w:rPr>
        <w:t>-2  地表水环境评价执行标准限值 单位：mg/L （pH  除外）</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2041"/>
        <w:gridCol w:w="540"/>
        <w:gridCol w:w="1709"/>
        <w:gridCol w:w="1709"/>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序号</w:t>
            </w:r>
          </w:p>
        </w:tc>
        <w:tc>
          <w:tcPr>
            <w:tcW w:w="1515" w:type="pct"/>
            <w:gridSpan w:val="2"/>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项目</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b/>
                <w:bCs/>
                <w:color w:val="auto"/>
                <w:highlight w:val="none"/>
              </w:rPr>
            </w:pPr>
            <w:r>
              <w:rPr>
                <w:rFonts w:hint="eastAsia"/>
                <w:color w:val="auto"/>
                <w:highlight w:val="none"/>
                <w:lang w:val="en-US" w:eastAsia="zh-CN"/>
              </w:rPr>
              <w:t>I</w:t>
            </w:r>
            <w:r>
              <w:rPr>
                <w:rFonts w:hint="default"/>
                <w:color w:val="auto"/>
                <w:highlight w:val="none"/>
              </w:rPr>
              <w:t>类</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eastAsia"/>
                <w:color w:val="auto"/>
                <w:highlight w:val="none"/>
                <w:lang w:val="en-US" w:eastAsia="zh-CN"/>
              </w:rPr>
              <w:t>II</w:t>
            </w:r>
            <w:r>
              <w:rPr>
                <w:rFonts w:hint="default"/>
                <w:color w:val="auto"/>
                <w:highlight w:val="none"/>
              </w:rPr>
              <w:t>类</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w:t>
            </w:r>
          </w:p>
        </w:tc>
        <w:tc>
          <w:tcPr>
            <w:tcW w:w="1515" w:type="pct"/>
            <w:gridSpan w:val="2"/>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pH 值(无量纲)</w:t>
            </w:r>
          </w:p>
        </w:tc>
        <w:tc>
          <w:tcPr>
            <w:tcW w:w="3010" w:type="pct"/>
            <w:gridSpan w:val="3"/>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溶解氧</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饱和率90%</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6</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高锰酸盐指数</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2</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4</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化学需氧量</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15</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15</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五日生化需氧量</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3</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3</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氨氮</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0.15</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0.5</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7</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总磷</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0.02</w:t>
            </w:r>
            <w:r>
              <w:rPr>
                <w:rFonts w:hint="default"/>
                <w:color w:val="auto"/>
                <w:highlight w:val="none"/>
              </w:rPr>
              <w:t>(湖、库</w:t>
            </w:r>
            <w:r>
              <w:rPr>
                <w:rFonts w:hint="eastAsia"/>
                <w:color w:val="auto"/>
                <w:highlight w:val="none"/>
                <w:lang w:val="en-US" w:eastAsia="zh-CN"/>
              </w:rPr>
              <w:t>0.01</w:t>
            </w: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0.1</w:t>
            </w:r>
            <w:r>
              <w:rPr>
                <w:rFonts w:hint="default"/>
                <w:color w:val="auto"/>
                <w:highlight w:val="none"/>
              </w:rPr>
              <w:t>(湖、库</w:t>
            </w:r>
            <w:r>
              <w:rPr>
                <w:rFonts w:hint="eastAsia"/>
                <w:color w:val="auto"/>
                <w:highlight w:val="none"/>
                <w:lang w:val="en-US" w:eastAsia="zh-CN"/>
              </w:rPr>
              <w:t>0.025</w:t>
            </w: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0.2(湖、库0.05)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8</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总氮</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0.2</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0.5</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9</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铜</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0.01</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1.0</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锌</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0.05</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1.0</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11</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氟化物</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1.0</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1.0</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12</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硒</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0.01</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0.01</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13</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砷</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0.05</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0.05</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14</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汞</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0.00005</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0.00005</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镉</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0.001</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0.005</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16</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铬（六价）</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0.01</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0.05</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17</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铅</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0.01</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0.01</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石油类</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0.05</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0.05</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21</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阴离子表面活性剂</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0.2</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0.2</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Align w:val="center"/>
          </w:tcPr>
          <w:p>
            <w:pPr>
              <w:pStyle w:val="29"/>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22</w:t>
            </w:r>
          </w:p>
        </w:tc>
        <w:tc>
          <w:tcPr>
            <w:tcW w:w="11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粪大肠菌群</w:t>
            </w:r>
          </w:p>
        </w:tc>
        <w:tc>
          <w:tcPr>
            <w:tcW w:w="317"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200</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2000</w:t>
            </w:r>
          </w:p>
        </w:tc>
        <w:tc>
          <w:tcPr>
            <w:tcW w:w="1003"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10000</w:t>
            </w:r>
          </w:p>
        </w:tc>
      </w:tr>
    </w:tbl>
    <w:p>
      <w:pPr>
        <w:pStyle w:val="6"/>
        <w:bidi w:val="0"/>
        <w:rPr>
          <w:rFonts w:hint="eastAsia"/>
          <w:b/>
          <w:bCs/>
          <w:color w:val="auto"/>
          <w:highlight w:val="none"/>
        </w:rPr>
      </w:pPr>
      <w:r>
        <w:rPr>
          <w:rFonts w:hint="eastAsia"/>
          <w:b/>
          <w:bCs/>
          <w:color w:val="auto"/>
          <w:highlight w:val="none"/>
          <w:lang w:val="en-US" w:eastAsia="zh-CN"/>
        </w:rPr>
        <w:t>3、</w:t>
      </w:r>
      <w:r>
        <w:rPr>
          <w:rFonts w:hint="eastAsia"/>
          <w:b/>
          <w:bCs/>
          <w:color w:val="auto"/>
          <w:highlight w:val="none"/>
        </w:rPr>
        <w:t>声环境</w:t>
      </w:r>
    </w:p>
    <w:p>
      <w:pPr>
        <w:pStyle w:val="6"/>
        <w:bidi w:val="0"/>
        <w:rPr>
          <w:rFonts w:hint="eastAsia"/>
          <w:color w:val="auto"/>
          <w:highlight w:val="none"/>
        </w:rPr>
      </w:pPr>
      <w:r>
        <w:rPr>
          <w:rFonts w:hint="eastAsia"/>
          <w:color w:val="auto"/>
          <w:highlight w:val="none"/>
        </w:rPr>
        <w:t>根据《声环境功能区划分技术规范》（GB/T15190-2014）、《林芝地区八一镇城市区域环境噪声适用区划分技术报告》，</w:t>
      </w:r>
      <w:r>
        <w:rPr>
          <w:rFonts w:hint="eastAsia"/>
          <w:color w:val="auto"/>
          <w:highlight w:val="none"/>
          <w:lang w:val="en-US" w:eastAsia="zh-CN"/>
        </w:rPr>
        <w:t>林芝市</w:t>
      </w:r>
      <w:r>
        <w:rPr>
          <w:rFonts w:hint="eastAsia"/>
          <w:color w:val="auto"/>
          <w:highlight w:val="none"/>
        </w:rPr>
        <w:t>涉及的</w:t>
      </w:r>
      <w:r>
        <w:rPr>
          <w:rFonts w:hint="eastAsia"/>
          <w:color w:val="auto"/>
          <w:highlight w:val="none"/>
          <w:lang w:val="en-US" w:eastAsia="zh-CN"/>
        </w:rPr>
        <w:t>声环境功能区</w:t>
      </w:r>
      <w:r>
        <w:rPr>
          <w:rFonts w:hint="eastAsia"/>
          <w:color w:val="auto"/>
          <w:highlight w:val="none"/>
        </w:rPr>
        <w:t>包括1类区、2类区、3类区、4类区，根据所在区域不同分别执行《声环境质量标准》（GB3096-2008）中相应标准。标准值详见表</w:t>
      </w:r>
      <w:r>
        <w:rPr>
          <w:rFonts w:hint="eastAsia"/>
          <w:color w:val="auto"/>
          <w:highlight w:val="none"/>
          <w:lang w:val="en-US" w:eastAsia="zh-CN"/>
        </w:rPr>
        <w:t>1.7-3</w:t>
      </w:r>
      <w:r>
        <w:rPr>
          <w:rFonts w:hint="eastAsia"/>
          <w:color w:val="auto"/>
          <w:highlight w:val="none"/>
        </w:rPr>
        <w:t>。</w:t>
      </w:r>
    </w:p>
    <w:p>
      <w:pPr>
        <w:pStyle w:val="27"/>
        <w:bidi w:val="0"/>
        <w:rPr>
          <w:rFonts w:hint="eastAsia"/>
          <w:color w:val="auto"/>
          <w:highlight w:val="none"/>
        </w:rPr>
      </w:pPr>
      <w:r>
        <w:rPr>
          <w:rFonts w:hint="eastAsia"/>
          <w:color w:val="auto"/>
          <w:highlight w:val="none"/>
        </w:rPr>
        <w:t>表</w:t>
      </w:r>
      <w:r>
        <w:rPr>
          <w:rFonts w:hint="eastAsia"/>
          <w:color w:val="auto"/>
          <w:highlight w:val="none"/>
          <w:lang w:val="en-US" w:eastAsia="zh-CN"/>
        </w:rPr>
        <w:t>1.7-3</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声环境质量标准单位： dB（A）</w:t>
      </w:r>
    </w:p>
    <w:tbl>
      <w:tblPr>
        <w:tblStyle w:val="24"/>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215"/>
        <w:gridCol w:w="4875"/>
        <w:gridCol w:w="1080"/>
        <w:gridCol w:w="10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lang w:val="en-US" w:eastAsia="zh-CN"/>
              </w:rPr>
              <w:t xml:space="preserve">类别 </w:t>
            </w:r>
          </w:p>
        </w:tc>
        <w:tc>
          <w:tcPr>
            <w:tcW w:w="48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lang w:val="en-US" w:eastAsia="zh-CN"/>
              </w:rPr>
              <w:t xml:space="preserve">适用区域 </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lang w:val="en-US" w:eastAsia="zh-CN"/>
              </w:rPr>
              <w:t xml:space="preserve">昼间 </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lang w:val="en-US" w:eastAsia="zh-CN"/>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1 类 </w:t>
            </w:r>
          </w:p>
        </w:tc>
        <w:tc>
          <w:tcPr>
            <w:tcW w:w="48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村庄、自然保护区、风景名胜区、市级森林公园 </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55</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2 类 </w:t>
            </w:r>
          </w:p>
        </w:tc>
        <w:tc>
          <w:tcPr>
            <w:tcW w:w="48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居住、商业混杂区 </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60</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3 类 </w:t>
            </w:r>
          </w:p>
        </w:tc>
        <w:tc>
          <w:tcPr>
            <w:tcW w:w="48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工业生产、仓储物流等 </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65</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4a 类 </w:t>
            </w:r>
          </w:p>
        </w:tc>
        <w:tc>
          <w:tcPr>
            <w:tcW w:w="48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交通干线</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70</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4b 类 </w:t>
            </w:r>
          </w:p>
        </w:tc>
        <w:tc>
          <w:tcPr>
            <w:tcW w:w="48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铁路干线两侧</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70</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60</w:t>
            </w:r>
          </w:p>
        </w:tc>
      </w:tr>
    </w:tbl>
    <w:p>
      <w:pPr>
        <w:pStyle w:val="6"/>
        <w:bidi w:val="0"/>
        <w:rPr>
          <w:rFonts w:hint="default"/>
          <w:b/>
          <w:bCs/>
          <w:color w:val="auto"/>
          <w:highlight w:val="none"/>
          <w:lang w:val="en-US" w:eastAsia="zh-CN"/>
        </w:rPr>
      </w:pPr>
      <w:r>
        <w:rPr>
          <w:rFonts w:hint="eastAsia"/>
          <w:b/>
          <w:bCs/>
          <w:color w:val="auto"/>
          <w:highlight w:val="none"/>
          <w:lang w:val="en-US" w:eastAsia="zh-CN"/>
        </w:rPr>
        <w:t>4、地下水</w:t>
      </w:r>
      <w:r>
        <w:rPr>
          <w:rFonts w:hint="eastAsia"/>
          <w:b/>
          <w:bCs/>
          <w:color w:val="auto"/>
          <w:highlight w:val="none"/>
        </w:rPr>
        <w:t>环境质量标准</w:t>
      </w:r>
    </w:p>
    <w:p>
      <w:pPr>
        <w:pStyle w:val="47"/>
        <w:rPr>
          <w:rFonts w:cs="Times New Roman"/>
          <w:color w:val="auto"/>
          <w:highlight w:val="none"/>
        </w:rPr>
      </w:pPr>
      <w:r>
        <w:rPr>
          <w:rFonts w:cs="Times New Roman"/>
          <w:highlight w:val="none"/>
        </w:rPr>
        <w:t>区域地下水执行《地下水质量标准》（</w:t>
      </w:r>
      <w:r>
        <w:rPr>
          <w:rFonts w:cs="Times New Roman"/>
          <w:spacing w:val="-1"/>
          <w:w w:val="99"/>
          <w:highlight w:val="none"/>
        </w:rPr>
        <w:t>G</w:t>
      </w:r>
      <w:r>
        <w:rPr>
          <w:rFonts w:cs="Times New Roman"/>
          <w:spacing w:val="-2"/>
          <w:w w:val="99"/>
          <w:highlight w:val="none"/>
        </w:rPr>
        <w:t>B</w:t>
      </w:r>
      <w:r>
        <w:rPr>
          <w:rFonts w:cs="Times New Roman"/>
          <w:w w:val="99"/>
          <w:highlight w:val="none"/>
        </w:rPr>
        <w:t>/T</w:t>
      </w:r>
      <w:r>
        <w:rPr>
          <w:rFonts w:cs="Times New Roman"/>
          <w:highlight w:val="none"/>
        </w:rPr>
        <w:t>14848</w:t>
      </w:r>
      <w:r>
        <w:rPr>
          <w:rFonts w:cs="Times New Roman"/>
          <w:spacing w:val="1"/>
          <w:highlight w:val="none"/>
        </w:rPr>
        <w:t>-</w:t>
      </w:r>
      <w:r>
        <w:rPr>
          <w:rFonts w:cs="Times New Roman"/>
          <w:highlight w:val="none"/>
        </w:rPr>
        <w:t>2017），其中地下水化学组分含量低的执行</w:t>
      </w:r>
      <w:r>
        <w:rPr>
          <w:rFonts w:cs="Times New Roman"/>
          <w:spacing w:val="-1"/>
          <w:highlight w:val="none"/>
        </w:rPr>
        <w:t>I</w:t>
      </w:r>
      <w:r>
        <w:rPr>
          <w:rFonts w:cs="Times New Roman"/>
          <w:highlight w:val="none"/>
        </w:rPr>
        <w:t>类标准；地下水化学组分含量较低的执行</w:t>
      </w:r>
      <w:r>
        <w:rPr>
          <w:rFonts w:cs="Times New Roman"/>
          <w:spacing w:val="-4"/>
          <w:highlight w:val="none"/>
        </w:rPr>
        <w:t>I</w:t>
      </w:r>
      <w:r>
        <w:rPr>
          <w:rFonts w:cs="Times New Roman"/>
          <w:spacing w:val="4"/>
          <w:highlight w:val="none"/>
        </w:rPr>
        <w:t>I</w:t>
      </w:r>
      <w:r>
        <w:rPr>
          <w:rFonts w:cs="Times New Roman"/>
          <w:highlight w:val="none"/>
        </w:rPr>
        <w:t>类标准；地下水化学组分含量中等，以《生活饮用水卫生标准》（</w:t>
      </w:r>
      <w:r>
        <w:rPr>
          <w:rFonts w:cs="Times New Roman"/>
          <w:spacing w:val="-1"/>
          <w:w w:val="99"/>
          <w:highlight w:val="none"/>
        </w:rPr>
        <w:t>G</w:t>
      </w:r>
      <w:r>
        <w:rPr>
          <w:rFonts w:cs="Times New Roman"/>
          <w:spacing w:val="-2"/>
          <w:w w:val="99"/>
          <w:highlight w:val="none"/>
        </w:rPr>
        <w:t>B</w:t>
      </w:r>
      <w:r>
        <w:rPr>
          <w:rFonts w:cs="Times New Roman"/>
          <w:highlight w:val="none"/>
        </w:rPr>
        <w:t>5749</w:t>
      </w:r>
      <w:r>
        <w:rPr>
          <w:rFonts w:cs="Times New Roman"/>
          <w:spacing w:val="1"/>
          <w:highlight w:val="none"/>
        </w:rPr>
        <w:t>-</w:t>
      </w:r>
      <w:r>
        <w:rPr>
          <w:rFonts w:cs="Times New Roman"/>
          <w:highlight w:val="none"/>
        </w:rPr>
        <w:t>2006）为依据，主要适用于集中式生活饮用水水源及工农业用水的执行</w:t>
      </w:r>
      <w:r>
        <w:rPr>
          <w:rFonts w:cs="Times New Roman"/>
          <w:spacing w:val="-4"/>
          <w:highlight w:val="none"/>
        </w:rPr>
        <w:t>I</w:t>
      </w:r>
      <w:r>
        <w:rPr>
          <w:rFonts w:cs="Times New Roman"/>
          <w:spacing w:val="-1"/>
          <w:highlight w:val="none"/>
        </w:rPr>
        <w:t>I</w:t>
      </w:r>
      <w:r>
        <w:rPr>
          <w:rFonts w:cs="Times New Roman"/>
          <w:spacing w:val="4"/>
          <w:highlight w:val="none"/>
        </w:rPr>
        <w:t>I</w:t>
      </w:r>
      <w:r>
        <w:rPr>
          <w:rFonts w:cs="Times New Roman"/>
          <w:highlight w:val="none"/>
        </w:rPr>
        <w:t>类标准；地下水化学组分含量较高，以农业和工业用水质量要求以及一定水平的人体健康风险为依据，适用于农业和部分用水，</w:t>
      </w:r>
      <w:r>
        <w:rPr>
          <w:rFonts w:cs="Times New Roman"/>
          <w:color w:val="auto"/>
          <w:highlight w:val="none"/>
        </w:rPr>
        <w:t>适当处理后可做生活饮用水的执行</w:t>
      </w:r>
      <w:r>
        <w:rPr>
          <w:rFonts w:cs="Times New Roman"/>
          <w:color w:val="auto"/>
          <w:spacing w:val="-4"/>
          <w:highlight w:val="none"/>
        </w:rPr>
        <w:t>I</w:t>
      </w:r>
      <w:r>
        <w:rPr>
          <w:rFonts w:cs="Times New Roman"/>
          <w:color w:val="auto"/>
          <w:spacing w:val="1"/>
          <w:w w:val="99"/>
          <w:highlight w:val="none"/>
        </w:rPr>
        <w:t>V</w:t>
      </w:r>
      <w:r>
        <w:rPr>
          <w:rFonts w:cs="Times New Roman"/>
          <w:color w:val="auto"/>
          <w:highlight w:val="none"/>
        </w:rPr>
        <w:t>类；地下水化学组分含量高，不宜作为生活饮用水水源，其他用水可根据使用目的选用，执行</w:t>
      </w:r>
      <w:r>
        <w:rPr>
          <w:rFonts w:cs="Times New Roman"/>
          <w:color w:val="auto"/>
          <w:spacing w:val="-1"/>
          <w:w w:val="99"/>
          <w:highlight w:val="none"/>
        </w:rPr>
        <w:t>V</w:t>
      </w:r>
      <w:r>
        <w:rPr>
          <w:rFonts w:cs="Times New Roman"/>
          <w:color w:val="auto"/>
          <w:highlight w:val="none"/>
        </w:rPr>
        <w:t>类。相关标准限值见下表：</w:t>
      </w:r>
    </w:p>
    <w:p>
      <w:pPr>
        <w:pStyle w:val="27"/>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 xml:space="preserve">1.7-4  </w:t>
      </w:r>
      <w:r>
        <w:rPr>
          <w:rFonts w:hint="default"/>
          <w:color w:val="auto"/>
          <w:highlight w:val="none"/>
          <w:lang w:val="en-US" w:eastAsia="zh-CN"/>
        </w:rPr>
        <w:t>地下水环境质量标准</w:t>
      </w:r>
    </w:p>
    <w:tbl>
      <w:tblPr>
        <w:tblStyle w:val="24"/>
        <w:tblW w:w="51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02"/>
        <w:gridCol w:w="2463"/>
        <w:gridCol w:w="1046"/>
        <w:gridCol w:w="1046"/>
        <w:gridCol w:w="1053"/>
        <w:gridCol w:w="1254"/>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93" w:type="pct"/>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序号</w:t>
            </w:r>
          </w:p>
        </w:tc>
        <w:tc>
          <w:tcPr>
            <w:tcW w:w="1436" w:type="pct"/>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水质因子</w:t>
            </w:r>
          </w:p>
        </w:tc>
        <w:tc>
          <w:tcPr>
            <w:tcW w:w="610" w:type="pct"/>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1类</w:t>
            </w:r>
          </w:p>
        </w:tc>
        <w:tc>
          <w:tcPr>
            <w:tcW w:w="610" w:type="pct"/>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II类</w:t>
            </w:r>
          </w:p>
        </w:tc>
        <w:tc>
          <w:tcPr>
            <w:tcW w:w="614" w:type="pct"/>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III类</w:t>
            </w:r>
          </w:p>
        </w:tc>
        <w:tc>
          <w:tcPr>
            <w:tcW w:w="731" w:type="pct"/>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IV类</w:t>
            </w:r>
          </w:p>
        </w:tc>
        <w:tc>
          <w:tcPr>
            <w:tcW w:w="704" w:type="pct"/>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V类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93"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w:t>
            </w:r>
          </w:p>
        </w:tc>
        <w:tc>
          <w:tcPr>
            <w:tcW w:w="143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pH（无量纲）</w:t>
            </w:r>
          </w:p>
        </w:tc>
        <w:tc>
          <w:tcPr>
            <w:tcW w:w="1834" w:type="pct"/>
            <w:gridSpan w:val="3"/>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6.5≤pH≤8.5</w:t>
            </w:r>
          </w:p>
        </w:tc>
        <w:tc>
          <w:tcPr>
            <w:tcW w:w="731"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5.5≤pH≤6.5.</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8.5≤pH≤9.0</w:t>
            </w:r>
          </w:p>
        </w:tc>
        <w:tc>
          <w:tcPr>
            <w:tcW w:w="70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pH&lt;5.5或 pH&gt;9.0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93"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w:t>
            </w:r>
          </w:p>
        </w:tc>
        <w:tc>
          <w:tcPr>
            <w:tcW w:w="143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总硬度（mg/L）</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≤150</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≤300</w:t>
            </w:r>
          </w:p>
        </w:tc>
        <w:tc>
          <w:tcPr>
            <w:tcW w:w="61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≤450</w:t>
            </w:r>
          </w:p>
        </w:tc>
        <w:tc>
          <w:tcPr>
            <w:tcW w:w="731"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≤600</w:t>
            </w:r>
          </w:p>
        </w:tc>
        <w:tc>
          <w:tcPr>
            <w:tcW w:w="70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&gt;900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93"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w:t>
            </w:r>
          </w:p>
        </w:tc>
        <w:tc>
          <w:tcPr>
            <w:tcW w:w="143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溶解性总固体（mg/L）</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≤300</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≤500</w:t>
            </w:r>
          </w:p>
        </w:tc>
        <w:tc>
          <w:tcPr>
            <w:tcW w:w="61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≤1000</w:t>
            </w:r>
          </w:p>
        </w:tc>
        <w:tc>
          <w:tcPr>
            <w:tcW w:w="731"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≤2000</w:t>
            </w:r>
          </w:p>
        </w:tc>
        <w:tc>
          <w:tcPr>
            <w:tcW w:w="70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&gt;2000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93"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w:t>
            </w:r>
          </w:p>
        </w:tc>
        <w:tc>
          <w:tcPr>
            <w:tcW w:w="143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硫酸盐（mg/L）</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≤50</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≤150</w:t>
            </w:r>
          </w:p>
        </w:tc>
        <w:tc>
          <w:tcPr>
            <w:tcW w:w="61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≤250</w:t>
            </w:r>
          </w:p>
        </w:tc>
        <w:tc>
          <w:tcPr>
            <w:tcW w:w="731"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≤350</w:t>
            </w:r>
          </w:p>
        </w:tc>
        <w:tc>
          <w:tcPr>
            <w:tcW w:w="70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&gt;350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93"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w:t>
            </w:r>
          </w:p>
        </w:tc>
        <w:tc>
          <w:tcPr>
            <w:tcW w:w="143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耗氧量（mg/L）</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w:t>
            </w:r>
          </w:p>
        </w:tc>
        <w:tc>
          <w:tcPr>
            <w:tcW w:w="61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≤3.0</w:t>
            </w:r>
          </w:p>
        </w:tc>
        <w:tc>
          <w:tcPr>
            <w:tcW w:w="731"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≤10.0</w:t>
            </w:r>
          </w:p>
        </w:tc>
        <w:tc>
          <w:tcPr>
            <w:tcW w:w="70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93"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w:t>
            </w:r>
          </w:p>
        </w:tc>
        <w:tc>
          <w:tcPr>
            <w:tcW w:w="143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氨氮（mg/L）</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≤0.02</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≤0.10</w:t>
            </w:r>
          </w:p>
        </w:tc>
        <w:tc>
          <w:tcPr>
            <w:tcW w:w="61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≤0.50</w:t>
            </w:r>
          </w:p>
        </w:tc>
        <w:tc>
          <w:tcPr>
            <w:tcW w:w="731"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≤1.50</w:t>
            </w:r>
          </w:p>
        </w:tc>
        <w:tc>
          <w:tcPr>
            <w:tcW w:w="70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&gt;1.50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93"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7</w:t>
            </w:r>
          </w:p>
        </w:tc>
        <w:tc>
          <w:tcPr>
            <w:tcW w:w="143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总大肠菌群（MPN/100mL）</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≤3.0</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≤3.0</w:t>
            </w:r>
          </w:p>
        </w:tc>
        <w:tc>
          <w:tcPr>
            <w:tcW w:w="61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≤3.0</w:t>
            </w:r>
          </w:p>
        </w:tc>
        <w:tc>
          <w:tcPr>
            <w:tcW w:w="731"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≤100</w:t>
            </w:r>
          </w:p>
        </w:tc>
        <w:tc>
          <w:tcPr>
            <w:tcW w:w="70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93"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8</w:t>
            </w:r>
          </w:p>
        </w:tc>
        <w:tc>
          <w:tcPr>
            <w:tcW w:w="143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亚硝酸盐（mg/L）</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≤0.01</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≤0.10</w:t>
            </w:r>
          </w:p>
        </w:tc>
        <w:tc>
          <w:tcPr>
            <w:tcW w:w="61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≤1.00</w:t>
            </w:r>
          </w:p>
        </w:tc>
        <w:tc>
          <w:tcPr>
            <w:tcW w:w="731"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≤4.8</w:t>
            </w:r>
          </w:p>
        </w:tc>
        <w:tc>
          <w:tcPr>
            <w:tcW w:w="70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&gt;4.8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93"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9</w:t>
            </w:r>
          </w:p>
        </w:tc>
        <w:tc>
          <w:tcPr>
            <w:tcW w:w="143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硝酸盐（mg/L）</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≤5.0</w:t>
            </w:r>
          </w:p>
        </w:tc>
        <w:tc>
          <w:tcPr>
            <w:tcW w:w="61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≤20.0</w:t>
            </w:r>
          </w:p>
        </w:tc>
        <w:tc>
          <w:tcPr>
            <w:tcW w:w="731"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≤30.0</w:t>
            </w:r>
          </w:p>
        </w:tc>
        <w:tc>
          <w:tcPr>
            <w:tcW w:w="70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&gt;30.0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93"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w:t>
            </w:r>
          </w:p>
        </w:tc>
        <w:tc>
          <w:tcPr>
            <w:tcW w:w="143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钠（mg/L）</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≤100</w:t>
            </w:r>
          </w:p>
        </w:tc>
        <w:tc>
          <w:tcPr>
            <w:tcW w:w="61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≤150</w:t>
            </w:r>
          </w:p>
        </w:tc>
        <w:tc>
          <w:tcPr>
            <w:tcW w:w="61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≤200</w:t>
            </w:r>
          </w:p>
        </w:tc>
        <w:tc>
          <w:tcPr>
            <w:tcW w:w="731"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≤400</w:t>
            </w:r>
          </w:p>
        </w:tc>
        <w:tc>
          <w:tcPr>
            <w:tcW w:w="704"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&gt;400</w:t>
            </w:r>
          </w:p>
        </w:tc>
      </w:tr>
    </w:tbl>
    <w:p>
      <w:pPr>
        <w:pStyle w:val="6"/>
        <w:bidi w:val="0"/>
        <w:rPr>
          <w:rFonts w:hint="eastAsia"/>
          <w:b/>
          <w:bCs/>
          <w:color w:val="auto"/>
          <w:highlight w:val="none"/>
          <w:lang w:val="en-US" w:eastAsia="zh-CN"/>
        </w:rPr>
      </w:pPr>
      <w:r>
        <w:rPr>
          <w:rFonts w:hint="eastAsia"/>
          <w:b/>
          <w:bCs/>
          <w:color w:val="auto"/>
          <w:highlight w:val="none"/>
          <w:lang w:val="en-US" w:eastAsia="zh-CN"/>
        </w:rPr>
        <w:t>5、土壤环境质量标准</w:t>
      </w:r>
    </w:p>
    <w:p>
      <w:pPr>
        <w:pStyle w:val="6"/>
        <w:bidi w:val="0"/>
        <w:rPr>
          <w:color w:val="auto"/>
          <w:highlight w:val="none"/>
        </w:rPr>
      </w:pPr>
      <w:r>
        <w:rPr>
          <w:rFonts w:hint="eastAsia"/>
          <w:color w:val="auto"/>
          <w:highlight w:val="none"/>
          <w:lang w:val="en-US" w:eastAsia="zh-CN"/>
        </w:rPr>
        <w:t>土壤环境执行《土壤环境质量 农用地土壤污染风险管控标准》（试行）（GB15618-2018）和《土壤环境质量 建设用地土壤污染风险管控标准》（试行）（GB36600-2018）相关限制要求。</w:t>
      </w:r>
      <w:r>
        <w:rPr>
          <w:color w:val="auto"/>
          <w:highlight w:val="none"/>
        </w:rPr>
        <w:t>标准值见表</w:t>
      </w:r>
      <w:r>
        <w:rPr>
          <w:rFonts w:hint="eastAsia"/>
          <w:color w:val="auto"/>
          <w:highlight w:val="none"/>
          <w:lang w:val="en-US" w:eastAsia="zh-CN"/>
        </w:rPr>
        <w:t>1.7-5</w:t>
      </w:r>
      <w:r>
        <w:rPr>
          <w:color w:val="auto"/>
          <w:highlight w:val="none"/>
        </w:rPr>
        <w:t>表</w:t>
      </w:r>
      <w:r>
        <w:rPr>
          <w:rFonts w:hint="eastAsia"/>
          <w:color w:val="auto"/>
          <w:highlight w:val="none"/>
          <w:lang w:val="en-US" w:eastAsia="zh-CN"/>
        </w:rPr>
        <w:t>1.7-</w:t>
      </w:r>
      <w:r>
        <w:rPr>
          <w:color w:val="auto"/>
          <w:highlight w:val="none"/>
        </w:rPr>
        <w:t>6。</w:t>
      </w:r>
    </w:p>
    <w:p>
      <w:pPr>
        <w:pStyle w:val="27"/>
        <w:bidi w:val="0"/>
        <w:rPr>
          <w:color w:val="auto"/>
          <w:highlight w:val="none"/>
        </w:rPr>
      </w:pPr>
      <w:r>
        <w:rPr>
          <w:color w:val="auto"/>
          <w:highlight w:val="none"/>
        </w:rPr>
        <w:t>表</w:t>
      </w:r>
      <w:r>
        <w:rPr>
          <w:rFonts w:hint="eastAsia"/>
          <w:color w:val="auto"/>
          <w:highlight w:val="none"/>
          <w:lang w:val="en-US" w:eastAsia="zh-CN"/>
        </w:rPr>
        <w:t>1.7</w:t>
      </w:r>
      <w:r>
        <w:rPr>
          <w:color w:val="auto"/>
          <w:highlight w:val="none"/>
        </w:rPr>
        <w:t>-5  土壤环境质量（农用地）标准    单位：mg/kg</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94"/>
        <w:gridCol w:w="1463"/>
        <w:gridCol w:w="1597"/>
        <w:gridCol w:w="1567"/>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Merge w:val="restart"/>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污染物项目</w:t>
            </w:r>
          </w:p>
        </w:tc>
        <w:tc>
          <w:tcPr>
            <w:tcW w:w="3499" w:type="pct"/>
            <w:gridSpan w:val="4"/>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Merge w:val="continue"/>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p>
        </w:tc>
        <w:tc>
          <w:tcPr>
            <w:tcW w:w="880" w:type="pct"/>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pH≤5.5</w:t>
            </w:r>
          </w:p>
        </w:tc>
        <w:tc>
          <w:tcPr>
            <w:tcW w:w="960" w:type="pct"/>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5.5＜pH≤6.5</w:t>
            </w:r>
          </w:p>
        </w:tc>
        <w:tc>
          <w:tcPr>
            <w:tcW w:w="942" w:type="pct"/>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6.5＜pH≤7.5</w:t>
            </w:r>
          </w:p>
        </w:tc>
        <w:tc>
          <w:tcPr>
            <w:tcW w:w="716" w:type="pct"/>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镉</w:t>
            </w:r>
          </w:p>
        </w:tc>
        <w:tc>
          <w:tcPr>
            <w:tcW w:w="88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0.3</w:t>
            </w:r>
          </w:p>
        </w:tc>
        <w:tc>
          <w:tcPr>
            <w:tcW w:w="96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0.3</w:t>
            </w:r>
          </w:p>
        </w:tc>
        <w:tc>
          <w:tcPr>
            <w:tcW w:w="942"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0.3</w:t>
            </w:r>
          </w:p>
        </w:tc>
        <w:tc>
          <w:tcPr>
            <w:tcW w:w="71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汞</w:t>
            </w:r>
          </w:p>
        </w:tc>
        <w:tc>
          <w:tcPr>
            <w:tcW w:w="88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1.3</w:t>
            </w:r>
          </w:p>
        </w:tc>
        <w:tc>
          <w:tcPr>
            <w:tcW w:w="96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1.8</w:t>
            </w:r>
          </w:p>
        </w:tc>
        <w:tc>
          <w:tcPr>
            <w:tcW w:w="942"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2.4</w:t>
            </w:r>
          </w:p>
        </w:tc>
        <w:tc>
          <w:tcPr>
            <w:tcW w:w="71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砷</w:t>
            </w:r>
          </w:p>
        </w:tc>
        <w:tc>
          <w:tcPr>
            <w:tcW w:w="88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40</w:t>
            </w:r>
          </w:p>
        </w:tc>
        <w:tc>
          <w:tcPr>
            <w:tcW w:w="96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40</w:t>
            </w:r>
          </w:p>
        </w:tc>
        <w:tc>
          <w:tcPr>
            <w:tcW w:w="942"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30</w:t>
            </w:r>
          </w:p>
        </w:tc>
        <w:tc>
          <w:tcPr>
            <w:tcW w:w="71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铅</w:t>
            </w:r>
          </w:p>
        </w:tc>
        <w:tc>
          <w:tcPr>
            <w:tcW w:w="88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70</w:t>
            </w:r>
          </w:p>
        </w:tc>
        <w:tc>
          <w:tcPr>
            <w:tcW w:w="96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90</w:t>
            </w:r>
          </w:p>
        </w:tc>
        <w:tc>
          <w:tcPr>
            <w:tcW w:w="942"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120</w:t>
            </w:r>
          </w:p>
        </w:tc>
        <w:tc>
          <w:tcPr>
            <w:tcW w:w="71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铬</w:t>
            </w:r>
          </w:p>
        </w:tc>
        <w:tc>
          <w:tcPr>
            <w:tcW w:w="88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150</w:t>
            </w:r>
          </w:p>
        </w:tc>
        <w:tc>
          <w:tcPr>
            <w:tcW w:w="96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150</w:t>
            </w:r>
          </w:p>
        </w:tc>
        <w:tc>
          <w:tcPr>
            <w:tcW w:w="942"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200</w:t>
            </w:r>
          </w:p>
        </w:tc>
        <w:tc>
          <w:tcPr>
            <w:tcW w:w="71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铜</w:t>
            </w:r>
          </w:p>
        </w:tc>
        <w:tc>
          <w:tcPr>
            <w:tcW w:w="88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50</w:t>
            </w:r>
          </w:p>
        </w:tc>
        <w:tc>
          <w:tcPr>
            <w:tcW w:w="96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50</w:t>
            </w:r>
          </w:p>
        </w:tc>
        <w:tc>
          <w:tcPr>
            <w:tcW w:w="942"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100</w:t>
            </w:r>
          </w:p>
        </w:tc>
        <w:tc>
          <w:tcPr>
            <w:tcW w:w="71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镍</w:t>
            </w:r>
          </w:p>
        </w:tc>
        <w:tc>
          <w:tcPr>
            <w:tcW w:w="88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60</w:t>
            </w:r>
          </w:p>
        </w:tc>
        <w:tc>
          <w:tcPr>
            <w:tcW w:w="96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70</w:t>
            </w:r>
          </w:p>
        </w:tc>
        <w:tc>
          <w:tcPr>
            <w:tcW w:w="942"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100</w:t>
            </w:r>
          </w:p>
        </w:tc>
        <w:tc>
          <w:tcPr>
            <w:tcW w:w="71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锌</w:t>
            </w:r>
          </w:p>
        </w:tc>
        <w:tc>
          <w:tcPr>
            <w:tcW w:w="88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200</w:t>
            </w:r>
          </w:p>
        </w:tc>
        <w:tc>
          <w:tcPr>
            <w:tcW w:w="96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200</w:t>
            </w:r>
          </w:p>
        </w:tc>
        <w:tc>
          <w:tcPr>
            <w:tcW w:w="942"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250</w:t>
            </w:r>
          </w:p>
        </w:tc>
        <w:tc>
          <w:tcPr>
            <w:tcW w:w="71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Merge w:val="restar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污染物项目</w:t>
            </w:r>
          </w:p>
        </w:tc>
        <w:tc>
          <w:tcPr>
            <w:tcW w:w="3499" w:type="pct"/>
            <w:gridSpan w:val="4"/>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风险管控值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88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pH≤5.5</w:t>
            </w:r>
          </w:p>
        </w:tc>
        <w:tc>
          <w:tcPr>
            <w:tcW w:w="96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5.5＜pH≤6.5</w:t>
            </w:r>
          </w:p>
        </w:tc>
        <w:tc>
          <w:tcPr>
            <w:tcW w:w="942"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6.5＜pH≤7.5</w:t>
            </w:r>
          </w:p>
        </w:tc>
        <w:tc>
          <w:tcPr>
            <w:tcW w:w="71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镉</w:t>
            </w:r>
          </w:p>
        </w:tc>
        <w:tc>
          <w:tcPr>
            <w:tcW w:w="88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w:t>
            </w:r>
          </w:p>
        </w:tc>
        <w:tc>
          <w:tcPr>
            <w:tcW w:w="96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w:t>
            </w:r>
          </w:p>
        </w:tc>
        <w:tc>
          <w:tcPr>
            <w:tcW w:w="942"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3.0</w:t>
            </w:r>
          </w:p>
        </w:tc>
        <w:tc>
          <w:tcPr>
            <w:tcW w:w="71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汞</w:t>
            </w:r>
          </w:p>
        </w:tc>
        <w:tc>
          <w:tcPr>
            <w:tcW w:w="88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w:t>
            </w:r>
          </w:p>
        </w:tc>
        <w:tc>
          <w:tcPr>
            <w:tcW w:w="96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2.5</w:t>
            </w:r>
          </w:p>
        </w:tc>
        <w:tc>
          <w:tcPr>
            <w:tcW w:w="942"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4.0</w:t>
            </w:r>
          </w:p>
        </w:tc>
        <w:tc>
          <w:tcPr>
            <w:tcW w:w="71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砷</w:t>
            </w:r>
          </w:p>
        </w:tc>
        <w:tc>
          <w:tcPr>
            <w:tcW w:w="88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200</w:t>
            </w:r>
          </w:p>
        </w:tc>
        <w:tc>
          <w:tcPr>
            <w:tcW w:w="96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150</w:t>
            </w:r>
          </w:p>
        </w:tc>
        <w:tc>
          <w:tcPr>
            <w:tcW w:w="942"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120</w:t>
            </w:r>
          </w:p>
        </w:tc>
        <w:tc>
          <w:tcPr>
            <w:tcW w:w="71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铅</w:t>
            </w:r>
          </w:p>
        </w:tc>
        <w:tc>
          <w:tcPr>
            <w:tcW w:w="88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400</w:t>
            </w:r>
          </w:p>
        </w:tc>
        <w:tc>
          <w:tcPr>
            <w:tcW w:w="96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500</w:t>
            </w:r>
          </w:p>
        </w:tc>
        <w:tc>
          <w:tcPr>
            <w:tcW w:w="942"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700</w:t>
            </w:r>
          </w:p>
        </w:tc>
        <w:tc>
          <w:tcPr>
            <w:tcW w:w="71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0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铬</w:t>
            </w:r>
          </w:p>
        </w:tc>
        <w:tc>
          <w:tcPr>
            <w:tcW w:w="88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800</w:t>
            </w:r>
          </w:p>
        </w:tc>
        <w:tc>
          <w:tcPr>
            <w:tcW w:w="960"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850</w:t>
            </w:r>
          </w:p>
        </w:tc>
        <w:tc>
          <w:tcPr>
            <w:tcW w:w="942"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1000</w:t>
            </w:r>
          </w:p>
        </w:tc>
        <w:tc>
          <w:tcPr>
            <w:tcW w:w="716"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1300</w:t>
            </w:r>
          </w:p>
        </w:tc>
      </w:tr>
    </w:tbl>
    <w:p>
      <w:pPr>
        <w:jc w:val="center"/>
        <w:rPr>
          <w:b/>
          <w:color w:val="auto"/>
          <w:highlight w:val="none"/>
        </w:rPr>
      </w:pPr>
    </w:p>
    <w:p>
      <w:pPr>
        <w:pStyle w:val="27"/>
        <w:bidi w:val="0"/>
        <w:rPr>
          <w:color w:val="auto"/>
          <w:highlight w:val="none"/>
        </w:rPr>
      </w:pPr>
      <w:r>
        <w:rPr>
          <w:color w:val="auto"/>
          <w:highlight w:val="none"/>
        </w:rPr>
        <w:t>表</w:t>
      </w:r>
      <w:r>
        <w:rPr>
          <w:rFonts w:hint="eastAsia"/>
          <w:color w:val="auto"/>
          <w:highlight w:val="none"/>
          <w:lang w:val="en-US" w:eastAsia="zh-CN"/>
        </w:rPr>
        <w:t>1.7</w:t>
      </w:r>
      <w:r>
        <w:rPr>
          <w:color w:val="auto"/>
          <w:highlight w:val="none"/>
        </w:rPr>
        <w:t xml:space="preserve">-6  土壤环境质量（建设用地）标准   </w:t>
      </w:r>
      <w:r>
        <w:rPr>
          <w:rFonts w:hint="eastAsia"/>
          <w:color w:val="auto"/>
          <w:highlight w:val="none"/>
          <w:lang w:val="en-US" w:eastAsia="zh-CN"/>
        </w:rPr>
        <w:t xml:space="preserve"> </w:t>
      </w:r>
      <w:r>
        <w:rPr>
          <w:color w:val="auto"/>
          <w:highlight w:val="none"/>
        </w:rPr>
        <w:t>单位：mg/kg</w:t>
      </w:r>
    </w:p>
    <w:tbl>
      <w:tblPr>
        <w:tblStyle w:val="24"/>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2826"/>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项目</w:t>
            </w:r>
          </w:p>
        </w:tc>
        <w:tc>
          <w:tcPr>
            <w:tcW w:w="2826" w:type="dxa"/>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第二类用地筛选值</w:t>
            </w:r>
          </w:p>
        </w:tc>
        <w:tc>
          <w:tcPr>
            <w:tcW w:w="2824" w:type="dxa"/>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第二类用地管控值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砷</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镉</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65</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铬（六价）</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5.7</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铜</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18000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铅</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800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汞</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38</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镍</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900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四氯化碳</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2.8</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氯仿</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0.9</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氯甲烷</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37</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1,1-二氯乙烷</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9</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1,2-二氯乙烷</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1,1-二氯乙烯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66</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顺-1,2-二氯乙烯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596</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反-1,2-二氯乙烯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54</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二氯甲烷</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616</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1,2-二氯丙烷</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1,1,1,2-四氯乙烷</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1,1,2,2-四氯乙烷</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6.8</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四氯乙烯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53</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1,1,1-三氯乙烯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840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1,1,2-三氯乙烷</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2.8</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三氯乙烯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2.8</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1,2,3-三氯丙烷</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0.5</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氯乙烯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0.43</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氯苯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270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1,2-二氯苯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560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1,4-二氯苯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乙苯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28</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苯乙烯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1290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甲苯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1200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间二甲苯+对二甲苯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570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邻二甲苯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640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硝基苯</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76</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苯胺</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260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2-氯酚</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2256</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苯并[a]蒽</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苯并[a]芘</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苯并[b]荧蒽</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苯并[k]荧蒽</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151</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䓛</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1293</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二苯并[a，h]蒽</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茚并[1,2,3-cd]芘</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52"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萘</w:t>
            </w:r>
          </w:p>
        </w:tc>
        <w:tc>
          <w:tcPr>
            <w:tcW w:w="2826"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70</w:t>
            </w:r>
          </w:p>
        </w:tc>
        <w:tc>
          <w:tcPr>
            <w:tcW w:w="282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700</w:t>
            </w:r>
          </w:p>
        </w:tc>
      </w:tr>
    </w:tbl>
    <w:p>
      <w:pPr>
        <w:pStyle w:val="5"/>
        <w:bidi w:val="0"/>
        <w:rPr>
          <w:rFonts w:hint="eastAsia"/>
          <w:color w:val="auto"/>
          <w:highlight w:val="none"/>
        </w:rPr>
      </w:pPr>
      <w:bookmarkStart w:id="51" w:name="_Toc1239"/>
      <w:bookmarkStart w:id="52" w:name="_Toc26054"/>
      <w:r>
        <w:rPr>
          <w:rFonts w:hint="eastAsia"/>
          <w:color w:val="auto"/>
          <w:highlight w:val="none"/>
        </w:rPr>
        <w:t>1.7.2污染物排放标准</w:t>
      </w:r>
      <w:bookmarkEnd w:id="51"/>
      <w:bookmarkEnd w:id="52"/>
    </w:p>
    <w:p>
      <w:pPr>
        <w:pStyle w:val="6"/>
        <w:bidi w:val="0"/>
        <w:rPr>
          <w:rFonts w:hint="eastAsia"/>
          <w:b/>
          <w:bCs/>
          <w:color w:val="auto"/>
          <w:highlight w:val="none"/>
        </w:rPr>
      </w:pPr>
      <w:r>
        <w:rPr>
          <w:rFonts w:hint="eastAsia"/>
          <w:b/>
          <w:bCs/>
          <w:color w:val="auto"/>
          <w:highlight w:val="none"/>
          <w:lang w:val="en-US" w:eastAsia="zh-CN"/>
        </w:rPr>
        <w:t>1、</w:t>
      </w:r>
      <w:r>
        <w:rPr>
          <w:rFonts w:hint="eastAsia"/>
          <w:b/>
          <w:bCs/>
          <w:color w:val="auto"/>
          <w:highlight w:val="none"/>
        </w:rPr>
        <w:t xml:space="preserve">废水排放标准 </w:t>
      </w:r>
    </w:p>
    <w:p>
      <w:pPr>
        <w:pStyle w:val="6"/>
        <w:bidi w:val="0"/>
        <w:rPr>
          <w:rFonts w:hint="eastAsia"/>
        </w:rPr>
      </w:pPr>
      <w:r>
        <w:rPr>
          <w:rFonts w:hint="eastAsia"/>
        </w:rPr>
        <w:t>根据本次规划定位及规划建设内容，本次规划以旅游产业为主，产生的废水主要是生活污水</w:t>
      </w:r>
      <w:r>
        <w:rPr>
          <w:rFonts w:hint="eastAsia"/>
          <w:lang w:eastAsia="zh-CN"/>
        </w:rPr>
        <w:t>。</w:t>
      </w:r>
      <w:r>
        <w:rPr>
          <w:rFonts w:hint="eastAsia"/>
          <w:lang w:val="en-US" w:eastAsia="zh-CN"/>
        </w:rPr>
        <w:t>排水方案及排放标准</w:t>
      </w:r>
      <w:r>
        <w:rPr>
          <w:rFonts w:hint="eastAsia"/>
        </w:rPr>
        <w:t>如下：</w:t>
      </w:r>
    </w:p>
    <w:p>
      <w:pPr>
        <w:pStyle w:val="6"/>
        <w:bidi w:val="0"/>
        <w:rPr>
          <w:rFonts w:hint="eastAsia" w:eastAsia="宋体"/>
          <w:color w:val="2A26F7"/>
          <w:lang w:eastAsia="zh-CN"/>
        </w:rPr>
      </w:pPr>
      <w:r>
        <w:rPr>
          <w:rFonts w:hint="eastAsia"/>
          <w:color w:val="2A26F7"/>
          <w:lang w:eastAsia="zh-CN"/>
        </w:rPr>
        <w:t>（</w:t>
      </w:r>
      <w:r>
        <w:rPr>
          <w:rFonts w:hint="eastAsia"/>
          <w:color w:val="2A26F7"/>
          <w:lang w:val="en-US" w:eastAsia="zh-CN"/>
        </w:rPr>
        <w:t>1</w:t>
      </w:r>
      <w:r>
        <w:rPr>
          <w:rFonts w:hint="eastAsia"/>
          <w:color w:val="2A26F7"/>
          <w:lang w:eastAsia="zh-CN"/>
        </w:rPr>
        <w:t>）规划区</w:t>
      </w:r>
      <w:r>
        <w:rPr>
          <w:rFonts w:hint="eastAsia"/>
          <w:color w:val="2A26F7"/>
          <w:lang w:val="en-US" w:eastAsia="zh-CN"/>
        </w:rPr>
        <w:t>禁止向I类</w:t>
      </w:r>
      <w:r>
        <w:rPr>
          <w:rFonts w:hint="eastAsia"/>
          <w:color w:val="2A26F7"/>
          <w:lang w:eastAsia="zh-CN"/>
        </w:rPr>
        <w:t>、</w:t>
      </w:r>
      <w:r>
        <w:rPr>
          <w:rFonts w:hint="default" w:ascii="Times New Roman" w:hAnsi="Times New Roman" w:cs="Times New Roman"/>
          <w:color w:val="2A26F7"/>
          <w:lang w:eastAsia="zh-CN"/>
        </w:rPr>
        <w:t>Ⅱ类</w:t>
      </w:r>
      <w:r>
        <w:rPr>
          <w:rFonts w:hint="eastAsia"/>
          <w:color w:val="2A26F7"/>
          <w:lang w:eastAsia="zh-CN"/>
        </w:rPr>
        <w:t>水域排放废污水，</w:t>
      </w:r>
      <w:r>
        <w:rPr>
          <w:rFonts w:hint="eastAsia"/>
          <w:color w:val="00B050"/>
          <w:highlight w:val="none"/>
          <w:lang w:val="en-US" w:eastAsia="zh-CN"/>
        </w:rPr>
        <w:t>已有排污口不能增加排放量</w:t>
      </w:r>
      <w:r>
        <w:rPr>
          <w:rFonts w:hint="eastAsia"/>
          <w:color w:val="2A26F7"/>
          <w:highlight w:val="none"/>
          <w:lang w:eastAsia="zh-CN"/>
        </w:rPr>
        <w:t>。</w:t>
      </w:r>
    </w:p>
    <w:p>
      <w:pPr>
        <w:pStyle w:val="6"/>
        <w:ind w:firstLine="480"/>
        <w:rPr>
          <w:color w:val="2A26F7"/>
        </w:rPr>
      </w:pPr>
      <w:r>
        <w:rPr>
          <w:rFonts w:hint="eastAsia"/>
          <w:color w:val="2A26F7"/>
        </w:rPr>
        <w:t>（</w:t>
      </w:r>
      <w:r>
        <w:rPr>
          <w:rFonts w:hint="eastAsia"/>
          <w:color w:val="2A26F7"/>
          <w:lang w:val="en-US" w:eastAsia="zh-CN"/>
        </w:rPr>
        <w:t>2</w:t>
      </w:r>
      <w:r>
        <w:rPr>
          <w:rFonts w:hint="eastAsia"/>
          <w:color w:val="2A26F7"/>
        </w:rPr>
        <w:t>）针对</w:t>
      </w:r>
      <w:r>
        <w:rPr>
          <w:color w:val="2A26F7"/>
        </w:rPr>
        <w:t>依托城市建成区而建的规划项目（未确定选址的），选址首先考虑已敷设污水收集管网的区域，旅游区内产生的废水经过预处理达到《污水综合排放标准》（GB8978-1996）三级标准及《污水排入城镇下水道水质标准》（GB/T1962-2015）表1（A）等级标准后排入市政污水管网，最终进入污水处理厂进行处理。</w:t>
      </w:r>
    </w:p>
    <w:p>
      <w:pPr>
        <w:pStyle w:val="6"/>
        <w:ind w:firstLine="480"/>
        <w:rPr>
          <w:rFonts w:hint="eastAsia"/>
          <w:color w:val="2A26F7"/>
        </w:rPr>
      </w:pPr>
      <w:r>
        <w:rPr>
          <w:rFonts w:hint="eastAsia"/>
          <w:color w:val="2A26F7"/>
        </w:rPr>
        <w:t>（</w:t>
      </w:r>
      <w:r>
        <w:rPr>
          <w:rFonts w:hint="eastAsia"/>
          <w:color w:val="2A26F7"/>
          <w:lang w:val="en-US" w:eastAsia="zh-CN"/>
        </w:rPr>
        <w:t>3</w:t>
      </w:r>
      <w:r>
        <w:rPr>
          <w:rFonts w:hint="eastAsia"/>
          <w:color w:val="2A26F7"/>
        </w:rPr>
        <w:t>）针对</w:t>
      </w:r>
      <w:r>
        <w:rPr>
          <w:color w:val="2A26F7"/>
        </w:rPr>
        <w:t>无法依托市政污水管网的，或选址位于远离城市建成区的规划项目，各景区配套</w:t>
      </w:r>
      <w:r>
        <w:rPr>
          <w:rFonts w:hint="eastAsia"/>
          <w:color w:val="2A26F7"/>
        </w:rPr>
        <w:t>建设</w:t>
      </w:r>
      <w:r>
        <w:rPr>
          <w:color w:val="2A26F7"/>
        </w:rPr>
        <w:t>生态污水处理站或小型污水处理站，并要求污水经处理达到《城镇污水处理厂污染物排放标准》（GB18918-2002）一级A标准部分回用于绿化和道路洒水降尘</w:t>
      </w:r>
      <w:r>
        <w:rPr>
          <w:rFonts w:hint="eastAsia"/>
          <w:color w:val="2A26F7"/>
        </w:rPr>
        <w:t>，</w:t>
      </w:r>
      <w:r>
        <w:rPr>
          <w:color w:val="2A26F7"/>
        </w:rPr>
        <w:t>回用不完的外排至附近河流</w:t>
      </w:r>
      <w:r>
        <w:rPr>
          <w:rFonts w:hint="eastAsia"/>
          <w:color w:val="2A26F7"/>
        </w:rPr>
        <w:t>。</w:t>
      </w:r>
    </w:p>
    <w:p>
      <w:pPr>
        <w:pStyle w:val="6"/>
        <w:ind w:firstLine="480"/>
        <w:rPr>
          <w:color w:val="2A26F7"/>
        </w:rPr>
      </w:pPr>
      <w:r>
        <w:rPr>
          <w:rFonts w:hint="eastAsia"/>
          <w:color w:val="2A26F7"/>
        </w:rPr>
        <w:t>（</w:t>
      </w:r>
      <w:r>
        <w:rPr>
          <w:rFonts w:hint="eastAsia"/>
          <w:color w:val="2A26F7"/>
          <w:lang w:val="en-US" w:eastAsia="zh-CN"/>
        </w:rPr>
        <w:t>4</w:t>
      </w:r>
      <w:r>
        <w:rPr>
          <w:rFonts w:hint="eastAsia"/>
          <w:color w:val="2A26F7"/>
        </w:rPr>
        <w:t>）针对</w:t>
      </w:r>
      <w:r>
        <w:rPr>
          <w:color w:val="2A26F7"/>
        </w:rPr>
        <w:t>规划区内已开发的景区配套建设污水处理站，已建有污水处理站的，提倡改进污水处理工艺，将处理后达到回用标准的</w:t>
      </w:r>
      <w:r>
        <w:rPr>
          <w:rFonts w:hint="eastAsia"/>
          <w:color w:val="2A26F7"/>
        </w:rPr>
        <w:t>中水</w:t>
      </w:r>
      <w:r>
        <w:rPr>
          <w:color w:val="2A26F7"/>
        </w:rPr>
        <w:t>回用于景观、绿化及洒水降尘等，减少排放量，剩余达到《城镇污水处理厂污染物排放标准》（GB18918-2002）一级A标后排放。</w:t>
      </w:r>
    </w:p>
    <w:p>
      <w:pPr>
        <w:pStyle w:val="6"/>
        <w:bidi w:val="0"/>
        <w:rPr>
          <w:rFonts w:hint="eastAsia"/>
          <w:b/>
          <w:bCs/>
          <w:color w:val="auto"/>
          <w:highlight w:val="none"/>
        </w:rPr>
      </w:pPr>
      <w:r>
        <w:rPr>
          <w:rFonts w:hint="eastAsia"/>
          <w:b/>
          <w:bCs/>
          <w:color w:val="auto"/>
          <w:highlight w:val="none"/>
          <w:lang w:val="en-US" w:eastAsia="zh-CN"/>
        </w:rPr>
        <w:t>2、</w:t>
      </w:r>
      <w:r>
        <w:rPr>
          <w:rFonts w:hint="eastAsia"/>
          <w:b/>
          <w:bCs/>
          <w:color w:val="auto"/>
          <w:highlight w:val="none"/>
        </w:rPr>
        <w:t xml:space="preserve">废气排放标准 </w:t>
      </w:r>
    </w:p>
    <w:p>
      <w:pPr>
        <w:pStyle w:val="6"/>
        <w:ind w:firstLine="480"/>
        <w:rPr>
          <w:rFonts w:hint="eastAsia"/>
        </w:rPr>
      </w:pPr>
      <w:r>
        <w:rPr>
          <w:rFonts w:hint="eastAsia"/>
        </w:rPr>
        <w:t>根据本次规划定位及规划建设内容，本次规划以旅游产业为主，运营期可能涉及到的标准如下：</w:t>
      </w:r>
    </w:p>
    <w:p>
      <w:pPr>
        <w:pStyle w:val="6"/>
        <w:ind w:firstLine="480"/>
        <w:rPr>
          <w:rFonts w:hint="eastAsia"/>
        </w:rPr>
      </w:pPr>
      <w:r>
        <w:rPr>
          <w:rFonts w:hint="eastAsia"/>
        </w:rPr>
        <w:t xml:space="preserve">（1）《大气污染物综合排放标准》（GB16297-1996）； </w:t>
      </w:r>
    </w:p>
    <w:p>
      <w:pPr>
        <w:pStyle w:val="6"/>
        <w:ind w:firstLine="480"/>
        <w:rPr>
          <w:rFonts w:hint="eastAsia"/>
        </w:rPr>
      </w:pPr>
      <w:r>
        <w:rPr>
          <w:rFonts w:hint="eastAsia"/>
        </w:rPr>
        <w:t xml:space="preserve">（2）《恶臭污染物排放标准》（GB14554-93）； </w:t>
      </w:r>
    </w:p>
    <w:p>
      <w:pPr>
        <w:pStyle w:val="6"/>
        <w:ind w:firstLine="480"/>
        <w:rPr>
          <w:rFonts w:hint="eastAsia"/>
        </w:rPr>
      </w:pPr>
      <w:r>
        <w:rPr>
          <w:rFonts w:hint="eastAsia"/>
        </w:rPr>
        <w:t>（3）《饮食业油烟排放标准（试行）》（GB18483-2001）。</w:t>
      </w:r>
    </w:p>
    <w:p>
      <w:pPr>
        <w:pStyle w:val="6"/>
        <w:ind w:firstLine="480"/>
        <w:rPr>
          <w:rFonts w:hint="eastAsia"/>
        </w:rPr>
      </w:pPr>
      <w:r>
        <w:rPr>
          <w:rFonts w:hint="eastAsia"/>
        </w:rPr>
        <w:t>施工期废气执行《大气污染物综合排放标准》（GB16297-1996）无组织排放监控浓度限值要求。</w:t>
      </w:r>
    </w:p>
    <w:p>
      <w:pPr>
        <w:pStyle w:val="6"/>
        <w:bidi w:val="0"/>
        <w:rPr>
          <w:rFonts w:hint="eastAsia"/>
          <w:b/>
          <w:bCs/>
          <w:color w:val="auto"/>
          <w:highlight w:val="none"/>
        </w:rPr>
      </w:pPr>
      <w:r>
        <w:rPr>
          <w:rFonts w:hint="eastAsia"/>
          <w:b/>
          <w:bCs/>
          <w:color w:val="auto"/>
          <w:highlight w:val="none"/>
          <w:lang w:val="en-US" w:eastAsia="zh-CN"/>
        </w:rPr>
        <w:t>3、</w:t>
      </w:r>
      <w:r>
        <w:rPr>
          <w:rFonts w:hint="eastAsia"/>
          <w:b/>
          <w:bCs/>
          <w:color w:val="auto"/>
          <w:highlight w:val="none"/>
        </w:rPr>
        <w:t xml:space="preserve">噪声排放标准 </w:t>
      </w:r>
    </w:p>
    <w:p>
      <w:pPr>
        <w:pStyle w:val="6"/>
        <w:ind w:firstLine="480"/>
        <w:rPr>
          <w:rFonts w:hint="eastAsia"/>
        </w:rPr>
      </w:pPr>
      <w:r>
        <w:rPr>
          <w:rFonts w:hint="eastAsia"/>
        </w:rPr>
        <w:t>规划区内营业性文化娱乐场所和商业经营活动可能产生环境噪声污染的设备、设施边界噪声排放限值执行《社会生活环境噪声排放标准》（GB22337-2008）标准中相应的1类、2类、3类以及4类标准。</w:t>
      </w:r>
    </w:p>
    <w:p>
      <w:pPr>
        <w:pStyle w:val="6"/>
        <w:bidi w:val="0"/>
        <w:rPr>
          <w:rFonts w:hint="eastAsia"/>
          <w:color w:val="auto"/>
          <w:highlight w:val="none"/>
        </w:rPr>
      </w:pPr>
      <w:r>
        <w:rPr>
          <w:rFonts w:hint="eastAsia"/>
        </w:rPr>
        <w:t>施工期噪声执行《建筑施工场界环境噪声限值》（GB12523-2011）。</w:t>
      </w:r>
    </w:p>
    <w:p>
      <w:pPr>
        <w:pStyle w:val="6"/>
        <w:bidi w:val="0"/>
        <w:rPr>
          <w:rFonts w:hint="eastAsia"/>
          <w:b/>
          <w:bCs/>
          <w:color w:val="auto"/>
          <w:highlight w:val="none"/>
        </w:rPr>
      </w:pPr>
      <w:r>
        <w:rPr>
          <w:rFonts w:hint="eastAsia"/>
          <w:b/>
          <w:bCs/>
          <w:color w:val="auto"/>
          <w:highlight w:val="none"/>
          <w:lang w:val="en-US" w:eastAsia="zh-CN"/>
        </w:rPr>
        <w:t>4、</w:t>
      </w:r>
      <w:r>
        <w:rPr>
          <w:rFonts w:hint="eastAsia"/>
          <w:b/>
          <w:bCs/>
          <w:color w:val="auto"/>
          <w:highlight w:val="none"/>
        </w:rPr>
        <w:t xml:space="preserve">固体废弃物污染控制标准 </w:t>
      </w:r>
    </w:p>
    <w:p>
      <w:pPr>
        <w:pStyle w:val="6"/>
        <w:bidi w:val="0"/>
        <w:rPr>
          <w:rFonts w:hint="eastAsia"/>
          <w:color w:val="auto"/>
          <w:highlight w:val="none"/>
        </w:rPr>
      </w:pPr>
      <w:r>
        <w:rPr>
          <w:rFonts w:hint="eastAsia"/>
          <w:color w:val="auto"/>
          <w:highlight w:val="none"/>
        </w:rPr>
        <w:t>可能产生的工业固废及危险废物按照如下执行：</w:t>
      </w:r>
    </w:p>
    <w:p>
      <w:pPr>
        <w:pStyle w:val="6"/>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一般工业固体废弃物贮存及处置执行《一般工业固体废物贮存和填埋污染控制标准》（GB18599-2020）</w:t>
      </w:r>
    </w:p>
    <w:p>
      <w:pPr>
        <w:pStyle w:val="6"/>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规划区内危险废物贮存执行《危险废物贮存污染物控制标准》（GB18597-2001）及修改单。</w:t>
      </w:r>
    </w:p>
    <w:p>
      <w:pPr>
        <w:pStyle w:val="4"/>
        <w:bidi w:val="0"/>
        <w:rPr>
          <w:color w:val="auto"/>
          <w:highlight w:val="none"/>
        </w:rPr>
      </w:pPr>
      <w:bookmarkStart w:id="53" w:name="_Toc28894"/>
      <w:bookmarkStart w:id="54" w:name="_Toc30972"/>
      <w:r>
        <w:rPr>
          <w:rFonts w:hint="eastAsia"/>
          <w:color w:val="auto"/>
          <w:highlight w:val="none"/>
        </w:rPr>
        <w:t>1.8环境敏感区</w:t>
      </w:r>
      <w:bookmarkEnd w:id="53"/>
      <w:bookmarkEnd w:id="54"/>
    </w:p>
    <w:p>
      <w:pPr>
        <w:pStyle w:val="6"/>
        <w:ind w:firstLine="480"/>
        <w:rPr>
          <w:rFonts w:hint="eastAsia"/>
        </w:rPr>
      </w:pPr>
      <w:r>
        <w:rPr>
          <w:rFonts w:hint="eastAsia"/>
        </w:rPr>
        <w:t>本次规划实施后可能产生水环境、空气环境、声环境以及生态环境方面的不利影响，将规划区范围内的主要环境保护敏感区域分为自然保护区、集中式地表饮用水源保护区、风景名胜区、集中居住区、森林公园和国家级地质公园等。</w:t>
      </w:r>
    </w:p>
    <w:p>
      <w:pPr>
        <w:pStyle w:val="6"/>
        <w:ind w:firstLine="482"/>
        <w:rPr>
          <w:rFonts w:hint="eastAsia"/>
          <w:b/>
          <w:bCs/>
        </w:rPr>
      </w:pPr>
      <w:r>
        <w:rPr>
          <w:rStyle w:val="48"/>
          <w:rFonts w:hint="eastAsia"/>
          <w:b/>
          <w:bCs/>
        </w:rPr>
        <w:t>1、</w:t>
      </w:r>
      <w:r>
        <w:rPr>
          <w:rFonts w:hint="eastAsia"/>
          <w:b/>
          <w:bCs/>
        </w:rPr>
        <w:t>自然保护区</w:t>
      </w:r>
    </w:p>
    <w:p>
      <w:pPr>
        <w:pStyle w:val="6"/>
        <w:ind w:firstLine="480"/>
        <w:rPr>
          <w:rFonts w:hint="eastAsia"/>
        </w:rPr>
      </w:pPr>
      <w:r>
        <w:rPr>
          <w:rFonts w:hint="eastAsia"/>
        </w:rPr>
        <w:t>林芝市建立了自然保护区5个，较好地保护了区域内重要的动植物物种和生态系统，见表1.8-1。</w:t>
      </w:r>
    </w:p>
    <w:p>
      <w:pPr>
        <w:pStyle w:val="27"/>
      </w:pPr>
      <w:r>
        <w:rPr>
          <w:rFonts w:hint="eastAsia"/>
        </w:rPr>
        <w:t>表1.8-1  林芝市自然保护区一览表</w:t>
      </w:r>
    </w:p>
    <w:tbl>
      <w:tblPr>
        <w:tblStyle w:val="24"/>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357"/>
        <w:gridCol w:w="1370"/>
        <w:gridCol w:w="502"/>
        <w:gridCol w:w="970"/>
        <w:gridCol w:w="2466"/>
        <w:gridCol w:w="915"/>
        <w:gridCol w:w="665"/>
        <w:gridCol w:w="1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tblHeader/>
          <w:jc w:val="center"/>
        </w:trPr>
        <w:tc>
          <w:tcPr>
            <w:tcW w:w="215"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序号</w:t>
            </w:r>
          </w:p>
        </w:tc>
        <w:tc>
          <w:tcPr>
            <w:tcW w:w="822"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自然保护区名称</w:t>
            </w:r>
          </w:p>
        </w:tc>
        <w:tc>
          <w:tcPr>
            <w:tcW w:w="301"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类型</w:t>
            </w:r>
          </w:p>
        </w:tc>
        <w:tc>
          <w:tcPr>
            <w:tcW w:w="582"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行政</w:t>
            </w:r>
          </w:p>
          <w:p>
            <w:pPr>
              <w:pStyle w:val="29"/>
              <w:keepNext w:val="0"/>
              <w:keepLines w:val="0"/>
              <w:suppressLineNumbers w:val="0"/>
              <w:spacing w:before="0" w:beforeAutospacing="0" w:after="0" w:afterAutospacing="0"/>
              <w:ind w:left="0" w:right="0"/>
              <w:rPr>
                <w:rFonts w:hint="default"/>
                <w:b/>
                <w:bCs/>
              </w:rPr>
            </w:pPr>
            <w:r>
              <w:rPr>
                <w:rFonts w:hint="default"/>
                <w:b/>
                <w:bCs/>
              </w:rPr>
              <w:t>区域</w:t>
            </w:r>
          </w:p>
        </w:tc>
        <w:tc>
          <w:tcPr>
            <w:tcW w:w="1480"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主要保护对象</w:t>
            </w:r>
          </w:p>
        </w:tc>
        <w:tc>
          <w:tcPr>
            <w:tcW w:w="549"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面积</w:t>
            </w:r>
          </w:p>
          <w:p>
            <w:pPr>
              <w:pStyle w:val="29"/>
              <w:keepNext w:val="0"/>
              <w:keepLines w:val="0"/>
              <w:suppressLineNumbers w:val="0"/>
              <w:spacing w:before="0" w:beforeAutospacing="0" w:after="0" w:afterAutospacing="0"/>
              <w:ind w:left="0" w:right="0"/>
              <w:rPr>
                <w:rFonts w:hint="default"/>
                <w:b/>
                <w:bCs/>
              </w:rPr>
            </w:pPr>
            <w:r>
              <w:rPr>
                <w:rFonts w:hint="default"/>
                <w:b/>
                <w:bCs/>
              </w:rPr>
              <w:t>（hm</w:t>
            </w:r>
            <w:r>
              <w:rPr>
                <w:rFonts w:hint="default"/>
                <w:b/>
                <w:bCs/>
                <w:vertAlign w:val="superscript"/>
              </w:rPr>
              <w:t>2</w:t>
            </w:r>
            <w:r>
              <w:rPr>
                <w:rFonts w:hint="default"/>
                <w:b/>
                <w:bCs/>
              </w:rPr>
              <w:t>）</w:t>
            </w:r>
          </w:p>
        </w:tc>
        <w:tc>
          <w:tcPr>
            <w:tcW w:w="399"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始建</w:t>
            </w:r>
          </w:p>
          <w:p>
            <w:pPr>
              <w:pStyle w:val="29"/>
              <w:keepNext w:val="0"/>
              <w:keepLines w:val="0"/>
              <w:suppressLineNumbers w:val="0"/>
              <w:spacing w:before="0" w:beforeAutospacing="0" w:after="0" w:afterAutospacing="0"/>
              <w:ind w:left="0" w:right="0"/>
              <w:rPr>
                <w:rFonts w:hint="default"/>
                <w:b/>
                <w:bCs/>
              </w:rPr>
            </w:pPr>
            <w:r>
              <w:rPr>
                <w:rFonts w:hint="default"/>
                <w:b/>
                <w:bCs/>
              </w:rPr>
              <w:t>时间</w:t>
            </w:r>
          </w:p>
        </w:tc>
        <w:tc>
          <w:tcPr>
            <w:tcW w:w="649"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现级别批准时间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000" w:type="pct"/>
            <w:gridSpan w:val="8"/>
            <w:noWrap w:val="0"/>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国家级自然保护区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15" w:type="pct"/>
            <w:noWrap w:val="0"/>
            <w:vAlign w:val="center"/>
          </w:tcPr>
          <w:p>
            <w:pPr>
              <w:pStyle w:val="28"/>
              <w:keepNext w:val="0"/>
              <w:keepLines w:val="0"/>
              <w:suppressLineNumbers w:val="0"/>
              <w:spacing w:beforeAutospacing="0" w:afterAutospacing="0"/>
              <w:ind w:left="0" w:right="0"/>
              <w:rPr>
                <w:rFonts w:hint="eastAsia"/>
              </w:rPr>
            </w:pPr>
            <w:r>
              <w:rPr>
                <w:rFonts w:hint="eastAsia"/>
              </w:rPr>
              <w:t>1</w:t>
            </w:r>
          </w:p>
        </w:tc>
        <w:tc>
          <w:tcPr>
            <w:tcW w:w="822" w:type="pct"/>
            <w:noWrap w:val="0"/>
            <w:vAlign w:val="center"/>
          </w:tcPr>
          <w:p>
            <w:pPr>
              <w:pStyle w:val="28"/>
              <w:keepNext w:val="0"/>
              <w:keepLines w:val="0"/>
              <w:suppressLineNumbers w:val="0"/>
              <w:spacing w:beforeAutospacing="0" w:afterAutospacing="0"/>
              <w:ind w:left="0" w:right="0"/>
              <w:rPr>
                <w:rFonts w:hint="default"/>
              </w:rPr>
            </w:pPr>
            <w:r>
              <w:rPr>
                <w:rFonts w:hint="eastAsia"/>
              </w:rPr>
              <w:t>西藏雅鲁藏布大峡谷国家级自然保护区</w:t>
            </w:r>
          </w:p>
        </w:tc>
        <w:tc>
          <w:tcPr>
            <w:tcW w:w="301" w:type="pct"/>
            <w:noWrap w:val="0"/>
            <w:vAlign w:val="center"/>
          </w:tcPr>
          <w:p>
            <w:pPr>
              <w:pStyle w:val="28"/>
              <w:keepNext w:val="0"/>
              <w:keepLines w:val="0"/>
              <w:suppressLineNumbers w:val="0"/>
              <w:spacing w:beforeAutospacing="0" w:afterAutospacing="0"/>
              <w:ind w:left="0" w:right="0"/>
              <w:rPr>
                <w:rFonts w:hint="default"/>
              </w:rPr>
            </w:pPr>
            <w:r>
              <w:rPr>
                <w:rFonts w:hint="default"/>
              </w:rPr>
              <w:t>森林生态</w:t>
            </w:r>
          </w:p>
        </w:tc>
        <w:tc>
          <w:tcPr>
            <w:tcW w:w="582" w:type="pct"/>
            <w:noWrap w:val="0"/>
            <w:vAlign w:val="center"/>
          </w:tcPr>
          <w:p>
            <w:pPr>
              <w:pStyle w:val="28"/>
              <w:keepNext w:val="0"/>
              <w:keepLines w:val="0"/>
              <w:suppressLineNumbers w:val="0"/>
              <w:spacing w:beforeAutospacing="0" w:afterAutospacing="0"/>
              <w:ind w:left="0" w:right="0"/>
              <w:rPr>
                <w:rFonts w:hint="eastAsia"/>
              </w:rPr>
            </w:pPr>
            <w:r>
              <w:rPr>
                <w:rFonts w:hint="eastAsia"/>
              </w:rPr>
              <w:t>墨脱</w:t>
            </w:r>
            <w:r>
              <w:rPr>
                <w:rFonts w:hint="eastAsia"/>
                <w:lang w:val="en-US" w:eastAsia="zh-CN"/>
              </w:rPr>
              <w:t>县</w:t>
            </w:r>
            <w:r>
              <w:rPr>
                <w:rFonts w:hint="eastAsia"/>
              </w:rPr>
              <w:t>、波密</w:t>
            </w:r>
            <w:r>
              <w:rPr>
                <w:rFonts w:hint="eastAsia"/>
                <w:lang w:val="en-US" w:eastAsia="zh-CN"/>
              </w:rPr>
              <w:t>县</w:t>
            </w:r>
            <w:r>
              <w:rPr>
                <w:rFonts w:hint="eastAsia"/>
              </w:rPr>
              <w:t>、</w:t>
            </w:r>
            <w:r>
              <w:rPr>
                <w:rFonts w:hint="eastAsia"/>
                <w:lang w:val="en-US" w:eastAsia="zh-CN"/>
              </w:rPr>
              <w:t>巴宜区</w:t>
            </w:r>
            <w:r>
              <w:rPr>
                <w:rFonts w:hint="eastAsia"/>
              </w:rPr>
              <w:t>、</w:t>
            </w:r>
          </w:p>
          <w:p>
            <w:pPr>
              <w:pStyle w:val="28"/>
              <w:keepNext w:val="0"/>
              <w:keepLines w:val="0"/>
              <w:suppressLineNumbers w:val="0"/>
              <w:spacing w:beforeAutospacing="0" w:afterAutospacing="0"/>
              <w:ind w:left="0" w:right="0"/>
              <w:rPr>
                <w:rFonts w:hint="eastAsia" w:eastAsia="宋体"/>
                <w:lang w:val="en-US" w:eastAsia="zh-CN"/>
              </w:rPr>
            </w:pPr>
            <w:r>
              <w:rPr>
                <w:rFonts w:hint="eastAsia"/>
              </w:rPr>
              <w:t>米林</w:t>
            </w:r>
            <w:r>
              <w:rPr>
                <w:rFonts w:hint="eastAsia"/>
                <w:lang w:val="en-US" w:eastAsia="zh-CN"/>
              </w:rPr>
              <w:t>县</w:t>
            </w:r>
          </w:p>
        </w:tc>
        <w:tc>
          <w:tcPr>
            <w:tcW w:w="1480" w:type="pct"/>
            <w:noWrap w:val="0"/>
            <w:vAlign w:val="center"/>
          </w:tcPr>
          <w:p>
            <w:pPr>
              <w:pStyle w:val="28"/>
              <w:keepNext w:val="0"/>
              <w:keepLines w:val="0"/>
              <w:suppressLineNumbers w:val="0"/>
              <w:spacing w:beforeAutospacing="0" w:afterAutospacing="0"/>
              <w:ind w:left="0" w:right="0"/>
              <w:rPr>
                <w:rFonts w:hint="default"/>
              </w:rPr>
            </w:pPr>
            <w:r>
              <w:rPr>
                <w:rFonts w:hint="eastAsia"/>
              </w:rPr>
              <w:t>以热带北缘半常绿季风雨林生态系统为基带的我国最完整的湿润山地森林生态系统垂直类型组合系列，珍稀濒危野生动植物种，青藏高原最主要水汽通道，保存完整的世界第一大峡谷</w:t>
            </w:r>
          </w:p>
        </w:tc>
        <w:tc>
          <w:tcPr>
            <w:tcW w:w="549" w:type="pct"/>
            <w:noWrap w:val="0"/>
            <w:vAlign w:val="center"/>
          </w:tcPr>
          <w:p>
            <w:pPr>
              <w:pStyle w:val="28"/>
              <w:keepNext w:val="0"/>
              <w:keepLines w:val="0"/>
              <w:suppressLineNumbers w:val="0"/>
              <w:spacing w:beforeAutospacing="0" w:afterAutospacing="0"/>
              <w:ind w:left="0" w:right="0"/>
              <w:rPr>
                <w:rFonts w:hint="default"/>
              </w:rPr>
            </w:pPr>
            <w:r>
              <w:rPr>
                <w:rFonts w:hint="eastAsia"/>
              </w:rPr>
              <w:t>916800</w:t>
            </w:r>
          </w:p>
        </w:tc>
        <w:tc>
          <w:tcPr>
            <w:tcW w:w="399" w:type="pct"/>
            <w:noWrap w:val="0"/>
            <w:vAlign w:val="center"/>
          </w:tcPr>
          <w:p>
            <w:pPr>
              <w:pStyle w:val="28"/>
              <w:keepNext w:val="0"/>
              <w:keepLines w:val="0"/>
              <w:suppressLineNumbers w:val="0"/>
              <w:spacing w:beforeAutospacing="0" w:afterAutospacing="0"/>
              <w:ind w:left="0" w:right="0"/>
              <w:rPr>
                <w:rFonts w:hint="default"/>
              </w:rPr>
            </w:pPr>
            <w:r>
              <w:rPr>
                <w:rFonts w:hint="eastAsia"/>
              </w:rPr>
              <w:t>1986</w:t>
            </w:r>
          </w:p>
        </w:tc>
        <w:tc>
          <w:tcPr>
            <w:tcW w:w="649" w:type="pct"/>
            <w:noWrap w:val="0"/>
            <w:vAlign w:val="center"/>
          </w:tcPr>
          <w:p>
            <w:pPr>
              <w:pStyle w:val="28"/>
              <w:keepNext w:val="0"/>
              <w:keepLines w:val="0"/>
              <w:suppressLineNumbers w:val="0"/>
              <w:spacing w:beforeAutospacing="0" w:afterAutospacing="0"/>
              <w:ind w:left="0" w:right="0"/>
              <w:rPr>
                <w:rFonts w:hint="default"/>
              </w:rPr>
            </w:pPr>
            <w:r>
              <w:rPr>
                <w:rFonts w:hint="eastAsia"/>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15" w:type="pct"/>
            <w:noWrap w:val="0"/>
            <w:vAlign w:val="center"/>
          </w:tcPr>
          <w:p>
            <w:pPr>
              <w:pStyle w:val="28"/>
              <w:keepNext w:val="0"/>
              <w:keepLines w:val="0"/>
              <w:suppressLineNumbers w:val="0"/>
              <w:spacing w:beforeAutospacing="0" w:afterAutospacing="0"/>
              <w:ind w:left="0" w:right="0"/>
              <w:rPr>
                <w:rFonts w:hint="eastAsia"/>
              </w:rPr>
            </w:pPr>
            <w:r>
              <w:rPr>
                <w:rFonts w:hint="eastAsia"/>
              </w:rPr>
              <w:t>2</w:t>
            </w:r>
          </w:p>
        </w:tc>
        <w:tc>
          <w:tcPr>
            <w:tcW w:w="822" w:type="pct"/>
            <w:noWrap w:val="0"/>
            <w:vAlign w:val="center"/>
          </w:tcPr>
          <w:p>
            <w:pPr>
              <w:pStyle w:val="28"/>
              <w:keepNext w:val="0"/>
              <w:keepLines w:val="0"/>
              <w:suppressLineNumbers w:val="0"/>
              <w:spacing w:beforeAutospacing="0" w:afterAutospacing="0"/>
              <w:ind w:left="0" w:right="0"/>
              <w:rPr>
                <w:rFonts w:hint="default"/>
              </w:rPr>
            </w:pPr>
            <w:r>
              <w:rPr>
                <w:rFonts w:hint="eastAsia"/>
              </w:rPr>
              <w:t>西藏察隅慈巴沟国家级自然保护区</w:t>
            </w:r>
          </w:p>
        </w:tc>
        <w:tc>
          <w:tcPr>
            <w:tcW w:w="301" w:type="pct"/>
            <w:noWrap w:val="0"/>
            <w:vAlign w:val="center"/>
          </w:tcPr>
          <w:p>
            <w:pPr>
              <w:pStyle w:val="28"/>
              <w:keepNext w:val="0"/>
              <w:keepLines w:val="0"/>
              <w:suppressLineNumbers w:val="0"/>
              <w:spacing w:beforeAutospacing="0" w:afterAutospacing="0"/>
              <w:ind w:left="0" w:right="0"/>
              <w:rPr>
                <w:rFonts w:hint="default"/>
              </w:rPr>
            </w:pPr>
            <w:r>
              <w:rPr>
                <w:rFonts w:hint="default"/>
              </w:rPr>
              <w:t>森林生态</w:t>
            </w:r>
          </w:p>
        </w:tc>
        <w:tc>
          <w:tcPr>
            <w:tcW w:w="582" w:type="pct"/>
            <w:noWrap w:val="0"/>
            <w:vAlign w:val="center"/>
          </w:tcPr>
          <w:p>
            <w:pPr>
              <w:pStyle w:val="28"/>
              <w:keepNext w:val="0"/>
              <w:keepLines w:val="0"/>
              <w:suppressLineNumbers w:val="0"/>
              <w:spacing w:beforeAutospacing="0" w:afterAutospacing="0"/>
              <w:ind w:left="0" w:right="0"/>
              <w:rPr>
                <w:rFonts w:hint="default"/>
              </w:rPr>
            </w:pPr>
            <w:r>
              <w:rPr>
                <w:rFonts w:hint="eastAsia"/>
              </w:rPr>
              <w:t>察隅县</w:t>
            </w:r>
          </w:p>
        </w:tc>
        <w:tc>
          <w:tcPr>
            <w:tcW w:w="1480" w:type="pct"/>
            <w:noWrap w:val="0"/>
            <w:vAlign w:val="center"/>
          </w:tcPr>
          <w:p>
            <w:pPr>
              <w:pStyle w:val="28"/>
              <w:keepNext w:val="0"/>
              <w:keepLines w:val="0"/>
              <w:suppressLineNumbers w:val="0"/>
              <w:spacing w:beforeAutospacing="0" w:afterAutospacing="0"/>
              <w:ind w:left="0" w:right="0"/>
              <w:rPr>
                <w:rFonts w:hint="default"/>
              </w:rPr>
            </w:pPr>
            <w:r>
              <w:rPr>
                <w:rFonts w:hint="eastAsia"/>
              </w:rPr>
              <w:t>亚热带原始山地森林垂直生态系统，珍惜野生动植物资源</w:t>
            </w:r>
          </w:p>
        </w:tc>
        <w:tc>
          <w:tcPr>
            <w:tcW w:w="549" w:type="pct"/>
            <w:noWrap w:val="0"/>
            <w:vAlign w:val="center"/>
          </w:tcPr>
          <w:p>
            <w:pPr>
              <w:pStyle w:val="28"/>
              <w:keepNext w:val="0"/>
              <w:keepLines w:val="0"/>
              <w:suppressLineNumbers w:val="0"/>
              <w:spacing w:beforeAutospacing="0" w:afterAutospacing="0"/>
              <w:ind w:left="0" w:right="0"/>
              <w:rPr>
                <w:rFonts w:hint="default"/>
              </w:rPr>
            </w:pPr>
            <w:r>
              <w:rPr>
                <w:rFonts w:hint="eastAsia"/>
              </w:rPr>
              <w:t>101400</w:t>
            </w:r>
          </w:p>
        </w:tc>
        <w:tc>
          <w:tcPr>
            <w:tcW w:w="399" w:type="pct"/>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1985 </w:t>
            </w:r>
          </w:p>
        </w:tc>
        <w:tc>
          <w:tcPr>
            <w:tcW w:w="649" w:type="pct"/>
            <w:noWrap w:val="0"/>
            <w:vAlign w:val="center"/>
          </w:tcPr>
          <w:p>
            <w:pPr>
              <w:pStyle w:val="28"/>
              <w:keepNext w:val="0"/>
              <w:keepLines w:val="0"/>
              <w:suppressLineNumbers w:val="0"/>
              <w:spacing w:beforeAutospacing="0" w:afterAutospacing="0"/>
              <w:ind w:left="0" w:right="0"/>
              <w:rPr>
                <w:rFonts w:hint="default"/>
              </w:rPr>
            </w:pPr>
            <w:r>
              <w:rPr>
                <w:rFonts w:hint="eastAsia"/>
              </w:rPr>
              <w:t>2002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000" w:type="pct"/>
            <w:gridSpan w:val="8"/>
            <w:noWrap w:val="0"/>
            <w:vAlign w:val="center"/>
          </w:tcPr>
          <w:p>
            <w:pPr>
              <w:pStyle w:val="29"/>
              <w:keepNext w:val="0"/>
              <w:keepLines w:val="0"/>
              <w:suppressLineNumbers w:val="0"/>
              <w:spacing w:before="0" w:beforeAutospacing="0" w:after="0" w:afterAutospacing="0"/>
              <w:ind w:left="0" w:right="0"/>
              <w:rPr>
                <w:rFonts w:hint="eastAsia"/>
              </w:rPr>
            </w:pPr>
            <w:r>
              <w:rPr>
                <w:rFonts w:hint="eastAsia"/>
                <w:b/>
                <w:bCs/>
              </w:rPr>
              <w:t>自治区级自然保护区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15" w:type="pct"/>
            <w:noWrap w:val="0"/>
            <w:vAlign w:val="center"/>
          </w:tcPr>
          <w:p>
            <w:pPr>
              <w:pStyle w:val="28"/>
              <w:keepNext w:val="0"/>
              <w:keepLines w:val="0"/>
              <w:suppressLineNumbers w:val="0"/>
              <w:spacing w:beforeAutospacing="0" w:afterAutospacing="0"/>
              <w:ind w:left="0" w:right="0"/>
              <w:rPr>
                <w:rFonts w:hint="default"/>
              </w:rPr>
            </w:pPr>
            <w:r>
              <w:rPr>
                <w:rFonts w:hint="eastAsia"/>
              </w:rPr>
              <w:t>1</w:t>
            </w:r>
          </w:p>
        </w:tc>
        <w:tc>
          <w:tcPr>
            <w:tcW w:w="822" w:type="pct"/>
            <w:noWrap w:val="0"/>
            <w:vAlign w:val="center"/>
          </w:tcPr>
          <w:p>
            <w:pPr>
              <w:pStyle w:val="28"/>
              <w:keepNext w:val="0"/>
              <w:keepLines w:val="0"/>
              <w:suppressLineNumbers w:val="0"/>
              <w:spacing w:beforeAutospacing="0" w:afterAutospacing="0"/>
              <w:ind w:left="0" w:right="0"/>
              <w:rPr>
                <w:rFonts w:hint="default"/>
              </w:rPr>
            </w:pPr>
            <w:r>
              <w:rPr>
                <w:rFonts w:hint="eastAsia"/>
              </w:rPr>
              <w:t>西藏工布自然保护区</w:t>
            </w:r>
          </w:p>
        </w:tc>
        <w:tc>
          <w:tcPr>
            <w:tcW w:w="301" w:type="pct"/>
            <w:noWrap w:val="0"/>
            <w:vAlign w:val="center"/>
          </w:tcPr>
          <w:p>
            <w:pPr>
              <w:pStyle w:val="28"/>
              <w:keepNext w:val="0"/>
              <w:keepLines w:val="0"/>
              <w:suppressLineNumbers w:val="0"/>
              <w:spacing w:beforeAutospacing="0" w:afterAutospacing="0"/>
              <w:ind w:left="0" w:right="0"/>
              <w:rPr>
                <w:rFonts w:hint="default"/>
              </w:rPr>
            </w:pPr>
            <w:r>
              <w:rPr>
                <w:rFonts w:hint="default"/>
              </w:rPr>
              <w:t>森林生态</w:t>
            </w:r>
          </w:p>
        </w:tc>
        <w:tc>
          <w:tcPr>
            <w:tcW w:w="582" w:type="pct"/>
            <w:noWrap w:val="0"/>
            <w:vAlign w:val="center"/>
          </w:tcPr>
          <w:p>
            <w:pPr>
              <w:pStyle w:val="28"/>
              <w:keepNext w:val="0"/>
              <w:keepLines w:val="0"/>
              <w:suppressLineNumbers w:val="0"/>
              <w:spacing w:beforeAutospacing="0" w:afterAutospacing="0"/>
              <w:ind w:left="0" w:right="0"/>
              <w:rPr>
                <w:rFonts w:hint="default"/>
              </w:rPr>
            </w:pPr>
            <w:r>
              <w:rPr>
                <w:rFonts w:hint="eastAsia"/>
              </w:rPr>
              <w:t>工布江达县、巴宜区、</w:t>
            </w:r>
            <w:r>
              <w:rPr>
                <w:rFonts w:hint="default"/>
              </w:rPr>
              <w:t>朗县</w:t>
            </w:r>
            <w:r>
              <w:rPr>
                <w:rFonts w:hint="eastAsia"/>
              </w:rPr>
              <w:t>、米林县</w:t>
            </w:r>
            <w:r>
              <w:rPr>
                <w:rFonts w:hint="default"/>
              </w:rPr>
              <w:t xml:space="preserve"> </w:t>
            </w:r>
          </w:p>
        </w:tc>
        <w:tc>
          <w:tcPr>
            <w:tcW w:w="1480" w:type="pct"/>
            <w:noWrap w:val="0"/>
            <w:vAlign w:val="center"/>
          </w:tcPr>
          <w:p>
            <w:pPr>
              <w:pStyle w:val="28"/>
              <w:keepNext w:val="0"/>
              <w:keepLines w:val="0"/>
              <w:suppressLineNumbers w:val="0"/>
              <w:spacing w:beforeAutospacing="0" w:afterAutospacing="0"/>
              <w:ind w:left="0" w:right="0"/>
              <w:rPr>
                <w:rFonts w:hint="default"/>
              </w:rPr>
            </w:pPr>
            <w:r>
              <w:rPr>
                <w:rFonts w:hint="default"/>
              </w:rPr>
              <w:t>以元江栲林为代表的半湿润常绿阔叶林原始生态系统和以青榨槭、滇藏木兰、水青树林为代表的稀有植物群落</w:t>
            </w:r>
          </w:p>
        </w:tc>
        <w:tc>
          <w:tcPr>
            <w:tcW w:w="549" w:type="pct"/>
            <w:noWrap w:val="0"/>
            <w:vAlign w:val="center"/>
          </w:tcPr>
          <w:p>
            <w:pPr>
              <w:pStyle w:val="28"/>
              <w:keepNext w:val="0"/>
              <w:keepLines w:val="0"/>
              <w:suppressLineNumbers w:val="0"/>
              <w:spacing w:beforeAutospacing="0" w:afterAutospacing="0"/>
              <w:ind w:left="0" w:right="0"/>
              <w:rPr>
                <w:rFonts w:hint="default"/>
              </w:rPr>
            </w:pPr>
            <w:r>
              <w:rPr>
                <w:rFonts w:hint="eastAsia"/>
              </w:rPr>
              <w:t>2014981</w:t>
            </w:r>
          </w:p>
        </w:tc>
        <w:tc>
          <w:tcPr>
            <w:tcW w:w="399" w:type="pct"/>
            <w:noWrap w:val="0"/>
            <w:vAlign w:val="center"/>
          </w:tcPr>
          <w:p>
            <w:pPr>
              <w:pStyle w:val="28"/>
              <w:keepNext w:val="0"/>
              <w:keepLines w:val="0"/>
              <w:suppressLineNumbers w:val="0"/>
              <w:spacing w:beforeAutospacing="0" w:afterAutospacing="0"/>
              <w:ind w:left="0" w:right="0"/>
              <w:rPr>
                <w:rFonts w:hint="default"/>
              </w:rPr>
            </w:pPr>
            <w:r>
              <w:rPr>
                <w:rFonts w:hint="eastAsia"/>
              </w:rPr>
              <w:t>2003</w:t>
            </w:r>
          </w:p>
        </w:tc>
        <w:tc>
          <w:tcPr>
            <w:tcW w:w="649" w:type="pct"/>
            <w:noWrap w:val="0"/>
            <w:vAlign w:val="center"/>
          </w:tcPr>
          <w:p>
            <w:pPr>
              <w:pStyle w:val="28"/>
              <w:keepNext w:val="0"/>
              <w:keepLines w:val="0"/>
              <w:suppressLineNumbers w:val="0"/>
              <w:spacing w:beforeAutospacing="0" w:afterAutospacing="0"/>
              <w:ind w:left="0" w:right="0"/>
              <w:rPr>
                <w:rFonts w:hint="default"/>
              </w:rPr>
            </w:pPr>
            <w:r>
              <w:rPr>
                <w:rFonts w:hint="eastAsia"/>
              </w:rPr>
              <w:t>2003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15" w:type="pct"/>
            <w:noWrap w:val="0"/>
            <w:vAlign w:val="center"/>
          </w:tcPr>
          <w:p>
            <w:pPr>
              <w:pStyle w:val="28"/>
              <w:keepNext w:val="0"/>
              <w:keepLines w:val="0"/>
              <w:suppressLineNumbers w:val="0"/>
              <w:spacing w:beforeAutospacing="0" w:afterAutospacing="0"/>
              <w:ind w:left="0" w:right="0"/>
              <w:rPr>
                <w:rFonts w:hint="eastAsia"/>
              </w:rPr>
            </w:pPr>
            <w:r>
              <w:rPr>
                <w:rFonts w:hint="eastAsia"/>
              </w:rPr>
              <w:t>2</w:t>
            </w:r>
          </w:p>
        </w:tc>
        <w:tc>
          <w:tcPr>
            <w:tcW w:w="822" w:type="pct"/>
            <w:noWrap w:val="0"/>
            <w:vAlign w:val="center"/>
          </w:tcPr>
          <w:p>
            <w:pPr>
              <w:pStyle w:val="28"/>
              <w:keepNext w:val="0"/>
              <w:keepLines w:val="0"/>
              <w:suppressLineNumbers w:val="0"/>
              <w:spacing w:beforeAutospacing="0" w:afterAutospacing="0"/>
              <w:ind w:left="0" w:right="0"/>
              <w:rPr>
                <w:rFonts w:hint="eastAsia"/>
              </w:rPr>
            </w:pPr>
            <w:r>
              <w:rPr>
                <w:rFonts w:hint="eastAsia"/>
              </w:rPr>
              <w:t>林芝巴结巨柏自然保护区</w:t>
            </w:r>
          </w:p>
        </w:tc>
        <w:tc>
          <w:tcPr>
            <w:tcW w:w="301" w:type="pct"/>
            <w:noWrap w:val="0"/>
            <w:vAlign w:val="center"/>
          </w:tcPr>
          <w:p>
            <w:pPr>
              <w:pStyle w:val="28"/>
              <w:keepNext w:val="0"/>
              <w:keepLines w:val="0"/>
              <w:suppressLineNumbers w:val="0"/>
              <w:spacing w:beforeAutospacing="0" w:afterAutospacing="0"/>
              <w:ind w:left="0" w:right="0"/>
              <w:rPr>
                <w:rFonts w:hint="eastAsia"/>
              </w:rPr>
            </w:pPr>
            <w:r>
              <w:rPr>
                <w:rFonts w:hint="eastAsia"/>
              </w:rPr>
              <w:t>植物</w:t>
            </w:r>
          </w:p>
        </w:tc>
        <w:tc>
          <w:tcPr>
            <w:tcW w:w="582" w:type="pct"/>
            <w:noWrap w:val="0"/>
            <w:vAlign w:val="center"/>
          </w:tcPr>
          <w:p>
            <w:pPr>
              <w:pStyle w:val="28"/>
              <w:keepNext w:val="0"/>
              <w:keepLines w:val="0"/>
              <w:suppressLineNumbers w:val="0"/>
              <w:spacing w:beforeAutospacing="0" w:afterAutospacing="0"/>
              <w:ind w:left="0" w:right="0"/>
              <w:rPr>
                <w:rFonts w:hint="eastAsia"/>
              </w:rPr>
            </w:pPr>
            <w:r>
              <w:rPr>
                <w:rFonts w:hint="eastAsia"/>
              </w:rPr>
              <w:t>巴宜区</w:t>
            </w:r>
          </w:p>
        </w:tc>
        <w:tc>
          <w:tcPr>
            <w:tcW w:w="1480" w:type="pct"/>
            <w:noWrap w:val="0"/>
            <w:vAlign w:val="center"/>
          </w:tcPr>
          <w:p>
            <w:pPr>
              <w:pStyle w:val="28"/>
              <w:keepNext w:val="0"/>
              <w:keepLines w:val="0"/>
              <w:suppressLineNumbers w:val="0"/>
              <w:spacing w:beforeAutospacing="0" w:afterAutospacing="0"/>
              <w:ind w:left="0" w:right="0"/>
              <w:rPr>
                <w:rFonts w:hint="default"/>
              </w:rPr>
            </w:pPr>
            <w:r>
              <w:rPr>
                <w:rFonts w:hint="eastAsia"/>
              </w:rPr>
              <w:t>保护西藏特有古树—巨柏</w:t>
            </w:r>
          </w:p>
        </w:tc>
        <w:tc>
          <w:tcPr>
            <w:tcW w:w="549" w:type="pct"/>
            <w:noWrap w:val="0"/>
            <w:vAlign w:val="center"/>
          </w:tcPr>
          <w:p>
            <w:pPr>
              <w:pStyle w:val="28"/>
              <w:keepNext w:val="0"/>
              <w:keepLines w:val="0"/>
              <w:suppressLineNumbers w:val="0"/>
              <w:spacing w:beforeAutospacing="0" w:afterAutospacing="0"/>
              <w:ind w:left="0" w:right="0"/>
              <w:rPr>
                <w:rFonts w:hint="eastAsia"/>
              </w:rPr>
            </w:pPr>
            <w:r>
              <w:rPr>
                <w:rFonts w:hint="eastAsia"/>
              </w:rPr>
              <w:t>8</w:t>
            </w:r>
          </w:p>
        </w:tc>
        <w:tc>
          <w:tcPr>
            <w:tcW w:w="399" w:type="pct"/>
            <w:noWrap w:val="0"/>
            <w:vAlign w:val="center"/>
          </w:tcPr>
          <w:p>
            <w:pPr>
              <w:pStyle w:val="28"/>
              <w:keepNext w:val="0"/>
              <w:keepLines w:val="0"/>
              <w:suppressLineNumbers w:val="0"/>
              <w:spacing w:beforeAutospacing="0" w:afterAutospacing="0"/>
              <w:ind w:left="0" w:right="0"/>
              <w:rPr>
                <w:rFonts w:hint="default"/>
              </w:rPr>
            </w:pPr>
            <w:r>
              <w:rPr>
                <w:rFonts w:hint="eastAsia"/>
              </w:rPr>
              <w:t>1985</w:t>
            </w:r>
          </w:p>
        </w:tc>
        <w:tc>
          <w:tcPr>
            <w:tcW w:w="649" w:type="pct"/>
            <w:noWrap w:val="0"/>
            <w:vAlign w:val="center"/>
          </w:tcPr>
          <w:p>
            <w:pPr>
              <w:pStyle w:val="28"/>
              <w:keepNext w:val="0"/>
              <w:keepLines w:val="0"/>
              <w:suppressLineNumbers w:val="0"/>
              <w:spacing w:beforeAutospacing="0" w:afterAutospacing="0"/>
              <w:ind w:left="0" w:right="0"/>
              <w:rPr>
                <w:rFonts w:hint="default"/>
              </w:rPr>
            </w:pPr>
            <w:r>
              <w:rPr>
                <w:rFonts w:hint="eastAsia"/>
              </w:rPr>
              <w:t>1993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000" w:type="pct"/>
            <w:gridSpan w:val="8"/>
            <w:noWrap w:val="0"/>
            <w:vAlign w:val="center"/>
          </w:tcPr>
          <w:p>
            <w:pPr>
              <w:pStyle w:val="28"/>
              <w:keepNext w:val="0"/>
              <w:keepLines w:val="0"/>
              <w:suppressLineNumbers w:val="0"/>
              <w:spacing w:beforeAutospacing="0" w:afterAutospacing="0"/>
              <w:ind w:left="0" w:right="0"/>
              <w:rPr>
                <w:rFonts w:hint="default"/>
              </w:rPr>
            </w:pPr>
            <w:r>
              <w:rPr>
                <w:rFonts w:hint="eastAsia"/>
                <w:b/>
                <w:bCs/>
              </w:rPr>
              <w:t>县级自然保护区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15" w:type="pct"/>
            <w:noWrap w:val="0"/>
            <w:vAlign w:val="center"/>
          </w:tcPr>
          <w:p>
            <w:pPr>
              <w:pStyle w:val="28"/>
              <w:keepNext w:val="0"/>
              <w:keepLines w:val="0"/>
              <w:suppressLineNumbers w:val="0"/>
              <w:spacing w:beforeAutospacing="0" w:afterAutospacing="0"/>
              <w:ind w:left="0" w:right="0"/>
              <w:rPr>
                <w:rFonts w:hint="default"/>
              </w:rPr>
            </w:pPr>
            <w:r>
              <w:rPr>
                <w:rFonts w:hint="eastAsia"/>
              </w:rPr>
              <w:t>1</w:t>
            </w:r>
          </w:p>
        </w:tc>
        <w:tc>
          <w:tcPr>
            <w:tcW w:w="822" w:type="pct"/>
            <w:noWrap w:val="0"/>
            <w:vAlign w:val="center"/>
          </w:tcPr>
          <w:p>
            <w:pPr>
              <w:pStyle w:val="28"/>
              <w:keepNext w:val="0"/>
              <w:keepLines w:val="0"/>
              <w:suppressLineNumbers w:val="0"/>
              <w:spacing w:beforeAutospacing="0" w:afterAutospacing="0"/>
              <w:ind w:left="0" w:right="0"/>
              <w:rPr>
                <w:rFonts w:hint="eastAsia"/>
              </w:rPr>
            </w:pPr>
            <w:r>
              <w:rPr>
                <w:rFonts w:hint="eastAsia"/>
              </w:rPr>
              <w:t>西藏白朗沟</w:t>
            </w:r>
          </w:p>
          <w:p>
            <w:pPr>
              <w:pStyle w:val="28"/>
              <w:keepNext w:val="0"/>
              <w:keepLines w:val="0"/>
              <w:suppressLineNumbers w:val="0"/>
              <w:spacing w:beforeAutospacing="0" w:afterAutospacing="0"/>
              <w:ind w:left="0" w:right="0"/>
              <w:rPr>
                <w:rFonts w:hint="eastAsia"/>
              </w:rPr>
            </w:pPr>
            <w:r>
              <w:rPr>
                <w:rFonts w:hint="eastAsia"/>
              </w:rPr>
              <w:t>白唇鹿自然保护区</w:t>
            </w:r>
          </w:p>
        </w:tc>
        <w:tc>
          <w:tcPr>
            <w:tcW w:w="301" w:type="pct"/>
            <w:noWrap w:val="0"/>
            <w:vAlign w:val="center"/>
          </w:tcPr>
          <w:p>
            <w:pPr>
              <w:pStyle w:val="28"/>
              <w:keepNext w:val="0"/>
              <w:keepLines w:val="0"/>
              <w:suppressLineNumbers w:val="0"/>
              <w:spacing w:beforeAutospacing="0" w:afterAutospacing="0"/>
              <w:ind w:left="0" w:right="0"/>
              <w:rPr>
                <w:rFonts w:hint="eastAsia"/>
              </w:rPr>
            </w:pPr>
            <w:r>
              <w:rPr>
                <w:rFonts w:hint="eastAsia"/>
              </w:rPr>
              <w:t>动物</w:t>
            </w:r>
          </w:p>
        </w:tc>
        <w:tc>
          <w:tcPr>
            <w:tcW w:w="582" w:type="pct"/>
            <w:noWrap w:val="0"/>
            <w:vAlign w:val="center"/>
          </w:tcPr>
          <w:p>
            <w:pPr>
              <w:pStyle w:val="28"/>
              <w:keepNext w:val="0"/>
              <w:keepLines w:val="0"/>
              <w:suppressLineNumbers w:val="0"/>
              <w:spacing w:beforeAutospacing="0" w:afterAutospacing="0"/>
              <w:ind w:left="0" w:right="0"/>
              <w:rPr>
                <w:rFonts w:hint="eastAsia"/>
              </w:rPr>
            </w:pPr>
            <w:r>
              <w:rPr>
                <w:rFonts w:hint="eastAsia"/>
              </w:rPr>
              <w:t>工布江达县</w:t>
            </w:r>
          </w:p>
        </w:tc>
        <w:tc>
          <w:tcPr>
            <w:tcW w:w="1480" w:type="pct"/>
            <w:noWrap w:val="0"/>
            <w:vAlign w:val="center"/>
          </w:tcPr>
          <w:p>
            <w:pPr>
              <w:pStyle w:val="28"/>
              <w:keepNext w:val="0"/>
              <w:keepLines w:val="0"/>
              <w:suppressLineNumbers w:val="0"/>
              <w:spacing w:beforeAutospacing="0" w:afterAutospacing="0"/>
              <w:ind w:left="0" w:right="0"/>
              <w:rPr>
                <w:rFonts w:hint="eastAsia"/>
              </w:rPr>
            </w:pPr>
            <w:r>
              <w:rPr>
                <w:rFonts w:hint="eastAsia"/>
              </w:rPr>
              <w:t>白唇鹿等国家重点保护野生动物及其生境</w:t>
            </w:r>
          </w:p>
        </w:tc>
        <w:tc>
          <w:tcPr>
            <w:tcW w:w="549" w:type="pct"/>
            <w:noWrap w:val="0"/>
            <w:vAlign w:val="center"/>
          </w:tcPr>
          <w:p>
            <w:pPr>
              <w:pStyle w:val="28"/>
              <w:keepNext w:val="0"/>
              <w:keepLines w:val="0"/>
              <w:suppressLineNumbers w:val="0"/>
              <w:spacing w:beforeAutospacing="0" w:afterAutospacing="0"/>
              <w:ind w:left="0" w:right="0"/>
              <w:rPr>
                <w:rFonts w:hint="default"/>
              </w:rPr>
            </w:pPr>
            <w:r>
              <w:rPr>
                <w:rFonts w:hint="eastAsia"/>
              </w:rPr>
              <w:t>37083</w:t>
            </w:r>
          </w:p>
        </w:tc>
        <w:tc>
          <w:tcPr>
            <w:tcW w:w="399" w:type="pct"/>
            <w:noWrap w:val="0"/>
            <w:vAlign w:val="center"/>
          </w:tcPr>
          <w:p>
            <w:pPr>
              <w:pStyle w:val="28"/>
              <w:keepNext w:val="0"/>
              <w:keepLines w:val="0"/>
              <w:suppressLineNumbers w:val="0"/>
              <w:spacing w:beforeAutospacing="0" w:afterAutospacing="0"/>
              <w:ind w:left="0" w:right="0"/>
              <w:rPr>
                <w:rFonts w:hint="default"/>
              </w:rPr>
            </w:pPr>
            <w:r>
              <w:rPr>
                <w:rFonts w:hint="eastAsia"/>
              </w:rPr>
              <w:t>1995</w:t>
            </w:r>
          </w:p>
        </w:tc>
        <w:tc>
          <w:tcPr>
            <w:tcW w:w="649" w:type="pct"/>
            <w:noWrap w:val="0"/>
            <w:vAlign w:val="center"/>
          </w:tcPr>
          <w:p>
            <w:pPr>
              <w:pStyle w:val="28"/>
              <w:keepNext w:val="0"/>
              <w:keepLines w:val="0"/>
              <w:suppressLineNumbers w:val="0"/>
              <w:spacing w:beforeAutospacing="0" w:afterAutospacing="0"/>
              <w:ind w:left="0" w:right="0"/>
              <w:rPr>
                <w:rFonts w:hint="default"/>
              </w:rPr>
            </w:pPr>
            <w:r>
              <w:rPr>
                <w:rFonts w:hint="eastAsia"/>
              </w:rPr>
              <w:t>2001</w:t>
            </w:r>
          </w:p>
        </w:tc>
      </w:tr>
    </w:tbl>
    <w:p>
      <w:pPr>
        <w:pStyle w:val="6"/>
        <w:bidi w:val="0"/>
        <w:rPr>
          <w:rFonts w:hint="eastAsia"/>
          <w:b/>
          <w:bCs/>
        </w:rPr>
      </w:pPr>
      <w:bookmarkStart w:id="55" w:name="_Toc21630"/>
      <w:bookmarkStart w:id="56" w:name="_Toc7975"/>
      <w:r>
        <w:rPr>
          <w:rFonts w:hint="eastAsia"/>
          <w:b/>
          <w:bCs/>
          <w:lang w:val="en-US" w:eastAsia="zh-CN"/>
        </w:rPr>
        <w:t>2、</w:t>
      </w:r>
      <w:r>
        <w:rPr>
          <w:rFonts w:hint="eastAsia"/>
          <w:b/>
          <w:bCs/>
        </w:rPr>
        <w:t>国家级森林公园</w:t>
      </w:r>
    </w:p>
    <w:p>
      <w:pPr>
        <w:pStyle w:val="6"/>
        <w:ind w:firstLine="480"/>
        <w:rPr>
          <w:rFonts w:hint="eastAsia"/>
        </w:rPr>
      </w:pPr>
      <w:r>
        <w:rPr>
          <w:rFonts w:hint="eastAsia"/>
        </w:rPr>
        <w:t>林芝市建立了3个国家级森林公园，分别是西藏巴松湖国家森林公园、色季拉山国家森林公园和比日神山国家森林公园，总面积832594.15公顷，见表1.8-2。</w:t>
      </w:r>
    </w:p>
    <w:p>
      <w:pPr>
        <w:pStyle w:val="27"/>
      </w:pPr>
      <w:r>
        <w:rPr>
          <w:rFonts w:hint="eastAsia"/>
        </w:rPr>
        <w:t>表1.8-2  林芝市国家级森林公园一览表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2667"/>
        <w:gridCol w:w="1479"/>
        <w:gridCol w:w="1164"/>
        <w:gridCol w:w="1456"/>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序号</w:t>
            </w:r>
          </w:p>
        </w:tc>
        <w:tc>
          <w:tcPr>
            <w:tcW w:w="1565"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公园名称</w:t>
            </w:r>
          </w:p>
        </w:tc>
        <w:tc>
          <w:tcPr>
            <w:tcW w:w="868"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行政区域</w:t>
            </w:r>
          </w:p>
        </w:tc>
        <w:tc>
          <w:tcPr>
            <w:tcW w:w="683"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主管部门</w:t>
            </w:r>
          </w:p>
        </w:tc>
        <w:tc>
          <w:tcPr>
            <w:tcW w:w="854"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面积（hm</w:t>
            </w:r>
            <w:r>
              <w:rPr>
                <w:rFonts w:hint="eastAsia"/>
                <w:b/>
                <w:bCs/>
                <w:vertAlign w:val="superscript"/>
              </w:rPr>
              <w:t>2</w:t>
            </w:r>
            <w:r>
              <w:rPr>
                <w:rFonts w:hint="eastAsia"/>
                <w:b/>
                <w:bCs/>
              </w:rPr>
              <w:t>）</w:t>
            </w:r>
          </w:p>
        </w:tc>
        <w:tc>
          <w:tcPr>
            <w:tcW w:w="628"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建园时间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1</w:t>
            </w:r>
          </w:p>
        </w:tc>
        <w:tc>
          <w:tcPr>
            <w:tcW w:w="1565"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lang w:val="en-US" w:eastAsia="zh-CN"/>
              </w:rPr>
              <w:t>西藏</w:t>
            </w:r>
            <w:r>
              <w:rPr>
                <w:rFonts w:hint="eastAsia"/>
              </w:rPr>
              <w:t>色季拉国家森林公园</w:t>
            </w:r>
          </w:p>
        </w:tc>
        <w:tc>
          <w:tcPr>
            <w:tcW w:w="868"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巴宜区、米林县</w:t>
            </w:r>
          </w:p>
        </w:tc>
        <w:tc>
          <w:tcPr>
            <w:tcW w:w="683"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林业</w:t>
            </w:r>
          </w:p>
        </w:tc>
        <w:tc>
          <w:tcPr>
            <w:tcW w:w="854"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400000</w:t>
            </w:r>
          </w:p>
        </w:tc>
        <w:tc>
          <w:tcPr>
            <w:tcW w:w="628"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2</w:t>
            </w:r>
          </w:p>
        </w:tc>
        <w:tc>
          <w:tcPr>
            <w:tcW w:w="1565"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西藏巴松湖国家森林公园</w:t>
            </w:r>
          </w:p>
        </w:tc>
        <w:tc>
          <w:tcPr>
            <w:tcW w:w="868"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工布江达县</w:t>
            </w:r>
          </w:p>
        </w:tc>
        <w:tc>
          <w:tcPr>
            <w:tcW w:w="683"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林业</w:t>
            </w:r>
          </w:p>
        </w:tc>
        <w:tc>
          <w:tcPr>
            <w:tcW w:w="854"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410000</w:t>
            </w:r>
          </w:p>
        </w:tc>
        <w:tc>
          <w:tcPr>
            <w:tcW w:w="628"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3</w:t>
            </w:r>
          </w:p>
        </w:tc>
        <w:tc>
          <w:tcPr>
            <w:tcW w:w="1565"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lang w:val="en-US" w:eastAsia="zh-CN"/>
              </w:rPr>
              <w:t>西藏</w:t>
            </w:r>
            <w:r>
              <w:rPr>
                <w:rFonts w:hint="eastAsia"/>
              </w:rPr>
              <w:t>比日神山国家森林公园</w:t>
            </w:r>
          </w:p>
        </w:tc>
        <w:tc>
          <w:tcPr>
            <w:tcW w:w="868"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巴宜区</w:t>
            </w:r>
          </w:p>
        </w:tc>
        <w:tc>
          <w:tcPr>
            <w:tcW w:w="683"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林业</w:t>
            </w:r>
          </w:p>
        </w:tc>
        <w:tc>
          <w:tcPr>
            <w:tcW w:w="854"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22594.15</w:t>
            </w:r>
          </w:p>
        </w:tc>
        <w:tc>
          <w:tcPr>
            <w:tcW w:w="628"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2012</w:t>
            </w:r>
          </w:p>
        </w:tc>
      </w:tr>
    </w:tbl>
    <w:p>
      <w:pPr>
        <w:pStyle w:val="6"/>
        <w:bidi w:val="0"/>
        <w:rPr>
          <w:rFonts w:hint="eastAsia"/>
          <w:b/>
          <w:bCs/>
        </w:rPr>
      </w:pPr>
      <w:r>
        <w:rPr>
          <w:rFonts w:hint="eastAsia"/>
          <w:b/>
          <w:bCs/>
          <w:lang w:val="en-US" w:eastAsia="zh-CN"/>
        </w:rPr>
        <w:t>3、</w:t>
      </w:r>
      <w:r>
        <w:rPr>
          <w:rFonts w:hint="eastAsia"/>
          <w:b/>
          <w:bCs/>
        </w:rPr>
        <w:t>重要湿地</w:t>
      </w:r>
    </w:p>
    <w:p>
      <w:pPr>
        <w:pStyle w:val="6"/>
        <w:ind w:firstLine="480"/>
      </w:pPr>
      <w:r>
        <w:rPr>
          <w:rFonts w:hint="eastAsia"/>
        </w:rPr>
        <w:t>林芝市建立了3个国家级湿地公园，见表1.8-3。</w:t>
      </w:r>
    </w:p>
    <w:p>
      <w:pPr>
        <w:pStyle w:val="27"/>
      </w:pPr>
      <w:r>
        <w:rPr>
          <w:rFonts w:hint="eastAsia"/>
        </w:rPr>
        <w:t>表1.8-3  林芝市国家级湿地公园一览表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2045"/>
        <w:gridCol w:w="912"/>
        <w:gridCol w:w="1241"/>
        <w:gridCol w:w="1104"/>
        <w:gridCol w:w="1432"/>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序号</w:t>
            </w:r>
          </w:p>
        </w:tc>
        <w:tc>
          <w:tcPr>
            <w:tcW w:w="1200"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公园名称</w:t>
            </w:r>
          </w:p>
        </w:tc>
        <w:tc>
          <w:tcPr>
            <w:tcW w:w="535"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级别</w:t>
            </w:r>
          </w:p>
        </w:tc>
        <w:tc>
          <w:tcPr>
            <w:tcW w:w="728"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行政区域</w:t>
            </w:r>
          </w:p>
        </w:tc>
        <w:tc>
          <w:tcPr>
            <w:tcW w:w="648"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主管部门</w:t>
            </w:r>
          </w:p>
        </w:tc>
        <w:tc>
          <w:tcPr>
            <w:tcW w:w="840"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面积（hm</w:t>
            </w:r>
            <w:r>
              <w:rPr>
                <w:rFonts w:hint="eastAsia"/>
                <w:b/>
                <w:bCs/>
                <w:vertAlign w:val="superscript"/>
              </w:rPr>
              <w:t>2</w:t>
            </w:r>
            <w:r>
              <w:rPr>
                <w:rFonts w:hint="eastAsia"/>
                <w:b/>
                <w:bCs/>
              </w:rPr>
              <w:t>）</w:t>
            </w:r>
          </w:p>
        </w:tc>
        <w:tc>
          <w:tcPr>
            <w:tcW w:w="658"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设立时间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1</w:t>
            </w:r>
          </w:p>
        </w:tc>
        <w:tc>
          <w:tcPr>
            <w:tcW w:w="1200" w:type="pct"/>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西藏</w:t>
            </w:r>
            <w:r>
              <w:rPr>
                <w:rFonts w:hint="eastAsia"/>
              </w:rPr>
              <w:t>雅尼</w:t>
            </w:r>
            <w:r>
              <w:rPr>
                <w:rFonts w:hint="default"/>
              </w:rPr>
              <w:t>国家湿地公园</w:t>
            </w:r>
          </w:p>
        </w:tc>
        <w:tc>
          <w:tcPr>
            <w:tcW w:w="535" w:type="pct"/>
            <w:noWrap w:val="0"/>
            <w:vAlign w:val="center"/>
          </w:tcPr>
          <w:p>
            <w:pPr>
              <w:pStyle w:val="28"/>
              <w:keepNext w:val="0"/>
              <w:keepLines w:val="0"/>
              <w:suppressLineNumbers w:val="0"/>
              <w:bidi w:val="0"/>
              <w:spacing w:beforeAutospacing="0" w:afterAutospacing="0"/>
              <w:ind w:left="0" w:right="0"/>
              <w:rPr>
                <w:rFonts w:hint="default"/>
              </w:rPr>
            </w:pPr>
            <w:r>
              <w:rPr>
                <w:rFonts w:hint="default"/>
              </w:rPr>
              <w:t>国家级</w:t>
            </w:r>
          </w:p>
        </w:tc>
        <w:tc>
          <w:tcPr>
            <w:tcW w:w="728"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巴宜区</w:t>
            </w:r>
          </w:p>
        </w:tc>
        <w:tc>
          <w:tcPr>
            <w:tcW w:w="648" w:type="pct"/>
            <w:noWrap w:val="0"/>
            <w:vAlign w:val="center"/>
          </w:tcPr>
          <w:p>
            <w:pPr>
              <w:pStyle w:val="28"/>
              <w:keepNext w:val="0"/>
              <w:keepLines w:val="0"/>
              <w:suppressLineNumbers w:val="0"/>
              <w:bidi w:val="0"/>
              <w:spacing w:beforeAutospacing="0" w:afterAutospacing="0"/>
              <w:ind w:left="0" w:right="0"/>
              <w:rPr>
                <w:rFonts w:hint="default"/>
              </w:rPr>
            </w:pPr>
            <w:r>
              <w:rPr>
                <w:rFonts w:hint="default"/>
              </w:rPr>
              <w:t>林业</w:t>
            </w:r>
          </w:p>
        </w:tc>
        <w:tc>
          <w:tcPr>
            <w:tcW w:w="840"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6973.44</w:t>
            </w:r>
          </w:p>
        </w:tc>
        <w:tc>
          <w:tcPr>
            <w:tcW w:w="658" w:type="pct"/>
            <w:noWrap w:val="0"/>
            <w:vAlign w:val="center"/>
          </w:tcPr>
          <w:p>
            <w:pPr>
              <w:pStyle w:val="28"/>
              <w:keepNext w:val="0"/>
              <w:keepLines w:val="0"/>
              <w:suppressLineNumbers w:val="0"/>
              <w:bidi w:val="0"/>
              <w:spacing w:beforeAutospacing="0" w:afterAutospacing="0"/>
              <w:ind w:left="0" w:right="0"/>
              <w:rPr>
                <w:rFonts w:hint="default"/>
              </w:rPr>
            </w:pPr>
            <w:r>
              <w:rPr>
                <w:rFonts w:hint="default"/>
              </w:rPr>
              <w:t>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2</w:t>
            </w:r>
          </w:p>
        </w:tc>
        <w:tc>
          <w:tcPr>
            <w:tcW w:w="1200"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lang w:val="en-US" w:eastAsia="zh-CN"/>
              </w:rPr>
              <w:t>西藏林芝</w:t>
            </w:r>
            <w:r>
              <w:rPr>
                <w:rFonts w:hint="eastAsia"/>
              </w:rPr>
              <w:t>嘎朗国家湿地公园</w:t>
            </w:r>
          </w:p>
        </w:tc>
        <w:tc>
          <w:tcPr>
            <w:tcW w:w="535" w:type="pct"/>
            <w:noWrap w:val="0"/>
            <w:vAlign w:val="center"/>
          </w:tcPr>
          <w:p>
            <w:pPr>
              <w:pStyle w:val="28"/>
              <w:keepNext w:val="0"/>
              <w:keepLines w:val="0"/>
              <w:suppressLineNumbers w:val="0"/>
              <w:bidi w:val="0"/>
              <w:spacing w:beforeAutospacing="0" w:afterAutospacing="0"/>
              <w:ind w:left="0" w:right="0"/>
              <w:rPr>
                <w:rFonts w:hint="default"/>
              </w:rPr>
            </w:pPr>
            <w:r>
              <w:rPr>
                <w:rFonts w:hint="default"/>
              </w:rPr>
              <w:t>国家级</w:t>
            </w:r>
          </w:p>
        </w:tc>
        <w:tc>
          <w:tcPr>
            <w:tcW w:w="728" w:type="pct"/>
            <w:noWrap w:val="0"/>
            <w:vAlign w:val="center"/>
          </w:tcPr>
          <w:p>
            <w:pPr>
              <w:pStyle w:val="28"/>
              <w:keepNext w:val="0"/>
              <w:keepLines w:val="0"/>
              <w:suppressLineNumbers w:val="0"/>
              <w:bidi w:val="0"/>
              <w:spacing w:beforeAutospacing="0" w:afterAutospacing="0"/>
              <w:ind w:left="0" w:right="0"/>
              <w:rPr>
                <w:rFonts w:hint="eastAsia"/>
              </w:rPr>
            </w:pPr>
            <w:r>
              <w:rPr>
                <w:rFonts w:hint="default"/>
              </w:rPr>
              <w:t xml:space="preserve">波密县 </w:t>
            </w:r>
          </w:p>
        </w:tc>
        <w:tc>
          <w:tcPr>
            <w:tcW w:w="648" w:type="pct"/>
            <w:noWrap w:val="0"/>
            <w:vAlign w:val="center"/>
          </w:tcPr>
          <w:p>
            <w:pPr>
              <w:pStyle w:val="28"/>
              <w:keepNext w:val="0"/>
              <w:keepLines w:val="0"/>
              <w:suppressLineNumbers w:val="0"/>
              <w:bidi w:val="0"/>
              <w:spacing w:beforeAutospacing="0" w:afterAutospacing="0"/>
              <w:ind w:left="0" w:right="0"/>
              <w:rPr>
                <w:rFonts w:hint="default"/>
              </w:rPr>
            </w:pPr>
            <w:r>
              <w:rPr>
                <w:rFonts w:hint="default"/>
              </w:rPr>
              <w:t>林业</w:t>
            </w:r>
          </w:p>
        </w:tc>
        <w:tc>
          <w:tcPr>
            <w:tcW w:w="840"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4480</w:t>
            </w:r>
          </w:p>
        </w:tc>
        <w:tc>
          <w:tcPr>
            <w:tcW w:w="658"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3</w:t>
            </w:r>
          </w:p>
        </w:tc>
        <w:tc>
          <w:tcPr>
            <w:tcW w:w="1200"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lang w:val="en-US" w:eastAsia="zh-CN"/>
              </w:rPr>
              <w:t>西藏自治区</w:t>
            </w:r>
            <w:r>
              <w:rPr>
                <w:rFonts w:hint="default"/>
              </w:rPr>
              <w:t xml:space="preserve">朱拉河国家湿地公园 </w:t>
            </w:r>
          </w:p>
        </w:tc>
        <w:tc>
          <w:tcPr>
            <w:tcW w:w="535" w:type="pct"/>
            <w:noWrap w:val="0"/>
            <w:vAlign w:val="center"/>
          </w:tcPr>
          <w:p>
            <w:pPr>
              <w:pStyle w:val="28"/>
              <w:keepNext w:val="0"/>
              <w:keepLines w:val="0"/>
              <w:suppressLineNumbers w:val="0"/>
              <w:bidi w:val="0"/>
              <w:spacing w:beforeAutospacing="0" w:afterAutospacing="0"/>
              <w:ind w:left="0" w:right="0"/>
              <w:rPr>
                <w:rFonts w:hint="default"/>
              </w:rPr>
            </w:pPr>
            <w:r>
              <w:rPr>
                <w:rFonts w:hint="default"/>
              </w:rPr>
              <w:t>国家级</w:t>
            </w:r>
          </w:p>
        </w:tc>
        <w:tc>
          <w:tcPr>
            <w:tcW w:w="728"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工布江达县</w:t>
            </w:r>
          </w:p>
        </w:tc>
        <w:tc>
          <w:tcPr>
            <w:tcW w:w="648"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林业</w:t>
            </w:r>
          </w:p>
        </w:tc>
        <w:tc>
          <w:tcPr>
            <w:tcW w:w="840"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1269.40</w:t>
            </w:r>
          </w:p>
        </w:tc>
        <w:tc>
          <w:tcPr>
            <w:tcW w:w="658"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2012</w:t>
            </w:r>
          </w:p>
        </w:tc>
      </w:tr>
    </w:tbl>
    <w:p>
      <w:pPr>
        <w:pStyle w:val="6"/>
        <w:bidi w:val="0"/>
        <w:rPr>
          <w:rFonts w:hint="eastAsia"/>
          <w:b/>
          <w:bCs/>
        </w:rPr>
      </w:pPr>
      <w:r>
        <w:rPr>
          <w:rFonts w:hint="eastAsia"/>
          <w:b/>
          <w:bCs/>
          <w:lang w:val="en-US" w:eastAsia="zh-CN"/>
        </w:rPr>
        <w:t>4、</w:t>
      </w:r>
      <w:r>
        <w:rPr>
          <w:rFonts w:hint="eastAsia"/>
          <w:b/>
          <w:bCs/>
        </w:rPr>
        <w:t>国家级地质公园</w:t>
      </w:r>
    </w:p>
    <w:p>
      <w:pPr>
        <w:pStyle w:val="6"/>
        <w:ind w:firstLine="480"/>
        <w:rPr>
          <w:rFonts w:hint="eastAsia"/>
        </w:rPr>
      </w:pPr>
      <w:r>
        <w:rPr>
          <w:rFonts w:hint="eastAsia"/>
        </w:rPr>
        <w:t>林芝市建立了1个国家级地质公园，面积</w:t>
      </w:r>
      <w:r>
        <w:rPr>
          <w:rFonts w:hint="eastAsia"/>
          <w:lang w:val="en-US" w:eastAsia="zh-CN"/>
        </w:rPr>
        <w:t>216052</w:t>
      </w:r>
      <w:r>
        <w:rPr>
          <w:rFonts w:hint="eastAsia"/>
        </w:rPr>
        <w:t>公顷，见表1.8-4。</w:t>
      </w:r>
    </w:p>
    <w:p>
      <w:pPr>
        <w:pStyle w:val="27"/>
      </w:pPr>
      <w:r>
        <w:rPr>
          <w:rFonts w:hint="eastAsia"/>
        </w:rPr>
        <w:t>表1.8-4  林芝市国家级地质公园一览表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2440"/>
        <w:gridCol w:w="1154"/>
        <w:gridCol w:w="1458"/>
        <w:gridCol w:w="1614"/>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序号</w:t>
            </w:r>
          </w:p>
        </w:tc>
        <w:tc>
          <w:tcPr>
            <w:tcW w:w="1431"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公园名称</w:t>
            </w:r>
          </w:p>
        </w:tc>
        <w:tc>
          <w:tcPr>
            <w:tcW w:w="677"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级别</w:t>
            </w:r>
          </w:p>
        </w:tc>
        <w:tc>
          <w:tcPr>
            <w:tcW w:w="855"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行政区域</w:t>
            </w:r>
          </w:p>
        </w:tc>
        <w:tc>
          <w:tcPr>
            <w:tcW w:w="947"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面积（hm</w:t>
            </w:r>
            <w:r>
              <w:rPr>
                <w:rFonts w:hint="eastAsia"/>
                <w:b/>
                <w:bCs/>
                <w:vertAlign w:val="superscript"/>
              </w:rPr>
              <w:t>2</w:t>
            </w:r>
            <w:r>
              <w:rPr>
                <w:rFonts w:hint="eastAsia"/>
                <w:b/>
                <w:bCs/>
              </w:rPr>
              <w:t>）</w:t>
            </w:r>
          </w:p>
        </w:tc>
        <w:tc>
          <w:tcPr>
            <w:tcW w:w="683" w:type="pct"/>
            <w:noWrap w:val="0"/>
            <w:vAlign w:val="center"/>
          </w:tcPr>
          <w:p>
            <w:pPr>
              <w:pStyle w:val="28"/>
              <w:keepNext w:val="0"/>
              <w:keepLines w:val="0"/>
              <w:suppressLineNumbers w:val="0"/>
              <w:bidi w:val="0"/>
              <w:spacing w:beforeAutospacing="0" w:afterAutospacing="0"/>
              <w:ind w:left="0" w:right="0"/>
              <w:rPr>
                <w:rFonts w:hint="default"/>
                <w:b/>
                <w:bCs/>
              </w:rPr>
            </w:pPr>
            <w:r>
              <w:rPr>
                <w:rFonts w:hint="eastAsia"/>
                <w:b/>
                <w:bCs/>
              </w:rPr>
              <w:t>设立时间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1</w:t>
            </w:r>
          </w:p>
        </w:tc>
        <w:tc>
          <w:tcPr>
            <w:tcW w:w="1431"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易贡国家地质公园</w:t>
            </w:r>
          </w:p>
        </w:tc>
        <w:tc>
          <w:tcPr>
            <w:tcW w:w="677"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国家级</w:t>
            </w:r>
          </w:p>
        </w:tc>
        <w:tc>
          <w:tcPr>
            <w:tcW w:w="855" w:type="pct"/>
            <w:noWrap w:val="0"/>
            <w:vAlign w:val="center"/>
          </w:tcPr>
          <w:p>
            <w:pPr>
              <w:pStyle w:val="28"/>
              <w:keepNext w:val="0"/>
              <w:keepLines w:val="0"/>
              <w:suppressLineNumbers w:val="0"/>
              <w:bidi w:val="0"/>
              <w:spacing w:beforeAutospacing="0" w:afterAutospacing="0"/>
              <w:ind w:left="0" w:right="0"/>
              <w:rPr>
                <w:rFonts w:hint="eastAsia"/>
              </w:rPr>
            </w:pPr>
            <w:r>
              <w:rPr>
                <w:rFonts w:hint="eastAsia"/>
              </w:rPr>
              <w:t>波密县</w:t>
            </w:r>
          </w:p>
        </w:tc>
        <w:tc>
          <w:tcPr>
            <w:tcW w:w="947"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216052</w:t>
            </w:r>
          </w:p>
        </w:tc>
        <w:tc>
          <w:tcPr>
            <w:tcW w:w="683" w:type="pct"/>
            <w:noWrap w:val="0"/>
            <w:vAlign w:val="center"/>
          </w:tcPr>
          <w:p>
            <w:pPr>
              <w:pStyle w:val="28"/>
              <w:keepNext w:val="0"/>
              <w:keepLines w:val="0"/>
              <w:suppressLineNumbers w:val="0"/>
              <w:bidi w:val="0"/>
              <w:spacing w:beforeAutospacing="0" w:afterAutospacing="0"/>
              <w:ind w:left="0" w:right="0"/>
              <w:rPr>
                <w:rFonts w:hint="default"/>
              </w:rPr>
            </w:pPr>
            <w:r>
              <w:rPr>
                <w:rFonts w:hint="eastAsia"/>
              </w:rPr>
              <w:t>2001</w:t>
            </w:r>
          </w:p>
        </w:tc>
      </w:tr>
    </w:tbl>
    <w:p>
      <w:pPr>
        <w:pStyle w:val="6"/>
        <w:ind w:firstLine="480"/>
        <w:rPr>
          <w:rFonts w:hint="eastAsia"/>
          <w:b/>
          <w:bCs/>
          <w:lang w:val="en-US" w:eastAsia="zh-CN"/>
        </w:rPr>
      </w:pPr>
      <w:r>
        <w:rPr>
          <w:rFonts w:hint="eastAsia"/>
          <w:b/>
          <w:bCs/>
          <w:lang w:val="en-US" w:eastAsia="zh-CN"/>
        </w:rPr>
        <w:t>5、</w:t>
      </w:r>
      <w:r>
        <w:rPr>
          <w:rFonts w:hint="eastAsia"/>
          <w:b/>
          <w:bCs/>
          <w:highlight w:val="none"/>
        </w:rPr>
        <w:t>察隅县梅里雪山西坡风景名胜区</w:t>
      </w:r>
    </w:p>
    <w:p>
      <w:pPr>
        <w:pStyle w:val="6"/>
        <w:ind w:firstLine="480"/>
        <w:rPr>
          <w:rFonts w:hint="eastAsia"/>
          <w:highlight w:val="none"/>
          <w:lang w:eastAsia="zh-CN"/>
        </w:rPr>
      </w:pPr>
      <w:r>
        <w:rPr>
          <w:rFonts w:hint="eastAsia"/>
          <w:highlight w:val="none"/>
          <w:lang w:eastAsia="zh-CN"/>
        </w:rPr>
        <w:t>“</w:t>
      </w:r>
      <w:r>
        <w:rPr>
          <w:rFonts w:hint="eastAsia"/>
          <w:highlight w:val="none"/>
        </w:rPr>
        <w:t>察隅县梅里雪山西坡风景名胜区</w:t>
      </w:r>
      <w:r>
        <w:rPr>
          <w:rFonts w:hint="eastAsia"/>
          <w:highlight w:val="none"/>
          <w:lang w:eastAsia="zh-CN"/>
        </w:rPr>
        <w:t>”</w:t>
      </w:r>
      <w:r>
        <w:rPr>
          <w:rFonts w:hint="eastAsia"/>
          <w:highlight w:val="none"/>
          <w:lang w:val="en-US" w:eastAsia="zh-CN"/>
        </w:rPr>
        <w:t>总面积37836</w:t>
      </w:r>
      <w:r>
        <w:rPr>
          <w:rFonts w:hint="eastAsia"/>
          <w:highlight w:val="none"/>
        </w:rPr>
        <w:t>公顷</w:t>
      </w:r>
      <w:r>
        <w:rPr>
          <w:rFonts w:hint="eastAsia"/>
          <w:highlight w:val="none"/>
          <w:lang w:eastAsia="zh-CN"/>
        </w:rPr>
        <w:t>，以冰川地质景观、雪山森林草甸、原生藏式村寨、世界奇峡风光和高原水体景观等为特色，以生态旅游为主，融专题旅游、度假旅游、特种旅游、节事活动和藏文化体验于一体的国家重点风景名胜区。</w:t>
      </w:r>
    </w:p>
    <w:p>
      <w:pPr>
        <w:pStyle w:val="6"/>
        <w:bidi w:val="0"/>
        <w:rPr>
          <w:rFonts w:hint="eastAsia"/>
          <w:b/>
          <w:bCs/>
          <w:highlight w:val="none"/>
        </w:rPr>
      </w:pPr>
      <w:r>
        <w:rPr>
          <w:rFonts w:hint="eastAsia"/>
          <w:b/>
          <w:bCs/>
          <w:highlight w:val="none"/>
          <w:lang w:val="en-US" w:eastAsia="zh-CN"/>
        </w:rPr>
        <w:t>6、</w:t>
      </w:r>
      <w:r>
        <w:rPr>
          <w:rFonts w:hint="eastAsia"/>
          <w:b/>
          <w:bCs/>
          <w:highlight w:val="none"/>
        </w:rPr>
        <w:t>饮用水水源保护区</w:t>
      </w:r>
      <w:bookmarkEnd w:id="55"/>
    </w:p>
    <w:p>
      <w:pPr>
        <w:pStyle w:val="6"/>
        <w:bidi w:val="0"/>
        <w:rPr>
          <w:rFonts w:hint="eastAsia"/>
          <w:b/>
          <w:bCs/>
          <w:color w:val="auto"/>
          <w:highlight w:val="none"/>
        </w:rPr>
      </w:pPr>
      <w:r>
        <w:rPr>
          <w:rFonts w:hint="eastAsia"/>
          <w:b/>
          <w:bCs/>
          <w:color w:val="auto"/>
          <w:highlight w:val="none"/>
          <w:lang w:val="en-US" w:eastAsia="zh-CN"/>
        </w:rPr>
        <w:t>（1）</w:t>
      </w:r>
      <w:r>
        <w:rPr>
          <w:rFonts w:hint="eastAsia"/>
          <w:b/>
          <w:bCs/>
          <w:color w:val="auto"/>
          <w:highlight w:val="none"/>
        </w:rPr>
        <w:t>县市级饮用水水源保护区</w:t>
      </w:r>
    </w:p>
    <w:p>
      <w:pPr>
        <w:pStyle w:val="6"/>
        <w:bidi w:val="0"/>
        <w:rPr>
          <w:color w:val="FF0000"/>
          <w:highlight w:val="none"/>
        </w:rPr>
      </w:pPr>
      <w:r>
        <w:rPr>
          <w:rFonts w:hint="eastAsia"/>
          <w:color w:val="auto"/>
          <w:highlight w:val="none"/>
          <w:lang w:val="en-US" w:eastAsia="zh-CN"/>
        </w:rPr>
        <w:t>林芝市</w:t>
      </w:r>
      <w:r>
        <w:rPr>
          <w:rFonts w:hint="eastAsia"/>
          <w:color w:val="auto"/>
          <w:highlight w:val="none"/>
        </w:rPr>
        <w:t>目前划定县市级饮用水水源保护区共</w:t>
      </w:r>
      <w:r>
        <w:rPr>
          <w:rFonts w:hint="eastAsia"/>
          <w:color w:val="auto"/>
          <w:highlight w:val="none"/>
          <w:lang w:val="en-US" w:eastAsia="zh-CN"/>
        </w:rPr>
        <w:t>13</w:t>
      </w:r>
      <w:r>
        <w:rPr>
          <w:rFonts w:hint="eastAsia"/>
          <w:color w:val="auto"/>
          <w:highlight w:val="none"/>
        </w:rPr>
        <w:t>个，见表</w:t>
      </w:r>
      <w:r>
        <w:rPr>
          <w:rFonts w:hint="eastAsia"/>
          <w:color w:val="auto"/>
          <w:highlight w:val="none"/>
          <w:lang w:val="en-US" w:eastAsia="zh-CN"/>
        </w:rPr>
        <w:t>1.8-5</w:t>
      </w:r>
      <w:r>
        <w:rPr>
          <w:rFonts w:hint="eastAsia"/>
          <w:color w:val="auto"/>
          <w:highlight w:val="none"/>
        </w:rPr>
        <w:t>。</w:t>
      </w:r>
    </w:p>
    <w:p>
      <w:pPr>
        <w:pStyle w:val="6"/>
        <w:bidi w:val="0"/>
        <w:rPr>
          <w:color w:val="FF0000"/>
          <w:highlight w:val="none"/>
        </w:rPr>
        <w:sectPr>
          <w:pgSz w:w="11906" w:h="16838"/>
          <w:pgMar w:top="1440" w:right="1800" w:bottom="1440" w:left="1800" w:header="851" w:footer="992" w:gutter="0"/>
          <w:pgNumType w:fmt="decimal"/>
          <w:cols w:space="425" w:num="1"/>
          <w:docGrid w:type="lines" w:linePitch="312" w:charSpace="0"/>
        </w:sectPr>
      </w:pPr>
    </w:p>
    <w:p>
      <w:pPr>
        <w:pStyle w:val="27"/>
        <w:bidi w:val="0"/>
        <w:rPr>
          <w:rFonts w:hint="eastAsia"/>
          <w:color w:val="auto"/>
          <w:highlight w:val="none"/>
        </w:rPr>
      </w:pPr>
      <w:r>
        <w:rPr>
          <w:rFonts w:hint="eastAsia"/>
          <w:color w:val="auto"/>
          <w:highlight w:val="none"/>
        </w:rPr>
        <w:t>表</w:t>
      </w:r>
      <w:r>
        <w:rPr>
          <w:rFonts w:hint="eastAsia"/>
          <w:color w:val="auto"/>
          <w:highlight w:val="none"/>
          <w:lang w:val="en-US" w:eastAsia="zh-CN"/>
        </w:rPr>
        <w:t>1.8-5</w:t>
      </w:r>
      <w:r>
        <w:rPr>
          <w:rFonts w:hint="eastAsia"/>
          <w:color w:val="auto"/>
          <w:highlight w:val="none"/>
        </w:rPr>
        <w:t xml:space="preserve">  </w:t>
      </w:r>
      <w:r>
        <w:rPr>
          <w:rFonts w:hint="eastAsia"/>
          <w:color w:val="auto"/>
          <w:highlight w:val="none"/>
          <w:lang w:val="en-US" w:eastAsia="zh-CN"/>
        </w:rPr>
        <w:t>林芝市</w:t>
      </w:r>
      <w:r>
        <w:rPr>
          <w:rFonts w:hint="eastAsia"/>
          <w:color w:val="auto"/>
          <w:highlight w:val="none"/>
        </w:rPr>
        <w:t>县市级饮用水水源保护区一览表</w:t>
      </w:r>
    </w:p>
    <w:tbl>
      <w:tblPr>
        <w:tblStyle w:val="25"/>
        <w:tblW w:w="54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705"/>
        <w:gridCol w:w="945"/>
        <w:gridCol w:w="720"/>
        <w:gridCol w:w="840"/>
        <w:gridCol w:w="735"/>
        <w:gridCol w:w="3400"/>
        <w:gridCol w:w="4257"/>
        <w:gridCol w:w="1745"/>
        <w:gridCol w:w="978"/>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2" w:type="dxa"/>
            <w:vMerge w:val="restart"/>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r>
              <w:rPr>
                <w:rFonts w:hint="eastAsia"/>
                <w:b/>
                <w:bCs/>
                <w:color w:val="auto"/>
                <w:sz w:val="18"/>
                <w:szCs w:val="18"/>
                <w:highlight w:val="none"/>
              </w:rPr>
              <w:t>序号</w:t>
            </w:r>
          </w:p>
        </w:tc>
        <w:tc>
          <w:tcPr>
            <w:tcW w:w="705" w:type="dxa"/>
            <w:vMerge w:val="restart"/>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r>
              <w:rPr>
                <w:rFonts w:hint="eastAsia"/>
                <w:b/>
                <w:bCs/>
                <w:color w:val="auto"/>
                <w:sz w:val="18"/>
                <w:szCs w:val="18"/>
                <w:highlight w:val="none"/>
              </w:rPr>
              <w:t>县市</w:t>
            </w:r>
          </w:p>
        </w:tc>
        <w:tc>
          <w:tcPr>
            <w:tcW w:w="945" w:type="dxa"/>
            <w:vMerge w:val="restart"/>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r>
              <w:rPr>
                <w:rFonts w:hint="eastAsia"/>
                <w:b/>
                <w:bCs/>
                <w:color w:val="auto"/>
                <w:sz w:val="18"/>
                <w:szCs w:val="18"/>
                <w:highlight w:val="none"/>
              </w:rPr>
              <w:t>名称</w:t>
            </w:r>
          </w:p>
        </w:tc>
        <w:tc>
          <w:tcPr>
            <w:tcW w:w="720" w:type="dxa"/>
            <w:vMerge w:val="restart"/>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r>
              <w:rPr>
                <w:rFonts w:hint="eastAsia"/>
                <w:b/>
                <w:bCs/>
                <w:color w:val="auto"/>
                <w:sz w:val="18"/>
                <w:szCs w:val="18"/>
                <w:highlight w:val="none"/>
              </w:rPr>
              <w:t>级别</w:t>
            </w:r>
          </w:p>
        </w:tc>
        <w:tc>
          <w:tcPr>
            <w:tcW w:w="840" w:type="dxa"/>
            <w:vMerge w:val="restart"/>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r>
              <w:rPr>
                <w:rFonts w:hint="eastAsia"/>
                <w:b/>
                <w:bCs/>
                <w:color w:val="auto"/>
                <w:sz w:val="18"/>
                <w:szCs w:val="18"/>
                <w:highlight w:val="none"/>
              </w:rPr>
              <w:t>划定时间</w:t>
            </w:r>
          </w:p>
        </w:tc>
        <w:tc>
          <w:tcPr>
            <w:tcW w:w="735" w:type="dxa"/>
            <w:vMerge w:val="restart"/>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r>
              <w:rPr>
                <w:rFonts w:hint="eastAsia"/>
                <w:b/>
                <w:bCs/>
                <w:color w:val="auto"/>
                <w:sz w:val="18"/>
                <w:szCs w:val="18"/>
                <w:highlight w:val="none"/>
              </w:rPr>
              <w:t>类型</w:t>
            </w:r>
          </w:p>
        </w:tc>
        <w:tc>
          <w:tcPr>
            <w:tcW w:w="9402" w:type="dxa"/>
            <w:gridSpan w:val="3"/>
            <w:vAlign w:val="center"/>
          </w:tcPr>
          <w:p>
            <w:pPr>
              <w:pStyle w:val="29"/>
              <w:keepNext w:val="0"/>
              <w:keepLines w:val="0"/>
              <w:suppressLineNumbers w:val="0"/>
              <w:bidi w:val="0"/>
              <w:spacing w:before="0" w:beforeAutospacing="0" w:after="0" w:afterAutospacing="0"/>
              <w:ind w:left="0" w:right="0"/>
              <w:rPr>
                <w:rFonts w:hint="eastAsia"/>
                <w:b/>
                <w:bCs/>
                <w:color w:val="auto"/>
                <w:sz w:val="18"/>
                <w:szCs w:val="18"/>
                <w:highlight w:val="none"/>
              </w:rPr>
            </w:pPr>
            <w:r>
              <w:rPr>
                <w:rFonts w:hint="eastAsia"/>
                <w:b/>
                <w:bCs/>
                <w:color w:val="auto"/>
                <w:sz w:val="18"/>
                <w:szCs w:val="18"/>
                <w:highlight w:val="none"/>
                <w:lang w:val="en-US" w:eastAsia="zh-CN"/>
              </w:rPr>
              <w:t>范围</w:t>
            </w:r>
          </w:p>
        </w:tc>
        <w:tc>
          <w:tcPr>
            <w:tcW w:w="978" w:type="dxa"/>
            <w:vMerge w:val="restart"/>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r>
              <w:rPr>
                <w:rFonts w:hint="eastAsia"/>
                <w:b/>
                <w:bCs/>
                <w:color w:val="auto"/>
                <w:sz w:val="18"/>
                <w:szCs w:val="18"/>
                <w:highlight w:val="none"/>
              </w:rPr>
              <w:t>批准文号</w:t>
            </w:r>
          </w:p>
        </w:tc>
        <w:tc>
          <w:tcPr>
            <w:tcW w:w="787" w:type="dxa"/>
            <w:vMerge w:val="restart"/>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r>
              <w:rPr>
                <w:rFonts w:hint="eastAsia"/>
                <w:b/>
                <w:bCs/>
                <w:color w:val="auto"/>
                <w:sz w:val="18"/>
                <w:szCs w:val="18"/>
                <w:highlight w:val="none"/>
              </w:rPr>
              <w:t>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blHeader/>
          <w:jc w:val="center"/>
        </w:trPr>
        <w:tc>
          <w:tcPr>
            <w:tcW w:w="412" w:type="dxa"/>
            <w:vMerge w:val="continue"/>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p>
        </w:tc>
        <w:tc>
          <w:tcPr>
            <w:tcW w:w="705" w:type="dxa"/>
            <w:vMerge w:val="continue"/>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p>
        </w:tc>
        <w:tc>
          <w:tcPr>
            <w:tcW w:w="945" w:type="dxa"/>
            <w:vMerge w:val="continue"/>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p>
        </w:tc>
        <w:tc>
          <w:tcPr>
            <w:tcW w:w="720" w:type="dxa"/>
            <w:vMerge w:val="continue"/>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p>
        </w:tc>
        <w:tc>
          <w:tcPr>
            <w:tcW w:w="840" w:type="dxa"/>
            <w:vMerge w:val="continue"/>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p>
        </w:tc>
        <w:tc>
          <w:tcPr>
            <w:tcW w:w="735" w:type="dxa"/>
            <w:vMerge w:val="continue"/>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p>
        </w:tc>
        <w:tc>
          <w:tcPr>
            <w:tcW w:w="3400" w:type="dxa"/>
            <w:vAlign w:val="center"/>
          </w:tcPr>
          <w:p>
            <w:pPr>
              <w:pStyle w:val="29"/>
              <w:keepNext w:val="0"/>
              <w:keepLines w:val="0"/>
              <w:suppressLineNumbers w:val="0"/>
              <w:bidi w:val="0"/>
              <w:spacing w:before="0" w:beforeAutospacing="0" w:after="0" w:afterAutospacing="0"/>
              <w:ind w:left="0" w:right="0"/>
              <w:rPr>
                <w:rFonts w:hint="eastAsia"/>
                <w:b/>
                <w:bCs/>
                <w:color w:val="auto"/>
                <w:sz w:val="18"/>
                <w:szCs w:val="18"/>
                <w:highlight w:val="none"/>
                <w:lang w:eastAsia="zh-CN"/>
              </w:rPr>
            </w:pPr>
            <w:r>
              <w:rPr>
                <w:rFonts w:hint="eastAsia"/>
                <w:b/>
                <w:bCs/>
                <w:color w:val="auto"/>
                <w:sz w:val="18"/>
                <w:szCs w:val="18"/>
                <w:highlight w:val="none"/>
              </w:rPr>
              <w:t>一级保护区</w:t>
            </w:r>
            <w:r>
              <w:rPr>
                <w:rFonts w:hint="eastAsia"/>
                <w:b/>
                <w:bCs/>
                <w:color w:val="auto"/>
                <w:sz w:val="18"/>
                <w:szCs w:val="18"/>
                <w:highlight w:val="none"/>
                <w:lang w:val="en-US" w:eastAsia="zh-CN"/>
              </w:rPr>
              <w:t>范围</w:t>
            </w:r>
          </w:p>
        </w:tc>
        <w:tc>
          <w:tcPr>
            <w:tcW w:w="4257" w:type="dxa"/>
            <w:vAlign w:val="center"/>
          </w:tcPr>
          <w:p>
            <w:pPr>
              <w:pStyle w:val="29"/>
              <w:keepNext w:val="0"/>
              <w:keepLines w:val="0"/>
              <w:suppressLineNumbers w:val="0"/>
              <w:bidi w:val="0"/>
              <w:spacing w:before="0" w:beforeAutospacing="0" w:after="0" w:afterAutospacing="0"/>
              <w:ind w:left="0" w:right="0"/>
              <w:rPr>
                <w:rFonts w:hint="eastAsia" w:eastAsia="宋体"/>
                <w:b/>
                <w:bCs/>
                <w:color w:val="auto"/>
                <w:sz w:val="18"/>
                <w:szCs w:val="18"/>
                <w:highlight w:val="none"/>
                <w:lang w:val="en-US" w:eastAsia="zh-CN"/>
              </w:rPr>
            </w:pPr>
            <w:r>
              <w:rPr>
                <w:rFonts w:hint="eastAsia"/>
                <w:b/>
                <w:bCs/>
                <w:color w:val="auto"/>
                <w:sz w:val="18"/>
                <w:szCs w:val="18"/>
                <w:highlight w:val="none"/>
              </w:rPr>
              <w:t>二级保护区</w:t>
            </w:r>
            <w:r>
              <w:rPr>
                <w:rFonts w:hint="eastAsia"/>
                <w:b/>
                <w:bCs/>
                <w:color w:val="auto"/>
                <w:sz w:val="18"/>
                <w:szCs w:val="18"/>
                <w:highlight w:val="none"/>
                <w:lang w:val="en-US" w:eastAsia="zh-CN"/>
              </w:rPr>
              <w:t>范围</w:t>
            </w:r>
          </w:p>
        </w:tc>
        <w:tc>
          <w:tcPr>
            <w:tcW w:w="1745" w:type="dxa"/>
            <w:vAlign w:val="center"/>
          </w:tcPr>
          <w:p>
            <w:pPr>
              <w:pStyle w:val="29"/>
              <w:keepNext w:val="0"/>
              <w:keepLines w:val="0"/>
              <w:suppressLineNumbers w:val="0"/>
              <w:bidi w:val="0"/>
              <w:spacing w:before="0" w:beforeAutospacing="0" w:after="0" w:afterAutospacing="0"/>
              <w:ind w:left="0" w:right="0"/>
              <w:rPr>
                <w:rFonts w:hint="eastAsia" w:eastAsia="宋体"/>
                <w:b/>
                <w:bCs/>
                <w:color w:val="auto"/>
                <w:sz w:val="18"/>
                <w:szCs w:val="18"/>
                <w:highlight w:val="none"/>
                <w:lang w:val="en-US" w:eastAsia="zh-CN"/>
              </w:rPr>
            </w:pPr>
            <w:r>
              <w:rPr>
                <w:rFonts w:hint="eastAsia"/>
                <w:b/>
                <w:bCs/>
                <w:color w:val="auto"/>
                <w:sz w:val="18"/>
                <w:szCs w:val="18"/>
                <w:highlight w:val="none"/>
                <w:lang w:val="en-US" w:eastAsia="zh-CN"/>
              </w:rPr>
              <w:t>准保护区</w:t>
            </w:r>
          </w:p>
        </w:tc>
        <w:tc>
          <w:tcPr>
            <w:tcW w:w="978" w:type="dxa"/>
            <w:vMerge w:val="continue"/>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p>
        </w:tc>
        <w:tc>
          <w:tcPr>
            <w:tcW w:w="787" w:type="dxa"/>
            <w:vMerge w:val="continue"/>
            <w:vAlign w:val="center"/>
          </w:tcPr>
          <w:p>
            <w:pPr>
              <w:pStyle w:val="29"/>
              <w:keepNext w:val="0"/>
              <w:keepLines w:val="0"/>
              <w:suppressLineNumbers w:val="0"/>
              <w:bidi w:val="0"/>
              <w:spacing w:before="0" w:beforeAutospacing="0" w:after="0" w:afterAutospacing="0"/>
              <w:ind w:left="0" w:right="0"/>
              <w:rPr>
                <w:rFonts w:hint="default"/>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eastAsia"/>
                <w:color w:val="auto"/>
                <w:sz w:val="18"/>
                <w:szCs w:val="18"/>
                <w:highlight w:val="none"/>
              </w:rPr>
              <w:t>1</w:t>
            </w:r>
          </w:p>
        </w:tc>
        <w:tc>
          <w:tcPr>
            <w:tcW w:w="705"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eastAsia="zh-CN"/>
              </w:rPr>
            </w:pPr>
            <w:r>
              <w:rPr>
                <w:rFonts w:hint="eastAsia"/>
                <w:color w:val="auto"/>
                <w:sz w:val="18"/>
                <w:szCs w:val="18"/>
                <w:highlight w:val="none"/>
                <w:lang w:val="en-US" w:eastAsia="zh-CN"/>
              </w:rPr>
              <w:t>巴宜区</w:t>
            </w:r>
          </w:p>
        </w:tc>
        <w:tc>
          <w:tcPr>
            <w:tcW w:w="945" w:type="dxa"/>
            <w:vAlign w:val="center"/>
          </w:tcPr>
          <w:p>
            <w:pPr>
              <w:pStyle w:val="29"/>
              <w:keepNext w:val="0"/>
              <w:keepLines w:val="0"/>
              <w:suppressLineNumbers w:val="0"/>
              <w:bidi w:val="0"/>
              <w:spacing w:before="0" w:beforeAutospacing="0" w:after="0" w:afterAutospacing="0"/>
              <w:ind w:left="0" w:right="0"/>
              <w:rPr>
                <w:rFonts w:hint="default" w:eastAsia="宋体"/>
                <w:color w:val="auto"/>
                <w:sz w:val="18"/>
                <w:szCs w:val="18"/>
                <w:highlight w:val="none"/>
                <w:lang w:val="en-US" w:eastAsia="zh-CN"/>
              </w:rPr>
            </w:pPr>
            <w:r>
              <w:rPr>
                <w:rFonts w:hint="eastAsia"/>
                <w:color w:val="auto"/>
                <w:sz w:val="18"/>
                <w:szCs w:val="18"/>
                <w:highlight w:val="none"/>
                <w:lang w:val="en-US" w:eastAsia="zh-CN"/>
              </w:rPr>
              <w:t>八一镇第一自来水厂</w:t>
            </w:r>
          </w:p>
        </w:tc>
        <w:tc>
          <w:tcPr>
            <w:tcW w:w="720"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eastAsia"/>
                <w:color w:val="auto"/>
                <w:sz w:val="18"/>
                <w:szCs w:val="18"/>
                <w:highlight w:val="none"/>
              </w:rPr>
              <w:t>地市级</w:t>
            </w:r>
          </w:p>
        </w:tc>
        <w:tc>
          <w:tcPr>
            <w:tcW w:w="840" w:type="dxa"/>
            <w:vAlign w:val="center"/>
          </w:tcPr>
          <w:p>
            <w:pPr>
              <w:pStyle w:val="29"/>
              <w:keepNext w:val="0"/>
              <w:keepLines w:val="0"/>
              <w:suppressLineNumbers w:val="0"/>
              <w:bidi w:val="0"/>
              <w:spacing w:before="0" w:beforeAutospacing="0" w:after="0" w:afterAutospacing="0"/>
              <w:ind w:left="0" w:right="0"/>
              <w:rPr>
                <w:rFonts w:hint="default" w:eastAsia="宋体"/>
                <w:color w:val="auto"/>
                <w:sz w:val="18"/>
                <w:szCs w:val="18"/>
                <w:highlight w:val="none"/>
                <w:lang w:val="en-US" w:eastAsia="zh-CN"/>
              </w:rPr>
            </w:pPr>
            <w:r>
              <w:rPr>
                <w:rFonts w:hint="eastAsia"/>
                <w:color w:val="auto"/>
                <w:sz w:val="18"/>
                <w:szCs w:val="18"/>
                <w:highlight w:val="none"/>
              </w:rPr>
              <w:t>201</w:t>
            </w:r>
            <w:r>
              <w:rPr>
                <w:rFonts w:hint="eastAsia"/>
                <w:color w:val="auto"/>
                <w:sz w:val="18"/>
                <w:szCs w:val="18"/>
                <w:highlight w:val="none"/>
                <w:lang w:val="en-US" w:eastAsia="zh-CN"/>
              </w:rPr>
              <w:t>7.8.26</w:t>
            </w:r>
          </w:p>
        </w:tc>
        <w:tc>
          <w:tcPr>
            <w:tcW w:w="735" w:type="dxa"/>
            <w:vAlign w:val="center"/>
          </w:tcPr>
          <w:p>
            <w:pPr>
              <w:pStyle w:val="29"/>
              <w:keepNext w:val="0"/>
              <w:keepLines w:val="0"/>
              <w:suppressLineNumbers w:val="0"/>
              <w:bidi w:val="0"/>
              <w:spacing w:before="0" w:beforeAutospacing="0" w:after="0" w:afterAutospacing="0"/>
              <w:ind w:left="0" w:right="0"/>
              <w:rPr>
                <w:rFonts w:hint="eastAsia" w:eastAsia="宋体"/>
                <w:color w:val="auto"/>
                <w:sz w:val="18"/>
                <w:szCs w:val="18"/>
                <w:highlight w:val="none"/>
                <w:lang w:eastAsia="zh-CN"/>
              </w:rPr>
            </w:pPr>
            <w:r>
              <w:rPr>
                <w:rFonts w:hint="eastAsia"/>
                <w:color w:val="auto"/>
                <w:sz w:val="18"/>
                <w:szCs w:val="18"/>
                <w:highlight w:val="none"/>
                <w:lang w:val="en-US" w:eastAsia="zh-CN"/>
              </w:rPr>
              <w:t>河流</w:t>
            </w:r>
          </w:p>
        </w:tc>
        <w:tc>
          <w:tcPr>
            <w:tcW w:w="3400" w:type="dxa"/>
            <w:vAlign w:val="center"/>
          </w:tcPr>
          <w:p>
            <w:pPr>
              <w:pStyle w:val="29"/>
              <w:keepNext w:val="0"/>
              <w:keepLines w:val="0"/>
              <w:suppressLineNumbers w:val="0"/>
              <w:bidi w:val="0"/>
              <w:spacing w:before="0" w:beforeAutospacing="0" w:after="0" w:afterAutospacing="0"/>
              <w:ind w:left="0" w:right="0"/>
              <w:rPr>
                <w:rFonts w:hint="default" w:eastAsia="宋体"/>
                <w:color w:val="auto"/>
                <w:sz w:val="18"/>
                <w:szCs w:val="18"/>
                <w:highlight w:val="none"/>
                <w:lang w:val="en-US" w:eastAsia="zh-CN"/>
              </w:rPr>
            </w:pPr>
            <w:r>
              <w:rPr>
                <w:rFonts w:hint="eastAsia"/>
                <w:color w:val="auto"/>
                <w:sz w:val="18"/>
                <w:szCs w:val="18"/>
                <w:highlight w:val="none"/>
                <w:lang w:val="en-US" w:eastAsia="zh-CN"/>
              </w:rPr>
              <w:t>取地表水和地下水所划定保护区的并集，即地下水：半径187.53m；地表水水域长度：上游1000m，下游100m，宽度为整个河道范围；陆域：长度为上游1000m，下游100m，宽度为河道边界外50m</w:t>
            </w:r>
          </w:p>
        </w:tc>
        <w:tc>
          <w:tcPr>
            <w:tcW w:w="4257"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rPr>
            </w:pPr>
            <w:r>
              <w:rPr>
                <w:rFonts w:hint="eastAsia"/>
                <w:color w:val="auto"/>
                <w:sz w:val="18"/>
                <w:szCs w:val="18"/>
                <w:highlight w:val="none"/>
                <w:lang w:val="en-US" w:eastAsia="zh-CN"/>
              </w:rPr>
              <w:t>取地表水和地下水所划定保护区的并集，即地下水：半径1875.3m；地表水：水域长度：上游2000m，下游200m，宽度为整个河道范围；陆域：长度为上游2000m，下游200m，宽度为河道边界外1000m，但若不到1000m遇流域分水岭，则以分水岭为界</w:t>
            </w:r>
          </w:p>
        </w:tc>
        <w:tc>
          <w:tcPr>
            <w:tcW w:w="174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水域：自二级保护区上边界至措木及日售票处长度约3500m。陆域：水域两岸纵深1000m或至山脊线的范围</w:t>
            </w:r>
          </w:p>
        </w:tc>
        <w:tc>
          <w:tcPr>
            <w:tcW w:w="978" w:type="dxa"/>
            <w:vAlign w:val="center"/>
          </w:tcPr>
          <w:p>
            <w:pPr>
              <w:pStyle w:val="29"/>
              <w:keepNext w:val="0"/>
              <w:keepLines w:val="0"/>
              <w:suppressLineNumbers w:val="0"/>
              <w:bidi w:val="0"/>
              <w:spacing w:before="0" w:beforeAutospacing="0" w:after="0" w:afterAutospacing="0"/>
              <w:ind w:left="0" w:right="0"/>
              <w:rPr>
                <w:rFonts w:hint="default" w:eastAsia="宋体"/>
                <w:color w:val="auto"/>
                <w:sz w:val="18"/>
                <w:szCs w:val="18"/>
                <w:highlight w:val="none"/>
                <w:lang w:val="en-US" w:eastAsia="zh-CN"/>
              </w:rPr>
            </w:pPr>
            <w:r>
              <w:rPr>
                <w:rFonts w:hint="eastAsia"/>
                <w:color w:val="auto"/>
                <w:sz w:val="18"/>
                <w:szCs w:val="18"/>
                <w:highlight w:val="none"/>
                <w:lang w:val="en-US" w:eastAsia="zh-CN"/>
              </w:rPr>
              <w:t>藏政函[2017]195号</w:t>
            </w:r>
          </w:p>
        </w:tc>
        <w:tc>
          <w:tcPr>
            <w:tcW w:w="787"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rPr>
            </w:pPr>
            <w:r>
              <w:rPr>
                <w:rFonts w:hint="eastAsia"/>
                <w:color w:val="auto"/>
                <w:sz w:val="18"/>
                <w:szCs w:val="18"/>
                <w:highlight w:val="none"/>
                <w:lang w:val="en-US" w:eastAsia="zh-CN"/>
              </w:rPr>
              <w:t>林芝</w:t>
            </w:r>
            <w:r>
              <w:rPr>
                <w:rFonts w:hint="eastAsia"/>
                <w:color w:val="auto"/>
                <w:sz w:val="18"/>
                <w:szCs w:val="18"/>
                <w:highlight w:val="none"/>
              </w:rPr>
              <w:t>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29"/>
              <w:keepNext w:val="0"/>
              <w:keepLines w:val="0"/>
              <w:suppressLineNumbers w:val="0"/>
              <w:bidi w:val="0"/>
              <w:spacing w:before="0" w:beforeAutospacing="0" w:after="0" w:afterAutospacing="0"/>
              <w:ind w:left="0" w:right="0"/>
              <w:rPr>
                <w:rFonts w:hint="eastAsia" w:eastAsia="宋体"/>
                <w:color w:val="auto"/>
                <w:sz w:val="18"/>
                <w:szCs w:val="18"/>
                <w:highlight w:val="none"/>
                <w:lang w:val="en-US" w:eastAsia="zh-CN"/>
              </w:rPr>
            </w:pPr>
            <w:r>
              <w:rPr>
                <w:rFonts w:hint="eastAsia"/>
                <w:color w:val="auto"/>
                <w:sz w:val="18"/>
                <w:szCs w:val="18"/>
                <w:highlight w:val="none"/>
                <w:lang w:val="en-US" w:eastAsia="zh-CN"/>
              </w:rPr>
              <w:t>2</w:t>
            </w:r>
          </w:p>
        </w:tc>
        <w:tc>
          <w:tcPr>
            <w:tcW w:w="70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巴宜区</w:t>
            </w:r>
          </w:p>
        </w:tc>
        <w:tc>
          <w:tcPr>
            <w:tcW w:w="94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第一水厂地下水（两口井）</w:t>
            </w:r>
          </w:p>
        </w:tc>
        <w:tc>
          <w:tcPr>
            <w:tcW w:w="720"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rPr>
            </w:pPr>
            <w:r>
              <w:rPr>
                <w:rFonts w:hint="eastAsia"/>
                <w:color w:val="auto"/>
                <w:sz w:val="18"/>
                <w:szCs w:val="18"/>
                <w:highlight w:val="none"/>
              </w:rPr>
              <w:t>地市级</w:t>
            </w:r>
          </w:p>
        </w:tc>
        <w:tc>
          <w:tcPr>
            <w:tcW w:w="840" w:type="dxa"/>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20</w:t>
            </w:r>
            <w:r>
              <w:rPr>
                <w:rFonts w:hint="eastAsia"/>
                <w:color w:val="auto"/>
                <w:sz w:val="18"/>
                <w:szCs w:val="18"/>
                <w:highlight w:val="none"/>
                <w:lang w:val="en-US" w:eastAsia="zh-CN"/>
              </w:rPr>
              <w:t>22.1.7</w:t>
            </w:r>
          </w:p>
        </w:tc>
        <w:tc>
          <w:tcPr>
            <w:tcW w:w="73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地下水</w:t>
            </w:r>
          </w:p>
        </w:tc>
        <w:tc>
          <w:tcPr>
            <w:tcW w:w="3400"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取地表水和地下水所划定保护区的并集，即地下水：半径200m，地表水水域长度：上游1000m，下游100m，宽度为整个河道范围，陆域：长度为上游1000m，下游100m，宽度为河道边界外50m，对于有防洪堤坝段的以防洪堤坝为界</w:t>
            </w:r>
          </w:p>
        </w:tc>
        <w:tc>
          <w:tcPr>
            <w:tcW w:w="425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取地表水和地下水所划定保护区的并集，即地下水：半径1880m，地表水：水域长度：上游2000m，下游200m，宽度为整个河道范围；陆域：长度为上游2000m，下游200m，宽度为河道边界外1000m，但若不到1000m遇流域分水岭，则以分水岭为界</w:t>
            </w:r>
          </w:p>
        </w:tc>
        <w:tc>
          <w:tcPr>
            <w:tcW w:w="174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978"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藏政函[2022]4号</w:t>
            </w:r>
          </w:p>
        </w:tc>
        <w:tc>
          <w:tcPr>
            <w:tcW w:w="78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林芝</w:t>
            </w:r>
            <w:r>
              <w:rPr>
                <w:rFonts w:hint="eastAsia"/>
                <w:color w:val="auto"/>
                <w:sz w:val="18"/>
                <w:szCs w:val="18"/>
                <w:highlight w:val="none"/>
              </w:rPr>
              <w:t>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29"/>
              <w:keepNext w:val="0"/>
              <w:keepLines w:val="0"/>
              <w:suppressLineNumbers w:val="0"/>
              <w:bidi w:val="0"/>
              <w:spacing w:before="0" w:beforeAutospacing="0" w:after="0" w:afterAutospacing="0"/>
              <w:ind w:left="0" w:right="0"/>
              <w:rPr>
                <w:rFonts w:hint="eastAsia" w:eastAsia="宋体"/>
                <w:color w:val="auto"/>
                <w:sz w:val="18"/>
                <w:szCs w:val="18"/>
                <w:highlight w:val="none"/>
                <w:lang w:val="en-US" w:eastAsia="zh-CN"/>
              </w:rPr>
            </w:pPr>
            <w:r>
              <w:rPr>
                <w:rFonts w:hint="eastAsia"/>
                <w:color w:val="auto"/>
                <w:sz w:val="18"/>
                <w:szCs w:val="18"/>
                <w:highlight w:val="none"/>
                <w:lang w:val="en-US" w:eastAsia="zh-CN"/>
              </w:rPr>
              <w:t>3</w:t>
            </w:r>
          </w:p>
        </w:tc>
        <w:tc>
          <w:tcPr>
            <w:tcW w:w="70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巴宜区</w:t>
            </w:r>
          </w:p>
        </w:tc>
        <w:tc>
          <w:tcPr>
            <w:tcW w:w="945"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八一镇第二自来水厂（4口井）</w:t>
            </w:r>
          </w:p>
        </w:tc>
        <w:tc>
          <w:tcPr>
            <w:tcW w:w="720"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rPr>
            </w:pPr>
            <w:r>
              <w:rPr>
                <w:rFonts w:hint="eastAsia"/>
                <w:color w:val="auto"/>
                <w:sz w:val="18"/>
                <w:szCs w:val="18"/>
                <w:highlight w:val="none"/>
              </w:rPr>
              <w:t>地市级</w:t>
            </w:r>
          </w:p>
        </w:tc>
        <w:tc>
          <w:tcPr>
            <w:tcW w:w="840"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rPr>
            </w:pPr>
            <w:r>
              <w:rPr>
                <w:rFonts w:hint="eastAsia"/>
                <w:color w:val="auto"/>
                <w:sz w:val="18"/>
                <w:szCs w:val="18"/>
                <w:highlight w:val="none"/>
              </w:rPr>
              <w:t>201</w:t>
            </w:r>
            <w:r>
              <w:rPr>
                <w:rFonts w:hint="eastAsia"/>
                <w:color w:val="auto"/>
                <w:sz w:val="18"/>
                <w:szCs w:val="18"/>
                <w:highlight w:val="none"/>
                <w:lang w:val="en-US" w:eastAsia="zh-CN"/>
              </w:rPr>
              <w:t>7.8.26</w:t>
            </w:r>
          </w:p>
        </w:tc>
        <w:tc>
          <w:tcPr>
            <w:tcW w:w="735"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地下水</w:t>
            </w:r>
          </w:p>
        </w:tc>
        <w:tc>
          <w:tcPr>
            <w:tcW w:w="3400"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以四口取水井为中心，各自半径30米范围的区域，其中东部3#及4#取水井以自来水厂围墙为界</w:t>
            </w:r>
          </w:p>
        </w:tc>
        <w:tc>
          <w:tcPr>
            <w:tcW w:w="425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以四口取水井为中心，各自半径30米至60m范围的区域</w:t>
            </w:r>
          </w:p>
        </w:tc>
        <w:tc>
          <w:tcPr>
            <w:tcW w:w="174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以四口取水井为中心，二级保护区以外半径100米范围内的区域</w:t>
            </w:r>
          </w:p>
        </w:tc>
        <w:tc>
          <w:tcPr>
            <w:tcW w:w="978"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藏政函[2017]195号</w:t>
            </w:r>
          </w:p>
        </w:tc>
        <w:tc>
          <w:tcPr>
            <w:tcW w:w="78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林芝</w:t>
            </w:r>
            <w:r>
              <w:rPr>
                <w:rFonts w:hint="eastAsia"/>
                <w:color w:val="auto"/>
                <w:sz w:val="18"/>
                <w:szCs w:val="18"/>
                <w:highlight w:val="none"/>
              </w:rPr>
              <w:t>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12" w:type="dxa"/>
            <w:vAlign w:val="center"/>
          </w:tcPr>
          <w:p>
            <w:pPr>
              <w:pStyle w:val="29"/>
              <w:keepNext w:val="0"/>
              <w:keepLines w:val="0"/>
              <w:suppressLineNumbers w:val="0"/>
              <w:bidi w:val="0"/>
              <w:spacing w:before="0" w:beforeAutospacing="0" w:after="0" w:afterAutospacing="0"/>
              <w:ind w:left="0" w:right="0"/>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70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工布江达县</w:t>
            </w:r>
          </w:p>
        </w:tc>
        <w:tc>
          <w:tcPr>
            <w:tcW w:w="94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果园沟水源地</w:t>
            </w:r>
          </w:p>
        </w:tc>
        <w:tc>
          <w:tcPr>
            <w:tcW w:w="720"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rPr>
            </w:pPr>
            <w:r>
              <w:rPr>
                <w:rFonts w:hint="eastAsia"/>
                <w:color w:val="auto"/>
                <w:sz w:val="18"/>
                <w:szCs w:val="18"/>
                <w:highlight w:val="none"/>
              </w:rPr>
              <w:t>地市级</w:t>
            </w:r>
          </w:p>
        </w:tc>
        <w:tc>
          <w:tcPr>
            <w:tcW w:w="840"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rPr>
            </w:pPr>
            <w:r>
              <w:rPr>
                <w:rFonts w:hint="eastAsia"/>
                <w:color w:val="auto"/>
                <w:sz w:val="18"/>
                <w:szCs w:val="18"/>
                <w:highlight w:val="none"/>
              </w:rPr>
              <w:t>201</w:t>
            </w:r>
            <w:r>
              <w:rPr>
                <w:rFonts w:hint="eastAsia"/>
                <w:color w:val="auto"/>
                <w:sz w:val="18"/>
                <w:szCs w:val="18"/>
                <w:highlight w:val="none"/>
                <w:lang w:val="en-US" w:eastAsia="zh-CN"/>
              </w:rPr>
              <w:t>7.8.26</w:t>
            </w:r>
          </w:p>
        </w:tc>
        <w:tc>
          <w:tcPr>
            <w:tcW w:w="73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河流</w:t>
            </w:r>
          </w:p>
        </w:tc>
        <w:tc>
          <w:tcPr>
            <w:tcW w:w="3400" w:type="dxa"/>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水域长度：上游1000m至下游沉淀池范围内河道水域；水域宽度为整个河道范围；陆域长度为一级保护区水域河长，陆域宽度：沿岸纵深至两侧山脊线</w:t>
            </w:r>
          </w:p>
        </w:tc>
        <w:tc>
          <w:tcPr>
            <w:tcW w:w="4257"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水域长度：上游段为一级保护区上游边界上溯2000米下游段一级保护区下游边界下延200米的水域；水域宽度：沿岸长度为一级保护区水域河长；陆域宽度：沿岸纵深至两侧山脊线</w:t>
            </w:r>
          </w:p>
        </w:tc>
        <w:tc>
          <w:tcPr>
            <w:tcW w:w="174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w:t>
            </w:r>
          </w:p>
        </w:tc>
        <w:tc>
          <w:tcPr>
            <w:tcW w:w="978"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藏政函[2017]195号</w:t>
            </w:r>
          </w:p>
        </w:tc>
        <w:tc>
          <w:tcPr>
            <w:tcW w:w="78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林芝</w:t>
            </w:r>
            <w:r>
              <w:rPr>
                <w:rFonts w:hint="eastAsia"/>
                <w:color w:val="auto"/>
                <w:sz w:val="18"/>
                <w:szCs w:val="18"/>
                <w:highlight w:val="none"/>
              </w:rPr>
              <w:t>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29"/>
              <w:keepNext w:val="0"/>
              <w:keepLines w:val="0"/>
              <w:suppressLineNumbers w:val="0"/>
              <w:bidi w:val="0"/>
              <w:spacing w:before="0" w:beforeAutospacing="0" w:after="0" w:afterAutospacing="0"/>
              <w:ind w:left="0" w:right="0"/>
              <w:rPr>
                <w:rFonts w:hint="eastAsia" w:eastAsia="宋体"/>
                <w:color w:val="auto"/>
                <w:sz w:val="18"/>
                <w:szCs w:val="18"/>
                <w:highlight w:val="none"/>
                <w:lang w:val="en-US" w:eastAsia="zh-CN"/>
              </w:rPr>
            </w:pPr>
            <w:r>
              <w:rPr>
                <w:rFonts w:hint="eastAsia"/>
                <w:color w:val="auto"/>
                <w:sz w:val="18"/>
                <w:szCs w:val="18"/>
                <w:highlight w:val="none"/>
                <w:lang w:val="en-US" w:eastAsia="zh-CN"/>
              </w:rPr>
              <w:t>5</w:t>
            </w:r>
          </w:p>
        </w:tc>
        <w:tc>
          <w:tcPr>
            <w:tcW w:w="705"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工布江达县</w:t>
            </w:r>
          </w:p>
        </w:tc>
        <w:tc>
          <w:tcPr>
            <w:tcW w:w="94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扎西折蚌沟水源地</w:t>
            </w:r>
          </w:p>
        </w:tc>
        <w:tc>
          <w:tcPr>
            <w:tcW w:w="72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地市级</w:t>
            </w:r>
          </w:p>
        </w:tc>
        <w:tc>
          <w:tcPr>
            <w:tcW w:w="84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201</w:t>
            </w:r>
            <w:r>
              <w:rPr>
                <w:rFonts w:hint="eastAsia"/>
                <w:color w:val="auto"/>
                <w:sz w:val="18"/>
                <w:szCs w:val="18"/>
                <w:highlight w:val="none"/>
                <w:lang w:val="en-US" w:eastAsia="zh-CN"/>
              </w:rPr>
              <w:t>7.8.26</w:t>
            </w:r>
          </w:p>
        </w:tc>
        <w:tc>
          <w:tcPr>
            <w:tcW w:w="73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河流</w:t>
            </w:r>
          </w:p>
        </w:tc>
        <w:tc>
          <w:tcPr>
            <w:tcW w:w="3400"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水域长度：取水口上游1000m至下游沉淀池，以及两条河汇合处往上再上1000米范围内河道水域；水域宽度为整个河道范围；陆域长度：一级保护区水域；陆域宽度：两岸纵深至左右侧山脊线范围</w:t>
            </w:r>
          </w:p>
        </w:tc>
        <w:tc>
          <w:tcPr>
            <w:tcW w:w="425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水域长度：一级保护区以外上溯2000米、下延200米水域；水域宽度：二级保护区水域河长；陆域长度：沿岸长度为一级保护区水域河长；陆域宽度：2条支流分别划分保护区范围，陆域边界都是左右两侧山脊，若有重叠，整个都是二级保护区</w:t>
            </w:r>
          </w:p>
        </w:tc>
        <w:tc>
          <w:tcPr>
            <w:tcW w:w="174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w:t>
            </w:r>
          </w:p>
        </w:tc>
        <w:tc>
          <w:tcPr>
            <w:tcW w:w="978"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藏政函[2017]195号</w:t>
            </w:r>
          </w:p>
        </w:tc>
        <w:tc>
          <w:tcPr>
            <w:tcW w:w="78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林芝</w:t>
            </w:r>
            <w:r>
              <w:rPr>
                <w:rFonts w:hint="eastAsia"/>
                <w:color w:val="auto"/>
                <w:sz w:val="18"/>
                <w:szCs w:val="18"/>
                <w:highlight w:val="none"/>
              </w:rPr>
              <w:t>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6</w:t>
            </w:r>
          </w:p>
        </w:tc>
        <w:tc>
          <w:tcPr>
            <w:tcW w:w="70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朗县</w:t>
            </w:r>
          </w:p>
        </w:tc>
        <w:tc>
          <w:tcPr>
            <w:tcW w:w="94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新区水厂</w:t>
            </w:r>
          </w:p>
        </w:tc>
        <w:tc>
          <w:tcPr>
            <w:tcW w:w="72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地市级</w:t>
            </w:r>
          </w:p>
        </w:tc>
        <w:tc>
          <w:tcPr>
            <w:tcW w:w="84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201</w:t>
            </w:r>
            <w:r>
              <w:rPr>
                <w:rFonts w:hint="eastAsia"/>
                <w:color w:val="auto"/>
                <w:sz w:val="18"/>
                <w:szCs w:val="18"/>
                <w:highlight w:val="none"/>
                <w:lang w:val="en-US" w:eastAsia="zh-CN"/>
              </w:rPr>
              <w:t>7.8.26</w:t>
            </w:r>
          </w:p>
        </w:tc>
        <w:tc>
          <w:tcPr>
            <w:tcW w:w="73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地下水</w:t>
            </w:r>
          </w:p>
        </w:tc>
        <w:tc>
          <w:tcPr>
            <w:tcW w:w="3400" w:type="dxa"/>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以取水井为中心，各自半径30米范围内</w:t>
            </w:r>
          </w:p>
        </w:tc>
        <w:tc>
          <w:tcPr>
            <w:tcW w:w="4257" w:type="dxa"/>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以取水井为中心，各自半径30米至60m的影响半径</w:t>
            </w:r>
          </w:p>
        </w:tc>
        <w:tc>
          <w:tcPr>
            <w:tcW w:w="174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w:t>
            </w:r>
          </w:p>
        </w:tc>
        <w:tc>
          <w:tcPr>
            <w:tcW w:w="978"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藏政函[2017]195号</w:t>
            </w:r>
          </w:p>
        </w:tc>
        <w:tc>
          <w:tcPr>
            <w:tcW w:w="78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林芝</w:t>
            </w:r>
            <w:r>
              <w:rPr>
                <w:rFonts w:hint="eastAsia"/>
                <w:color w:val="auto"/>
                <w:sz w:val="18"/>
                <w:szCs w:val="18"/>
                <w:highlight w:val="none"/>
              </w:rPr>
              <w:t>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7</w:t>
            </w:r>
          </w:p>
        </w:tc>
        <w:tc>
          <w:tcPr>
            <w:tcW w:w="70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波密县</w:t>
            </w:r>
          </w:p>
        </w:tc>
        <w:tc>
          <w:tcPr>
            <w:tcW w:w="94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卓龙沟水源地</w:t>
            </w:r>
          </w:p>
        </w:tc>
        <w:tc>
          <w:tcPr>
            <w:tcW w:w="72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地市级</w:t>
            </w:r>
          </w:p>
        </w:tc>
        <w:tc>
          <w:tcPr>
            <w:tcW w:w="84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201</w:t>
            </w:r>
            <w:r>
              <w:rPr>
                <w:rFonts w:hint="eastAsia"/>
                <w:color w:val="auto"/>
                <w:sz w:val="18"/>
                <w:szCs w:val="18"/>
                <w:highlight w:val="none"/>
                <w:lang w:val="en-US" w:eastAsia="zh-CN"/>
              </w:rPr>
              <w:t>7.8.26</w:t>
            </w:r>
          </w:p>
        </w:tc>
        <w:tc>
          <w:tcPr>
            <w:tcW w:w="73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河流</w:t>
            </w:r>
          </w:p>
        </w:tc>
        <w:tc>
          <w:tcPr>
            <w:tcW w:w="3400"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水域长度：取水口上游2000m卓龙沟的全部水域；水域宽度：河道范围；陆域长度：与水域长度一致；陆域宽度：一级保护区水域两岸各纵深200m的范围</w:t>
            </w:r>
          </w:p>
        </w:tc>
        <w:tc>
          <w:tcPr>
            <w:tcW w:w="4257"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水域长度：一级保护区上游边界向上延伸1500米至卓龙寺；水域宽度：河道宽度；陆域长度：同二级保护区水域长度；陆域宽度：二级保护区水域宽度两岸纵深200m的范围</w:t>
            </w:r>
          </w:p>
        </w:tc>
        <w:tc>
          <w:tcPr>
            <w:tcW w:w="174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w:t>
            </w:r>
          </w:p>
        </w:tc>
        <w:tc>
          <w:tcPr>
            <w:tcW w:w="978"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藏政函[2017]195号</w:t>
            </w:r>
          </w:p>
        </w:tc>
        <w:tc>
          <w:tcPr>
            <w:tcW w:w="78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林芝</w:t>
            </w:r>
            <w:r>
              <w:rPr>
                <w:rFonts w:hint="eastAsia"/>
                <w:color w:val="auto"/>
                <w:sz w:val="18"/>
                <w:szCs w:val="18"/>
                <w:highlight w:val="none"/>
              </w:rPr>
              <w:t>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8</w:t>
            </w:r>
          </w:p>
        </w:tc>
        <w:tc>
          <w:tcPr>
            <w:tcW w:w="70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墨脱县</w:t>
            </w:r>
          </w:p>
        </w:tc>
        <w:tc>
          <w:tcPr>
            <w:tcW w:w="94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卓玛拉上厦不容河水源地</w:t>
            </w:r>
          </w:p>
        </w:tc>
        <w:tc>
          <w:tcPr>
            <w:tcW w:w="72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地市级</w:t>
            </w:r>
          </w:p>
        </w:tc>
        <w:tc>
          <w:tcPr>
            <w:tcW w:w="84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201</w:t>
            </w:r>
            <w:r>
              <w:rPr>
                <w:rFonts w:hint="eastAsia"/>
                <w:color w:val="auto"/>
                <w:sz w:val="18"/>
                <w:szCs w:val="18"/>
                <w:highlight w:val="none"/>
                <w:lang w:val="en-US" w:eastAsia="zh-CN"/>
              </w:rPr>
              <w:t>7.8.26</w:t>
            </w:r>
          </w:p>
        </w:tc>
        <w:tc>
          <w:tcPr>
            <w:tcW w:w="73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河流</w:t>
            </w:r>
          </w:p>
        </w:tc>
        <w:tc>
          <w:tcPr>
            <w:tcW w:w="3400"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水域长度：巴日曲1号取水口下游200m至取水口上游整个溪沟水域；水域宽度：引水渠渠道水域宽度；陆域长度：水域长度相一致；陆域宽度：水域两岸延伸至地表水分水岭处（即两侧山脊线）的范围</w:t>
            </w:r>
          </w:p>
        </w:tc>
        <w:tc>
          <w:tcPr>
            <w:tcW w:w="4257"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一级保护区已将整个取水口以上的汇水区域划入，故不需要划定二级保护区</w:t>
            </w:r>
          </w:p>
        </w:tc>
        <w:tc>
          <w:tcPr>
            <w:tcW w:w="174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w:t>
            </w:r>
          </w:p>
        </w:tc>
        <w:tc>
          <w:tcPr>
            <w:tcW w:w="978"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藏政函[2017]195号</w:t>
            </w:r>
          </w:p>
        </w:tc>
        <w:tc>
          <w:tcPr>
            <w:tcW w:w="78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林芝</w:t>
            </w:r>
            <w:r>
              <w:rPr>
                <w:rFonts w:hint="eastAsia"/>
                <w:color w:val="auto"/>
                <w:sz w:val="18"/>
                <w:szCs w:val="18"/>
                <w:highlight w:val="none"/>
              </w:rPr>
              <w:t>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9</w:t>
            </w:r>
          </w:p>
        </w:tc>
        <w:tc>
          <w:tcPr>
            <w:tcW w:w="70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察隅县</w:t>
            </w:r>
          </w:p>
        </w:tc>
        <w:tc>
          <w:tcPr>
            <w:tcW w:w="94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白东曲水源地</w:t>
            </w:r>
          </w:p>
        </w:tc>
        <w:tc>
          <w:tcPr>
            <w:tcW w:w="72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地市级</w:t>
            </w:r>
          </w:p>
        </w:tc>
        <w:tc>
          <w:tcPr>
            <w:tcW w:w="84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201</w:t>
            </w:r>
            <w:r>
              <w:rPr>
                <w:rFonts w:hint="eastAsia"/>
                <w:color w:val="auto"/>
                <w:sz w:val="18"/>
                <w:szCs w:val="18"/>
                <w:highlight w:val="none"/>
                <w:lang w:val="en-US" w:eastAsia="zh-CN"/>
              </w:rPr>
              <w:t>7.8.26</w:t>
            </w:r>
          </w:p>
        </w:tc>
        <w:tc>
          <w:tcPr>
            <w:tcW w:w="73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河流</w:t>
            </w:r>
          </w:p>
        </w:tc>
        <w:tc>
          <w:tcPr>
            <w:tcW w:w="3400"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水域长度：取水口上游1000米、下游100米范围内的河道水域；水域宽度：整个河道范围；陆域长度：沿岸长度确定为1100米；陆域宽度：沿岸纵深与河岸的水平距离不小于200米</w:t>
            </w:r>
          </w:p>
        </w:tc>
        <w:tc>
          <w:tcPr>
            <w:tcW w:w="4257"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水域长度：一级保护区的上游边界向上游延伸2000米，下游延伸200米范围内的水域；水域宽度：引水渠渠道水域宽度；陆域长度：一级保护区的上游边界向上游延伸2000米，一级保护区下游边界向下游延伸200米，全长3300米；陆域宽度：一级保护区陆域范围外侧至分水岭之间的陆地范围</w:t>
            </w:r>
          </w:p>
        </w:tc>
        <w:tc>
          <w:tcPr>
            <w:tcW w:w="174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w:t>
            </w:r>
          </w:p>
        </w:tc>
        <w:tc>
          <w:tcPr>
            <w:tcW w:w="978"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藏政函[2017]195号</w:t>
            </w:r>
          </w:p>
        </w:tc>
        <w:tc>
          <w:tcPr>
            <w:tcW w:w="78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林芝</w:t>
            </w:r>
            <w:r>
              <w:rPr>
                <w:rFonts w:hint="eastAsia"/>
                <w:color w:val="auto"/>
                <w:sz w:val="18"/>
                <w:szCs w:val="18"/>
                <w:highlight w:val="none"/>
              </w:rPr>
              <w:t>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10</w:t>
            </w:r>
          </w:p>
        </w:tc>
        <w:tc>
          <w:tcPr>
            <w:tcW w:w="70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察隅县</w:t>
            </w:r>
          </w:p>
        </w:tc>
        <w:tc>
          <w:tcPr>
            <w:tcW w:w="94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巴拉沟水源地</w:t>
            </w:r>
          </w:p>
        </w:tc>
        <w:tc>
          <w:tcPr>
            <w:tcW w:w="72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地市级</w:t>
            </w:r>
          </w:p>
        </w:tc>
        <w:tc>
          <w:tcPr>
            <w:tcW w:w="84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201</w:t>
            </w:r>
            <w:r>
              <w:rPr>
                <w:rFonts w:hint="eastAsia"/>
                <w:color w:val="auto"/>
                <w:sz w:val="18"/>
                <w:szCs w:val="18"/>
                <w:highlight w:val="none"/>
                <w:lang w:val="en-US" w:eastAsia="zh-CN"/>
              </w:rPr>
              <w:t>7.8.26</w:t>
            </w:r>
          </w:p>
        </w:tc>
        <w:tc>
          <w:tcPr>
            <w:tcW w:w="73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河流</w:t>
            </w:r>
          </w:p>
        </w:tc>
        <w:tc>
          <w:tcPr>
            <w:tcW w:w="3400"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水域长度：取水口上游1000米、下游1000米范围内的河道水域；水域宽度：整个河道范围；陆域长度：沿岸长度确定为1100米；陆域宽度：沿岸纵深与河岸的水平距离不小于200米</w:t>
            </w:r>
          </w:p>
        </w:tc>
        <w:tc>
          <w:tcPr>
            <w:tcW w:w="4257"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水域长度：一级保护区上游边界向上延伸2000、下游延伸水域宽度200米范围内的水域；水域宽度：引水渠渠道水域宽度；陆域长度：一级保护区的上游边界向上游延伸2000米，一级保护区下游边界向下游延伸200米，全长3300米；陆域宽度：一级保护区路域范围外侧至分水岭之间的陆地范围</w:t>
            </w:r>
          </w:p>
        </w:tc>
        <w:tc>
          <w:tcPr>
            <w:tcW w:w="174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w:t>
            </w:r>
          </w:p>
        </w:tc>
        <w:tc>
          <w:tcPr>
            <w:tcW w:w="978"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藏政函[2017]195号</w:t>
            </w:r>
          </w:p>
        </w:tc>
        <w:tc>
          <w:tcPr>
            <w:tcW w:w="78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林芝</w:t>
            </w:r>
            <w:r>
              <w:rPr>
                <w:rFonts w:hint="eastAsia"/>
                <w:color w:val="auto"/>
                <w:sz w:val="18"/>
                <w:szCs w:val="18"/>
                <w:highlight w:val="none"/>
              </w:rPr>
              <w:t>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11</w:t>
            </w:r>
          </w:p>
        </w:tc>
        <w:tc>
          <w:tcPr>
            <w:tcW w:w="705"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察隅县</w:t>
            </w:r>
          </w:p>
        </w:tc>
        <w:tc>
          <w:tcPr>
            <w:tcW w:w="94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吉太沟（现有）水源地</w:t>
            </w:r>
          </w:p>
        </w:tc>
        <w:tc>
          <w:tcPr>
            <w:tcW w:w="72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地市级</w:t>
            </w:r>
          </w:p>
        </w:tc>
        <w:tc>
          <w:tcPr>
            <w:tcW w:w="84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201</w:t>
            </w:r>
            <w:r>
              <w:rPr>
                <w:rFonts w:hint="eastAsia"/>
                <w:color w:val="auto"/>
                <w:sz w:val="18"/>
                <w:szCs w:val="18"/>
                <w:highlight w:val="none"/>
                <w:lang w:val="en-US" w:eastAsia="zh-CN"/>
              </w:rPr>
              <w:t>7.8.26</w:t>
            </w:r>
          </w:p>
        </w:tc>
        <w:tc>
          <w:tcPr>
            <w:tcW w:w="73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河流</w:t>
            </w:r>
          </w:p>
        </w:tc>
        <w:tc>
          <w:tcPr>
            <w:tcW w:w="3400"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水域长度：吉太沟现有水源地下游100米范围内的河道水域；水域宽度：整个河道范围；陆域长度：沿岸长度确定为1900米；陆域宽度：沿岸纵深与河岸的水平距离不小于200米</w:t>
            </w:r>
          </w:p>
        </w:tc>
        <w:tc>
          <w:tcPr>
            <w:tcW w:w="425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水域长度：一级保护区的上游边界向上游延伸2000米、下游延伸200米范围内的水域；水域宽度：引水渠渠道水域宽度；陆域长度：一级保护区的上游边界向上游延伸2000米，一级保护区下游边界向下游延伸200米，全长3300米；陆域宽度：一级保护区路域范围外侧至分水岭之间的陆地范围</w:t>
            </w:r>
          </w:p>
        </w:tc>
        <w:tc>
          <w:tcPr>
            <w:tcW w:w="174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w:t>
            </w:r>
          </w:p>
        </w:tc>
        <w:tc>
          <w:tcPr>
            <w:tcW w:w="978"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藏政函[2017]195号</w:t>
            </w:r>
          </w:p>
        </w:tc>
        <w:tc>
          <w:tcPr>
            <w:tcW w:w="78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林芝</w:t>
            </w:r>
            <w:r>
              <w:rPr>
                <w:rFonts w:hint="eastAsia"/>
                <w:color w:val="auto"/>
                <w:sz w:val="18"/>
                <w:szCs w:val="18"/>
                <w:highlight w:val="none"/>
              </w:rPr>
              <w:t>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12</w:t>
            </w:r>
          </w:p>
        </w:tc>
        <w:tc>
          <w:tcPr>
            <w:tcW w:w="70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察隅县</w:t>
            </w:r>
          </w:p>
        </w:tc>
        <w:tc>
          <w:tcPr>
            <w:tcW w:w="94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吉太沟（备用）水源地</w:t>
            </w:r>
          </w:p>
        </w:tc>
        <w:tc>
          <w:tcPr>
            <w:tcW w:w="72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地市级</w:t>
            </w:r>
          </w:p>
        </w:tc>
        <w:tc>
          <w:tcPr>
            <w:tcW w:w="84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201</w:t>
            </w:r>
            <w:r>
              <w:rPr>
                <w:rFonts w:hint="eastAsia"/>
                <w:color w:val="auto"/>
                <w:sz w:val="18"/>
                <w:szCs w:val="18"/>
                <w:highlight w:val="none"/>
                <w:lang w:val="en-US" w:eastAsia="zh-CN"/>
              </w:rPr>
              <w:t>7.8.26</w:t>
            </w:r>
          </w:p>
        </w:tc>
        <w:tc>
          <w:tcPr>
            <w:tcW w:w="73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河流</w:t>
            </w:r>
          </w:p>
        </w:tc>
        <w:tc>
          <w:tcPr>
            <w:tcW w:w="3400"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水域长度：吉太沟备用水源地取水口上游1000米；水域宽度：整个河道范围；陆域长度：沿岸长度确定为1900米；陆域宽度：沿岸纵深与河岸的水平距离不小于200米</w:t>
            </w:r>
          </w:p>
        </w:tc>
        <w:tc>
          <w:tcPr>
            <w:tcW w:w="4257" w:type="dxa"/>
            <w:vAlign w:val="center"/>
          </w:tcPr>
          <w:p>
            <w:pPr>
              <w:pStyle w:val="29"/>
              <w:keepNext w:val="0"/>
              <w:keepLines w:val="0"/>
              <w:suppressLineNumbers w:val="0"/>
              <w:tabs>
                <w:tab w:val="left" w:pos="2772"/>
              </w:tabs>
              <w:bidi w:val="0"/>
              <w:spacing w:before="0" w:beforeAutospacing="0" w:after="0" w:afterAutospacing="0"/>
              <w:ind w:left="0" w:right="0"/>
              <w:jc w:val="center"/>
              <w:rPr>
                <w:rFonts w:hint="eastAsia"/>
                <w:color w:val="auto"/>
                <w:sz w:val="18"/>
                <w:szCs w:val="18"/>
                <w:highlight w:val="none"/>
                <w:lang w:val="en-US" w:eastAsia="zh-CN"/>
              </w:rPr>
            </w:pPr>
            <w:r>
              <w:rPr>
                <w:rFonts w:hint="eastAsia"/>
                <w:color w:val="auto"/>
                <w:sz w:val="18"/>
                <w:szCs w:val="18"/>
                <w:highlight w:val="none"/>
                <w:lang w:val="en-US" w:eastAsia="zh-CN"/>
              </w:rPr>
              <w:t>水域长度：一级保护区的上游边界向上游延伸2000米、下游延伸2000米、、下游延伸200米范围内的水域；水域宽度：引水渠渠道水域宽度；陆域长度：一级保护区的上游边界向上游延伸2000米，一级保护区下游边界向下游延伸200米，全长3300米；陆域宽度：一级保护区路域范围外侧至分水岭之间的陆地范围</w:t>
            </w:r>
          </w:p>
        </w:tc>
        <w:tc>
          <w:tcPr>
            <w:tcW w:w="174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w:t>
            </w:r>
          </w:p>
        </w:tc>
        <w:tc>
          <w:tcPr>
            <w:tcW w:w="978"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藏政函[2017]195号</w:t>
            </w:r>
          </w:p>
        </w:tc>
        <w:tc>
          <w:tcPr>
            <w:tcW w:w="78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林芝</w:t>
            </w:r>
            <w:r>
              <w:rPr>
                <w:rFonts w:hint="eastAsia"/>
                <w:color w:val="auto"/>
                <w:sz w:val="18"/>
                <w:szCs w:val="18"/>
                <w:highlight w:val="none"/>
              </w:rPr>
              <w:t>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13</w:t>
            </w:r>
          </w:p>
        </w:tc>
        <w:tc>
          <w:tcPr>
            <w:tcW w:w="70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米林县</w:t>
            </w:r>
          </w:p>
        </w:tc>
        <w:tc>
          <w:tcPr>
            <w:tcW w:w="94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南伊河水源地</w:t>
            </w:r>
          </w:p>
        </w:tc>
        <w:tc>
          <w:tcPr>
            <w:tcW w:w="720"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地市级</w:t>
            </w:r>
          </w:p>
        </w:tc>
        <w:tc>
          <w:tcPr>
            <w:tcW w:w="840" w:type="dxa"/>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201</w:t>
            </w:r>
            <w:r>
              <w:rPr>
                <w:rFonts w:hint="eastAsia"/>
                <w:color w:val="auto"/>
                <w:sz w:val="18"/>
                <w:szCs w:val="18"/>
                <w:highlight w:val="none"/>
                <w:lang w:val="en-US" w:eastAsia="zh-CN"/>
              </w:rPr>
              <w:t>9.11.8</w:t>
            </w:r>
          </w:p>
        </w:tc>
        <w:tc>
          <w:tcPr>
            <w:tcW w:w="735" w:type="dxa"/>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河流</w:t>
            </w:r>
          </w:p>
        </w:tc>
        <w:tc>
          <w:tcPr>
            <w:tcW w:w="3400"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水域长度：取水口上游1000m至下游100m的河道水域；水域宽度：整个河道范围；陆域长度：取水口上游1000m至下游100m；陆域宽度：河岸两侧50米以内的陆域</w:t>
            </w:r>
          </w:p>
        </w:tc>
        <w:tc>
          <w:tcPr>
            <w:tcW w:w="4257"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水域长度：一级保护区上游边界2000米和一级保护区下游边界200m的河道水域；水域宽度：整个河道范围；陆域长度：一级保护区的上游边界2000米，一级保护区下游边界200米；陆域宽度：河岸两侧1000m以内的陆域，遇分水岭以流域分水岭为界</w:t>
            </w:r>
          </w:p>
        </w:tc>
        <w:tc>
          <w:tcPr>
            <w:tcW w:w="1745" w:type="dxa"/>
            <w:vAlign w:val="center"/>
          </w:tcPr>
          <w:p>
            <w:pPr>
              <w:pStyle w:val="29"/>
              <w:keepNext w:val="0"/>
              <w:keepLines w:val="0"/>
              <w:suppressLineNumbers w:val="0"/>
              <w:bidi w:val="0"/>
              <w:spacing w:before="0" w:beforeAutospacing="0" w:after="0" w:afterAutospacing="0"/>
              <w:ind w:left="0" w:right="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978"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藏政函[2019]76号</w:t>
            </w:r>
          </w:p>
        </w:tc>
        <w:tc>
          <w:tcPr>
            <w:tcW w:w="787" w:type="dxa"/>
            <w:vAlign w:val="center"/>
          </w:tcPr>
          <w:p>
            <w:pPr>
              <w:pStyle w:val="29"/>
              <w:keepNext w:val="0"/>
              <w:keepLines w:val="0"/>
              <w:suppressLineNumbers w:val="0"/>
              <w:bidi w:val="0"/>
              <w:spacing w:before="0" w:beforeAutospacing="0" w:after="0" w:afterAutospacing="0"/>
              <w:ind w:left="0" w:right="0"/>
              <w:rPr>
                <w:rFonts w:hint="eastAsia"/>
                <w:color w:val="auto"/>
                <w:sz w:val="18"/>
                <w:szCs w:val="18"/>
                <w:highlight w:val="none"/>
                <w:lang w:val="en-US" w:eastAsia="zh-CN"/>
              </w:rPr>
            </w:pPr>
            <w:r>
              <w:rPr>
                <w:rFonts w:hint="eastAsia"/>
                <w:color w:val="auto"/>
                <w:sz w:val="18"/>
                <w:szCs w:val="18"/>
                <w:highlight w:val="none"/>
                <w:lang w:val="en-US" w:eastAsia="zh-CN"/>
              </w:rPr>
              <w:t>林芝</w:t>
            </w:r>
            <w:r>
              <w:rPr>
                <w:rFonts w:hint="eastAsia"/>
                <w:color w:val="auto"/>
                <w:sz w:val="18"/>
                <w:szCs w:val="18"/>
                <w:highlight w:val="none"/>
              </w:rPr>
              <w:t>市政府</w:t>
            </w:r>
          </w:p>
        </w:tc>
      </w:tr>
    </w:tbl>
    <w:p>
      <w:pPr>
        <w:pStyle w:val="6"/>
        <w:rPr>
          <w:rFonts w:hint="eastAsia"/>
          <w:color w:val="FF0000"/>
          <w:highlight w:val="none"/>
        </w:rPr>
        <w:sectPr>
          <w:pgSz w:w="16838" w:h="11906" w:orient="landscape"/>
          <w:pgMar w:top="1800" w:right="1440" w:bottom="1800" w:left="1440" w:header="851" w:footer="992" w:gutter="0"/>
          <w:pgNumType w:fmt="decimal"/>
          <w:cols w:space="425" w:num="1"/>
          <w:docGrid w:type="lines" w:linePitch="312" w:charSpace="0"/>
        </w:sectPr>
      </w:pPr>
    </w:p>
    <w:p>
      <w:pPr>
        <w:pStyle w:val="6"/>
        <w:bidi w:val="0"/>
        <w:rPr>
          <w:rFonts w:hint="eastAsia"/>
          <w:b/>
          <w:bCs/>
          <w:color w:val="auto"/>
          <w:highlight w:val="none"/>
        </w:rPr>
      </w:pPr>
      <w:r>
        <w:rPr>
          <w:rFonts w:hint="eastAsia"/>
          <w:b/>
          <w:bCs/>
          <w:color w:val="auto"/>
          <w:highlight w:val="none"/>
          <w:lang w:val="en-US" w:eastAsia="zh-CN"/>
        </w:rPr>
        <w:t>（2）</w:t>
      </w:r>
      <w:r>
        <w:rPr>
          <w:rFonts w:hint="eastAsia"/>
          <w:b/>
          <w:bCs/>
          <w:color w:val="auto"/>
          <w:highlight w:val="none"/>
        </w:rPr>
        <w:t>乡镇级饮用水水源保护区</w:t>
      </w:r>
    </w:p>
    <w:p>
      <w:pPr>
        <w:pStyle w:val="6"/>
        <w:bidi w:val="0"/>
        <w:rPr>
          <w:color w:val="auto"/>
          <w:highlight w:val="none"/>
        </w:rPr>
      </w:pPr>
      <w:r>
        <w:rPr>
          <w:rFonts w:hint="eastAsia"/>
          <w:color w:val="auto"/>
          <w:highlight w:val="none"/>
          <w:lang w:val="en-US" w:eastAsia="zh-CN"/>
        </w:rPr>
        <w:t>根据《林芝市人民政府关于审定37个乡镇饮用水水源地保护区划定方案的批复》，林芝市</w:t>
      </w:r>
      <w:r>
        <w:rPr>
          <w:rFonts w:hint="eastAsia"/>
          <w:color w:val="auto"/>
          <w:highlight w:val="none"/>
        </w:rPr>
        <w:t>划定有</w:t>
      </w:r>
      <w:r>
        <w:rPr>
          <w:rFonts w:hint="eastAsia"/>
          <w:color w:val="auto"/>
          <w:highlight w:val="none"/>
          <w:lang w:val="en-US" w:eastAsia="zh-CN"/>
        </w:rPr>
        <w:t>37</w:t>
      </w:r>
      <w:r>
        <w:rPr>
          <w:rFonts w:hint="eastAsia"/>
          <w:color w:val="auto"/>
          <w:highlight w:val="none"/>
        </w:rPr>
        <w:t>个乡镇级饮用水水源保护区</w:t>
      </w:r>
      <w:r>
        <w:rPr>
          <w:rFonts w:hint="eastAsia"/>
          <w:color w:val="auto"/>
          <w:highlight w:val="none"/>
          <w:lang w:eastAsia="zh-CN"/>
        </w:rPr>
        <w:t>，</w:t>
      </w:r>
      <w:r>
        <w:rPr>
          <w:rFonts w:hint="eastAsia"/>
          <w:color w:val="auto"/>
          <w:highlight w:val="none"/>
        </w:rPr>
        <w:t>其中一级保护区面积</w:t>
      </w:r>
      <w:r>
        <w:rPr>
          <w:rFonts w:hint="eastAsia"/>
          <w:color w:val="auto"/>
          <w:highlight w:val="none"/>
          <w:lang w:val="en-US" w:eastAsia="zh-CN"/>
        </w:rPr>
        <w:t>1.5516</w:t>
      </w:r>
      <w:r>
        <w:rPr>
          <w:rFonts w:hint="eastAsia"/>
          <w:color w:val="auto"/>
          <w:highlight w:val="none"/>
        </w:rPr>
        <w:t>km</w:t>
      </w:r>
      <w:r>
        <w:rPr>
          <w:rFonts w:hint="eastAsia"/>
          <w:color w:val="auto"/>
          <w:highlight w:val="none"/>
          <w:vertAlign w:val="superscript"/>
        </w:rPr>
        <w:t>2</w:t>
      </w:r>
      <w:r>
        <w:rPr>
          <w:rFonts w:hint="eastAsia"/>
          <w:color w:val="auto"/>
          <w:highlight w:val="none"/>
        </w:rPr>
        <w:t>，二级保护区面积</w:t>
      </w:r>
      <w:r>
        <w:rPr>
          <w:rFonts w:hint="eastAsia"/>
          <w:color w:val="auto"/>
          <w:highlight w:val="none"/>
          <w:lang w:val="en-US" w:eastAsia="zh-CN"/>
        </w:rPr>
        <w:t>4.2282</w:t>
      </w:r>
      <w:r>
        <w:rPr>
          <w:rFonts w:hint="eastAsia"/>
          <w:color w:val="auto"/>
          <w:highlight w:val="none"/>
        </w:rPr>
        <w:t>km</w:t>
      </w:r>
      <w:r>
        <w:rPr>
          <w:rFonts w:hint="eastAsia"/>
          <w:color w:val="auto"/>
          <w:highlight w:val="none"/>
          <w:vertAlign w:val="superscript"/>
        </w:rPr>
        <w:t>2</w:t>
      </w:r>
      <w:r>
        <w:rPr>
          <w:rFonts w:hint="eastAsia"/>
          <w:color w:val="auto"/>
          <w:highlight w:val="none"/>
        </w:rPr>
        <w:t>，具体见附件。</w:t>
      </w:r>
    </w:p>
    <w:p>
      <w:pPr>
        <w:pStyle w:val="6"/>
        <w:bidi w:val="0"/>
        <w:rPr>
          <w:rFonts w:hint="eastAsia"/>
          <w:b/>
          <w:bCs/>
          <w:highlight w:val="none"/>
        </w:rPr>
      </w:pPr>
      <w:r>
        <w:rPr>
          <w:rFonts w:hint="eastAsia"/>
          <w:b/>
          <w:bCs/>
          <w:highlight w:val="none"/>
          <w:lang w:val="en-US" w:eastAsia="zh-CN"/>
        </w:rPr>
        <w:t>6、</w:t>
      </w:r>
      <w:r>
        <w:rPr>
          <w:rFonts w:hint="eastAsia"/>
          <w:b/>
          <w:bCs/>
          <w:highlight w:val="none"/>
        </w:rPr>
        <w:t>文物保护单位</w:t>
      </w:r>
      <w:bookmarkEnd w:id="56"/>
    </w:p>
    <w:p>
      <w:pPr>
        <w:pStyle w:val="6"/>
        <w:bidi w:val="0"/>
        <w:rPr>
          <w:rFonts w:hint="eastAsia"/>
          <w:color w:val="auto"/>
          <w:highlight w:val="none"/>
        </w:rPr>
      </w:pPr>
      <w:r>
        <w:rPr>
          <w:rFonts w:hint="eastAsia"/>
          <w:color w:val="auto"/>
          <w:highlight w:val="none"/>
          <w:lang w:val="en-US" w:eastAsia="zh-CN"/>
        </w:rPr>
        <w:t>林芝市</w:t>
      </w:r>
      <w:r>
        <w:rPr>
          <w:rFonts w:hint="eastAsia"/>
          <w:color w:val="auto"/>
          <w:highlight w:val="none"/>
        </w:rPr>
        <w:t>目前有各级文物保护单位</w:t>
      </w:r>
      <w:r>
        <w:rPr>
          <w:rFonts w:hint="eastAsia"/>
          <w:color w:val="auto"/>
          <w:highlight w:val="none"/>
          <w:lang w:val="en-US" w:eastAsia="zh-CN"/>
        </w:rPr>
        <w:t>282处</w:t>
      </w:r>
      <w:r>
        <w:rPr>
          <w:rFonts w:hint="eastAsia"/>
          <w:color w:val="auto"/>
          <w:highlight w:val="none"/>
        </w:rPr>
        <w:t>，其中国家级文物保护单位</w:t>
      </w:r>
      <w:r>
        <w:rPr>
          <w:rFonts w:hint="eastAsia"/>
          <w:color w:val="auto"/>
          <w:highlight w:val="none"/>
          <w:lang w:val="en-US" w:eastAsia="zh-CN"/>
        </w:rPr>
        <w:t>2</w:t>
      </w:r>
      <w:r>
        <w:rPr>
          <w:rFonts w:hint="eastAsia"/>
          <w:color w:val="auto"/>
          <w:highlight w:val="none"/>
        </w:rPr>
        <w:t>项，省级文物保护单位</w:t>
      </w:r>
      <w:r>
        <w:rPr>
          <w:rFonts w:hint="eastAsia"/>
          <w:color w:val="auto"/>
          <w:highlight w:val="none"/>
          <w:lang w:val="en-US" w:eastAsia="zh-CN"/>
        </w:rPr>
        <w:t>52</w:t>
      </w:r>
      <w:r>
        <w:rPr>
          <w:rFonts w:hint="eastAsia"/>
          <w:color w:val="auto"/>
          <w:highlight w:val="none"/>
        </w:rPr>
        <w:t>项，</w:t>
      </w:r>
      <w:r>
        <w:rPr>
          <w:rFonts w:hint="eastAsia"/>
          <w:color w:val="auto"/>
          <w:highlight w:val="none"/>
          <w:lang w:val="en-US" w:eastAsia="zh-CN"/>
        </w:rPr>
        <w:t>市、县级</w:t>
      </w:r>
      <w:r>
        <w:rPr>
          <w:rFonts w:hint="eastAsia"/>
          <w:color w:val="auto"/>
          <w:highlight w:val="none"/>
        </w:rPr>
        <w:t>文物保护单位</w:t>
      </w:r>
      <w:r>
        <w:rPr>
          <w:rFonts w:hint="eastAsia"/>
          <w:color w:val="auto"/>
          <w:highlight w:val="none"/>
          <w:lang w:val="en-US" w:eastAsia="zh-CN"/>
        </w:rPr>
        <w:t>82</w:t>
      </w:r>
      <w:r>
        <w:rPr>
          <w:rFonts w:hint="eastAsia"/>
          <w:color w:val="auto"/>
          <w:highlight w:val="none"/>
        </w:rPr>
        <w:t>项，</w:t>
      </w:r>
      <w:r>
        <w:rPr>
          <w:rFonts w:hint="eastAsia"/>
          <w:color w:val="auto"/>
          <w:highlight w:val="none"/>
          <w:lang w:val="en-US" w:eastAsia="zh-CN"/>
        </w:rPr>
        <w:t>其他不可移动文物146项。</w:t>
      </w:r>
    </w:p>
    <w:p>
      <w:pPr>
        <w:pStyle w:val="6"/>
        <w:bidi w:val="0"/>
        <w:rPr>
          <w:rFonts w:hint="eastAsia"/>
          <w:color w:val="auto"/>
          <w:highlight w:val="none"/>
        </w:rPr>
      </w:pPr>
      <w:r>
        <w:rPr>
          <w:rFonts w:hint="eastAsia"/>
          <w:color w:val="auto"/>
          <w:highlight w:val="none"/>
        </w:rPr>
        <w:t>其他环境敏感区根据各行政主管部门划定要求执行。</w:t>
      </w:r>
      <w:bookmarkStart w:id="57" w:name="_Toc21698"/>
    </w:p>
    <w:p>
      <w:pPr>
        <w:pStyle w:val="4"/>
        <w:bidi w:val="0"/>
        <w:rPr>
          <w:rFonts w:hint="eastAsia"/>
          <w:highlight w:val="none"/>
        </w:rPr>
      </w:pPr>
      <w:bookmarkStart w:id="58" w:name="_Toc2816"/>
      <w:r>
        <w:rPr>
          <w:rFonts w:hint="eastAsia"/>
          <w:highlight w:val="none"/>
        </w:rPr>
        <w:t>1.9工作程序</w:t>
      </w:r>
      <w:bookmarkEnd w:id="57"/>
      <w:bookmarkEnd w:id="58"/>
    </w:p>
    <w:p>
      <w:pPr>
        <w:pStyle w:val="6"/>
        <w:bidi w:val="0"/>
        <w:rPr>
          <w:rFonts w:hint="eastAsia"/>
          <w:color w:val="auto"/>
          <w:highlight w:val="none"/>
        </w:rPr>
      </w:pPr>
      <w:r>
        <w:rPr>
          <w:rFonts w:hint="eastAsia"/>
          <w:color w:val="auto"/>
          <w:highlight w:val="none"/>
        </w:rPr>
        <w:t>本次规划环评工作按照《规划环境影响评价技术导则 总纲》（HJ130-2019）相关要求安排，技术流程见图1-1。</w:t>
      </w:r>
    </w:p>
    <w:p>
      <w:pPr>
        <w:pStyle w:val="6"/>
        <w:bidi w:val="0"/>
        <w:ind w:left="0" w:leftChars="0" w:firstLine="0" w:firstLineChars="0"/>
        <w:jc w:val="center"/>
        <w:rPr>
          <w:rFonts w:hint="eastAsia"/>
          <w:color w:val="auto"/>
          <w:highlight w:val="none"/>
        </w:rPr>
      </w:pPr>
      <w:r>
        <w:rPr>
          <w:rFonts w:ascii="Times New Roman" w:hAnsi="Times New Roman" w:eastAsia="宋体" w:cs="Times New Roman"/>
          <w:color w:val="auto"/>
          <w:sz w:val="28"/>
          <w:szCs w:val="28"/>
          <w:highlight w:val="none"/>
        </w:rPr>
        <w:drawing>
          <wp:inline distT="0" distB="0" distL="114935" distR="114935">
            <wp:extent cx="4161790" cy="4696460"/>
            <wp:effectExtent l="0" t="0" r="1016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rcRect/>
                    <a:stretch>
                      <a:fillRect/>
                    </a:stretch>
                  </pic:blipFill>
                  <pic:spPr>
                    <a:xfrm>
                      <a:off x="0" y="0"/>
                      <a:ext cx="4161790" cy="4696460"/>
                    </a:xfrm>
                    <a:prstGeom prst="rect">
                      <a:avLst/>
                    </a:prstGeom>
                  </pic:spPr>
                </pic:pic>
              </a:graphicData>
            </a:graphic>
          </wp:inline>
        </w:drawing>
      </w:r>
    </w:p>
    <w:p>
      <w:pPr>
        <w:pStyle w:val="34"/>
        <w:bidi w:val="0"/>
        <w:rPr>
          <w:rFonts w:hint="eastAsia"/>
          <w:color w:val="auto"/>
          <w:highlight w:val="none"/>
        </w:rPr>
      </w:pPr>
      <w:r>
        <w:rPr>
          <w:rFonts w:hint="eastAsia"/>
          <w:color w:val="auto"/>
          <w:highlight w:val="none"/>
        </w:rPr>
        <w:t>图1</w:t>
      </w:r>
      <w:r>
        <w:rPr>
          <w:rFonts w:hint="eastAsia"/>
          <w:color w:val="auto"/>
          <w:highlight w:val="none"/>
          <w:lang w:val="en-US" w:eastAsia="zh-CN"/>
        </w:rPr>
        <w:t>.9</w:t>
      </w:r>
      <w:r>
        <w:rPr>
          <w:rFonts w:hint="eastAsia"/>
          <w:color w:val="auto"/>
          <w:highlight w:val="none"/>
        </w:rPr>
        <w:t>-1   本次规划环境影响评价技术流程图</w:t>
      </w:r>
    </w:p>
    <w:p>
      <w:pPr>
        <w:pStyle w:val="6"/>
        <w:bidi w:val="0"/>
        <w:rPr>
          <w:color w:val="auto"/>
          <w:highlight w:val="none"/>
        </w:rPr>
        <w:sectPr>
          <w:pgSz w:w="11906" w:h="16838"/>
          <w:pgMar w:top="1440" w:right="1800" w:bottom="1440" w:left="1800" w:header="851" w:footer="992" w:gutter="0"/>
          <w:pgNumType w:fmt="decimal"/>
          <w:cols w:space="425" w:num="1"/>
          <w:docGrid w:type="lines" w:linePitch="312" w:charSpace="0"/>
        </w:sectPr>
      </w:pPr>
    </w:p>
    <w:p>
      <w:pPr>
        <w:pStyle w:val="3"/>
        <w:bidi w:val="0"/>
        <w:rPr>
          <w:color w:val="auto"/>
          <w:highlight w:val="none"/>
        </w:rPr>
      </w:pPr>
      <w:bookmarkStart w:id="59" w:name="_Toc32269"/>
      <w:r>
        <w:rPr>
          <w:rFonts w:hint="eastAsia"/>
          <w:color w:val="auto"/>
          <w:highlight w:val="none"/>
        </w:rPr>
        <w:t>2规划分析</w:t>
      </w:r>
      <w:bookmarkEnd w:id="59"/>
    </w:p>
    <w:p>
      <w:pPr>
        <w:pStyle w:val="4"/>
        <w:bidi w:val="0"/>
        <w:rPr>
          <w:rFonts w:hint="eastAsia"/>
          <w:color w:val="auto"/>
          <w:highlight w:val="none"/>
        </w:rPr>
      </w:pPr>
      <w:bookmarkStart w:id="60" w:name="_Toc3145"/>
      <w:r>
        <w:rPr>
          <w:rFonts w:hint="eastAsia"/>
          <w:color w:val="auto"/>
          <w:highlight w:val="none"/>
        </w:rPr>
        <w:t>2.1规划概述</w:t>
      </w:r>
      <w:bookmarkEnd w:id="60"/>
    </w:p>
    <w:p>
      <w:pPr>
        <w:pStyle w:val="5"/>
        <w:bidi w:val="0"/>
        <w:rPr>
          <w:rFonts w:hint="default"/>
          <w:color w:val="auto"/>
          <w:highlight w:val="none"/>
          <w:lang w:val="en-US" w:eastAsia="zh-CN"/>
        </w:rPr>
      </w:pPr>
      <w:bookmarkStart w:id="61" w:name="_Toc17238"/>
      <w:r>
        <w:rPr>
          <w:rFonts w:hint="eastAsia"/>
          <w:color w:val="auto"/>
          <w:highlight w:val="none"/>
          <w:lang w:val="en-US" w:eastAsia="zh-CN"/>
        </w:rPr>
        <w:t>2.1.1规划总体安排</w:t>
      </w:r>
      <w:bookmarkEnd w:id="61"/>
    </w:p>
    <w:p>
      <w:pPr>
        <w:pStyle w:val="2"/>
        <w:bidi w:val="0"/>
        <w:rPr>
          <w:rFonts w:hint="eastAsia"/>
          <w:color w:val="auto"/>
          <w:highlight w:val="none"/>
        </w:rPr>
      </w:pPr>
      <w:r>
        <w:rPr>
          <w:rFonts w:hint="eastAsia"/>
          <w:color w:val="auto"/>
          <w:highlight w:val="none"/>
        </w:rPr>
        <w:t>2.</w:t>
      </w:r>
      <w:r>
        <w:rPr>
          <w:rFonts w:hint="eastAsia"/>
          <w:color w:val="auto"/>
          <w:highlight w:val="none"/>
          <w:lang w:val="en-US" w:eastAsia="zh-CN"/>
        </w:rPr>
        <w:t>1</w:t>
      </w:r>
      <w:r>
        <w:rPr>
          <w:rFonts w:hint="eastAsia"/>
          <w:color w:val="auto"/>
          <w:highlight w:val="none"/>
        </w:rPr>
        <w:t>.1</w:t>
      </w:r>
      <w:r>
        <w:rPr>
          <w:rFonts w:hint="eastAsia"/>
          <w:color w:val="auto"/>
          <w:highlight w:val="none"/>
          <w:lang w:val="en-US" w:eastAsia="zh-CN"/>
        </w:rPr>
        <w:t>.1</w:t>
      </w:r>
      <w:r>
        <w:rPr>
          <w:rFonts w:hint="eastAsia"/>
          <w:color w:val="auto"/>
          <w:highlight w:val="none"/>
        </w:rPr>
        <w:t>规划范围</w:t>
      </w:r>
    </w:p>
    <w:p>
      <w:pPr>
        <w:pStyle w:val="6"/>
        <w:bidi w:val="0"/>
        <w:rPr>
          <w:rFonts w:hint="eastAsia" w:eastAsia="宋体"/>
          <w:color w:val="auto"/>
          <w:highlight w:val="none"/>
          <w:lang w:eastAsia="zh-CN"/>
        </w:rPr>
      </w:pPr>
      <w:r>
        <w:rPr>
          <w:rFonts w:hint="eastAsia"/>
          <w:color w:val="auto"/>
          <w:highlight w:val="none"/>
        </w:rPr>
        <w:t>本次规划范围为林芝市行政管辖范围，具体包括巴宜区、米林县、朗县、工布江达县、波密县、墨脱县、察隅县七个县区，</w:t>
      </w:r>
      <w:r>
        <w:rPr>
          <w:rFonts w:hint="eastAsia"/>
          <w:color w:val="auto"/>
          <w:highlight w:val="none"/>
          <w:lang w:val="en-US" w:eastAsia="zh-CN"/>
        </w:rPr>
        <w:t>共7.6</w:t>
      </w:r>
      <w:r>
        <w:rPr>
          <w:rFonts w:hint="eastAsia"/>
          <w:color w:val="auto"/>
          <w:highlight w:val="none"/>
        </w:rPr>
        <w:t>万平方公里</w:t>
      </w:r>
      <w:r>
        <w:rPr>
          <w:rFonts w:hint="eastAsia"/>
          <w:color w:val="auto"/>
          <w:highlight w:val="none"/>
          <w:lang w:eastAsia="zh-CN"/>
        </w:rPr>
        <w:t>。</w:t>
      </w:r>
    </w:p>
    <w:p>
      <w:pPr>
        <w:pStyle w:val="2"/>
        <w:bidi w:val="0"/>
        <w:rPr>
          <w:rFonts w:hint="eastAsia"/>
          <w:color w:val="auto"/>
          <w:highlight w:val="none"/>
        </w:rPr>
      </w:pPr>
      <w:r>
        <w:rPr>
          <w:rFonts w:hint="eastAsia"/>
          <w:color w:val="auto"/>
          <w:highlight w:val="none"/>
        </w:rPr>
        <w:t>2.</w:t>
      </w:r>
      <w:r>
        <w:rPr>
          <w:rFonts w:hint="eastAsia"/>
          <w:color w:val="auto"/>
          <w:highlight w:val="none"/>
          <w:lang w:val="en-US" w:eastAsia="zh-CN"/>
        </w:rPr>
        <w:t>1</w:t>
      </w:r>
      <w:r>
        <w:rPr>
          <w:rFonts w:hint="eastAsia"/>
          <w:color w:val="auto"/>
          <w:highlight w:val="none"/>
        </w:rPr>
        <w:t>.1</w:t>
      </w:r>
      <w:r>
        <w:rPr>
          <w:rFonts w:hint="eastAsia"/>
          <w:color w:val="auto"/>
          <w:highlight w:val="none"/>
          <w:lang w:val="en-US" w:eastAsia="zh-CN"/>
        </w:rPr>
        <w:t>.2</w:t>
      </w:r>
      <w:r>
        <w:rPr>
          <w:rFonts w:hint="eastAsia"/>
          <w:color w:val="auto"/>
          <w:highlight w:val="none"/>
        </w:rPr>
        <w:t>规划期限</w:t>
      </w:r>
    </w:p>
    <w:p>
      <w:pPr>
        <w:pStyle w:val="6"/>
        <w:bidi w:val="0"/>
        <w:rPr>
          <w:rFonts w:hint="eastAsia"/>
          <w:color w:val="auto"/>
          <w:highlight w:val="none"/>
        </w:rPr>
      </w:pPr>
      <w:r>
        <w:rPr>
          <w:rFonts w:hint="eastAsia"/>
          <w:color w:val="auto"/>
          <w:highlight w:val="none"/>
        </w:rPr>
        <w:t>本次规划年限为201</w:t>
      </w:r>
      <w:r>
        <w:rPr>
          <w:rFonts w:hint="eastAsia"/>
          <w:color w:val="auto"/>
          <w:highlight w:val="none"/>
          <w:lang w:val="en-US" w:eastAsia="zh-CN"/>
        </w:rPr>
        <w:t>8</w:t>
      </w:r>
      <w:r>
        <w:rPr>
          <w:rFonts w:hint="eastAsia"/>
          <w:color w:val="auto"/>
          <w:highlight w:val="none"/>
        </w:rPr>
        <w:t>年至20</w:t>
      </w:r>
      <w:r>
        <w:rPr>
          <w:rFonts w:hint="eastAsia"/>
          <w:color w:val="auto"/>
          <w:highlight w:val="none"/>
          <w:lang w:val="en-US" w:eastAsia="zh-CN"/>
        </w:rPr>
        <w:t>25</w:t>
      </w:r>
      <w:r>
        <w:rPr>
          <w:rFonts w:hint="eastAsia"/>
          <w:color w:val="auto"/>
          <w:highlight w:val="none"/>
        </w:rPr>
        <w:t>年，其中201</w:t>
      </w:r>
      <w:r>
        <w:rPr>
          <w:rFonts w:hint="eastAsia"/>
          <w:color w:val="auto"/>
          <w:highlight w:val="none"/>
          <w:lang w:val="en-US" w:eastAsia="zh-CN"/>
        </w:rPr>
        <w:t>8</w:t>
      </w:r>
      <w:r>
        <w:rPr>
          <w:rFonts w:hint="eastAsia"/>
          <w:color w:val="auto"/>
          <w:highlight w:val="none"/>
        </w:rPr>
        <w:t>~2020年为近期；2021~202</w:t>
      </w:r>
      <w:r>
        <w:rPr>
          <w:rFonts w:hint="eastAsia"/>
          <w:color w:val="auto"/>
          <w:highlight w:val="none"/>
          <w:lang w:val="en-US" w:eastAsia="zh-CN"/>
        </w:rPr>
        <w:t>3</w:t>
      </w:r>
      <w:r>
        <w:rPr>
          <w:rFonts w:hint="eastAsia"/>
          <w:color w:val="auto"/>
          <w:highlight w:val="none"/>
        </w:rPr>
        <w:t>年为中期；202</w:t>
      </w:r>
      <w:r>
        <w:rPr>
          <w:rFonts w:hint="eastAsia"/>
          <w:color w:val="auto"/>
          <w:highlight w:val="none"/>
          <w:lang w:val="en-US" w:eastAsia="zh-CN"/>
        </w:rPr>
        <w:t>4</w:t>
      </w:r>
      <w:r>
        <w:rPr>
          <w:rFonts w:hint="eastAsia"/>
          <w:color w:val="auto"/>
          <w:highlight w:val="none"/>
        </w:rPr>
        <w:t>~20</w:t>
      </w:r>
      <w:r>
        <w:rPr>
          <w:rFonts w:hint="eastAsia"/>
          <w:color w:val="auto"/>
          <w:highlight w:val="none"/>
          <w:lang w:val="en-US" w:eastAsia="zh-CN"/>
        </w:rPr>
        <w:t>25</w:t>
      </w:r>
      <w:r>
        <w:rPr>
          <w:rFonts w:hint="eastAsia"/>
          <w:color w:val="auto"/>
          <w:highlight w:val="none"/>
        </w:rPr>
        <w:t>年为远期。</w:t>
      </w:r>
    </w:p>
    <w:p>
      <w:pPr>
        <w:pStyle w:val="2"/>
        <w:bidi w:val="0"/>
        <w:rPr>
          <w:rFonts w:hint="eastAsia"/>
          <w:color w:val="auto"/>
          <w:highlight w:val="none"/>
        </w:rPr>
      </w:pPr>
      <w:r>
        <w:rPr>
          <w:rFonts w:hint="eastAsia"/>
          <w:color w:val="auto"/>
          <w:highlight w:val="none"/>
        </w:rPr>
        <w:t>2.</w:t>
      </w:r>
      <w:r>
        <w:rPr>
          <w:rFonts w:hint="eastAsia"/>
          <w:color w:val="auto"/>
          <w:highlight w:val="none"/>
          <w:lang w:val="en-US" w:eastAsia="zh-CN"/>
        </w:rPr>
        <w:t>1</w:t>
      </w:r>
      <w:r>
        <w:rPr>
          <w:rFonts w:hint="eastAsia"/>
          <w:color w:val="auto"/>
          <w:highlight w:val="none"/>
        </w:rPr>
        <w:t>.1</w:t>
      </w:r>
      <w:r>
        <w:rPr>
          <w:rFonts w:hint="eastAsia"/>
          <w:color w:val="auto"/>
          <w:highlight w:val="none"/>
          <w:lang w:val="en-US" w:eastAsia="zh-CN"/>
        </w:rPr>
        <w:t>.3</w:t>
      </w:r>
      <w:r>
        <w:rPr>
          <w:rFonts w:hint="eastAsia"/>
          <w:color w:val="auto"/>
          <w:highlight w:val="none"/>
        </w:rPr>
        <w:t>规划定位</w:t>
      </w:r>
    </w:p>
    <w:p>
      <w:pPr>
        <w:pStyle w:val="6"/>
        <w:bidi w:val="0"/>
        <w:rPr>
          <w:rFonts w:hint="default"/>
          <w:color w:val="auto"/>
          <w:highlight w:val="none"/>
          <w:lang w:val="en-US" w:eastAsia="zh-CN"/>
        </w:rPr>
      </w:pPr>
      <w:r>
        <w:rPr>
          <w:rFonts w:hint="default"/>
          <w:color w:val="auto"/>
          <w:highlight w:val="none"/>
          <w:lang w:val="en-US" w:eastAsia="zh-CN"/>
        </w:rPr>
        <w:t>旅游形象定位：人间净地·醉美林芝</w:t>
      </w:r>
    </w:p>
    <w:p>
      <w:pPr>
        <w:pStyle w:val="6"/>
        <w:bidi w:val="0"/>
        <w:rPr>
          <w:rFonts w:hint="default"/>
          <w:color w:val="auto"/>
          <w:highlight w:val="none"/>
          <w:lang w:val="en-US" w:eastAsia="zh-CN"/>
        </w:rPr>
      </w:pPr>
      <w:r>
        <w:rPr>
          <w:rFonts w:hint="default"/>
          <w:color w:val="auto"/>
          <w:highlight w:val="none"/>
          <w:lang w:val="en-US" w:eastAsia="zh-CN"/>
        </w:rPr>
        <w:t>发展定位：世界级高原生态旅游度假目的地、世界级公路旅游目的地</w:t>
      </w:r>
      <w:r>
        <w:rPr>
          <w:rFonts w:hint="eastAsia"/>
          <w:color w:val="auto"/>
          <w:highlight w:val="none"/>
          <w:lang w:val="en-US" w:eastAsia="zh-CN"/>
        </w:rPr>
        <w:t>。</w:t>
      </w:r>
    </w:p>
    <w:p>
      <w:pPr>
        <w:pStyle w:val="2"/>
        <w:bidi w:val="0"/>
        <w:rPr>
          <w:rFonts w:hint="eastAsia"/>
          <w:color w:val="auto"/>
          <w:highlight w:val="none"/>
        </w:rPr>
      </w:pPr>
      <w:r>
        <w:rPr>
          <w:rFonts w:hint="eastAsia"/>
          <w:color w:val="auto"/>
          <w:highlight w:val="none"/>
        </w:rPr>
        <w:t>2.</w:t>
      </w:r>
      <w:r>
        <w:rPr>
          <w:rFonts w:hint="eastAsia"/>
          <w:color w:val="auto"/>
          <w:highlight w:val="none"/>
          <w:lang w:val="en-US" w:eastAsia="zh-CN"/>
        </w:rPr>
        <w:t>1</w:t>
      </w:r>
      <w:r>
        <w:rPr>
          <w:rFonts w:hint="eastAsia"/>
          <w:color w:val="auto"/>
          <w:highlight w:val="none"/>
        </w:rPr>
        <w:t>.1.</w:t>
      </w:r>
      <w:r>
        <w:rPr>
          <w:rFonts w:hint="eastAsia"/>
          <w:color w:val="auto"/>
          <w:highlight w:val="none"/>
          <w:lang w:val="en-US" w:eastAsia="zh-CN"/>
        </w:rPr>
        <w:t>4</w:t>
      </w:r>
      <w:r>
        <w:rPr>
          <w:rFonts w:hint="eastAsia"/>
          <w:color w:val="auto"/>
          <w:highlight w:val="none"/>
        </w:rPr>
        <w:t>发展目标</w:t>
      </w:r>
    </w:p>
    <w:p>
      <w:pPr>
        <w:pStyle w:val="6"/>
        <w:bidi w:val="0"/>
        <w:rPr>
          <w:rFonts w:hint="eastAsia"/>
          <w:color w:val="auto"/>
          <w:highlight w:val="none"/>
        </w:rPr>
      </w:pPr>
      <w:r>
        <w:rPr>
          <w:rFonts w:hint="eastAsia"/>
          <w:color w:val="auto"/>
          <w:highlight w:val="none"/>
        </w:rPr>
        <w:t>近期（2018</w:t>
      </w:r>
      <w:r>
        <w:rPr>
          <w:rFonts w:hint="eastAsia"/>
          <w:color w:val="auto"/>
          <w:highlight w:val="none"/>
          <w:lang w:val="en-US" w:eastAsia="zh-CN"/>
        </w:rPr>
        <w:t>~</w:t>
      </w:r>
      <w:r>
        <w:rPr>
          <w:rFonts w:hint="eastAsia"/>
          <w:color w:val="auto"/>
          <w:highlight w:val="none"/>
        </w:rPr>
        <w:t>2020年）：搭建全域旅游发展平台和目的地服务体系，成为国家全域旅游示范区。力争至2020年年接待旅游者850.53万人次，旅游收入达到79.74亿元；旅游业增加值对GDP综合贡献在15%或以上；旅游税收占地方财政收入10%或以上；旅游直接从业人员达1.8万人，带动就业逾6万人，占就业总数的综合贡献20%或以上；从事旅游业的农牧民达1.5万人，人均增收1.5万元，年纯收入20%或以上源于旅游收入。</w:t>
      </w:r>
    </w:p>
    <w:p>
      <w:pPr>
        <w:pStyle w:val="6"/>
        <w:bidi w:val="0"/>
        <w:rPr>
          <w:rFonts w:hint="eastAsia"/>
          <w:color w:val="auto"/>
          <w:highlight w:val="none"/>
        </w:rPr>
      </w:pPr>
      <w:r>
        <w:rPr>
          <w:rFonts w:hint="eastAsia"/>
          <w:color w:val="auto"/>
          <w:highlight w:val="none"/>
        </w:rPr>
        <w:t>中期（2021</w:t>
      </w:r>
      <w:r>
        <w:rPr>
          <w:rFonts w:hint="eastAsia"/>
          <w:color w:val="auto"/>
          <w:highlight w:val="none"/>
          <w:lang w:val="en-US" w:eastAsia="zh-CN"/>
        </w:rPr>
        <w:t>~</w:t>
      </w:r>
      <w:r>
        <w:rPr>
          <w:rFonts w:hint="eastAsia"/>
          <w:color w:val="auto"/>
          <w:highlight w:val="none"/>
        </w:rPr>
        <w:t>-2023年）：融合创新、全域拓展，实现旅游基础及服务设施全域覆盖，旅游产业竞争力稳步提升。</w:t>
      </w:r>
    </w:p>
    <w:p>
      <w:pPr>
        <w:pStyle w:val="6"/>
        <w:bidi w:val="0"/>
        <w:rPr>
          <w:rFonts w:hint="eastAsia"/>
          <w:color w:val="auto"/>
          <w:highlight w:val="none"/>
        </w:rPr>
      </w:pPr>
      <w:r>
        <w:rPr>
          <w:rFonts w:hint="eastAsia"/>
          <w:color w:val="auto"/>
          <w:highlight w:val="none"/>
        </w:rPr>
        <w:t>远期（2024</w:t>
      </w:r>
      <w:r>
        <w:rPr>
          <w:rFonts w:hint="eastAsia"/>
          <w:color w:val="auto"/>
          <w:highlight w:val="none"/>
          <w:lang w:val="en-US" w:eastAsia="zh-CN"/>
        </w:rPr>
        <w:t>~</w:t>
      </w:r>
      <w:r>
        <w:rPr>
          <w:rFonts w:hint="eastAsia"/>
          <w:color w:val="auto"/>
          <w:highlight w:val="none"/>
        </w:rPr>
        <w:t>2025年）：提升品质，逐步跨越，晋身世界级高原生态旅游度假目的地和世界级公路旅游目的地。</w:t>
      </w:r>
    </w:p>
    <w:p>
      <w:pPr>
        <w:pStyle w:val="2"/>
        <w:bidi w:val="0"/>
        <w:rPr>
          <w:rFonts w:hint="eastAsia"/>
          <w:color w:val="auto"/>
          <w:highlight w:val="none"/>
        </w:rPr>
      </w:pPr>
      <w:r>
        <w:rPr>
          <w:rFonts w:hint="eastAsia"/>
          <w:color w:val="auto"/>
          <w:highlight w:val="none"/>
        </w:rPr>
        <w:t>2.</w:t>
      </w:r>
      <w:r>
        <w:rPr>
          <w:rFonts w:hint="eastAsia"/>
          <w:color w:val="auto"/>
          <w:highlight w:val="none"/>
          <w:lang w:val="en-US" w:eastAsia="zh-CN"/>
        </w:rPr>
        <w:t>1</w:t>
      </w:r>
      <w:r>
        <w:rPr>
          <w:rFonts w:hint="eastAsia"/>
          <w:color w:val="auto"/>
          <w:highlight w:val="none"/>
        </w:rPr>
        <w:t>.1.</w:t>
      </w:r>
      <w:r>
        <w:rPr>
          <w:rFonts w:hint="eastAsia"/>
          <w:color w:val="auto"/>
          <w:highlight w:val="none"/>
          <w:lang w:val="en-US" w:eastAsia="zh-CN"/>
        </w:rPr>
        <w:t>5</w:t>
      </w:r>
      <w:r>
        <w:rPr>
          <w:rFonts w:hint="eastAsia"/>
          <w:color w:val="auto"/>
          <w:highlight w:val="none"/>
        </w:rPr>
        <w:t>发展战略</w:t>
      </w:r>
    </w:p>
    <w:p>
      <w:pPr>
        <w:pStyle w:val="6"/>
        <w:bidi w:val="0"/>
        <w:rPr>
          <w:rFonts w:hint="eastAsia" w:eastAsia="宋体"/>
          <w:color w:val="auto"/>
          <w:highlight w:val="none"/>
          <w:lang w:eastAsia="zh-CN"/>
        </w:rPr>
      </w:pPr>
      <w:r>
        <w:rPr>
          <w:rFonts w:hint="eastAsia"/>
          <w:color w:val="auto"/>
          <w:highlight w:val="none"/>
        </w:rPr>
        <w:t>从市场到政府，搭建全域旅游大平台</w:t>
      </w:r>
      <w:r>
        <w:rPr>
          <w:rFonts w:hint="eastAsia"/>
          <w:color w:val="auto"/>
          <w:highlight w:val="none"/>
          <w:lang w:eastAsia="zh-CN"/>
        </w:rPr>
        <w:t>，</w:t>
      </w:r>
      <w:r>
        <w:rPr>
          <w:rFonts w:hint="eastAsia"/>
          <w:color w:val="auto"/>
          <w:highlight w:val="none"/>
        </w:rPr>
        <w:t>强化政府统筹职能，搭建全域旅游发展平台，激发多边协作。立足自身资源、紧跟市场需求、围绕旅游体验、创新旅游产品，快速构建核心吸引力。从景区到产业，逐步培育全域旅游核心竞争力推动泛景区化旅游目的地建设，发展15个泛景区化旅游目的地，形成“一主轴三环线”旅游发展带，引导旅游产业集聚。从配套到服务，形成全域旅游体验链</w:t>
      </w:r>
      <w:r>
        <w:rPr>
          <w:rFonts w:hint="eastAsia"/>
          <w:color w:val="auto"/>
          <w:highlight w:val="none"/>
          <w:lang w:eastAsia="zh-CN"/>
        </w:rPr>
        <w:t>，</w:t>
      </w:r>
      <w:r>
        <w:rPr>
          <w:rFonts w:hint="eastAsia"/>
          <w:color w:val="auto"/>
          <w:highlight w:val="none"/>
        </w:rPr>
        <w:t>加快公共服务体系建设，优化服务供给，形成优质旅游体验链。从旅游业到城镇化，实现城旅共荣</w:t>
      </w:r>
      <w:r>
        <w:rPr>
          <w:rFonts w:hint="eastAsia"/>
          <w:color w:val="auto"/>
          <w:highlight w:val="none"/>
          <w:lang w:eastAsia="zh-CN"/>
        </w:rPr>
        <w:t>，推动旅游与城市一体化发展。</w:t>
      </w:r>
    </w:p>
    <w:p>
      <w:pPr>
        <w:pStyle w:val="2"/>
        <w:bidi w:val="0"/>
        <w:rPr>
          <w:color w:val="auto"/>
          <w:highlight w:val="none"/>
        </w:rPr>
      </w:pPr>
      <w:r>
        <w:rPr>
          <w:rFonts w:hint="eastAsia"/>
          <w:color w:val="auto"/>
          <w:highlight w:val="none"/>
        </w:rPr>
        <w:t>2.</w:t>
      </w:r>
      <w:r>
        <w:rPr>
          <w:rFonts w:hint="eastAsia"/>
          <w:color w:val="auto"/>
          <w:highlight w:val="none"/>
          <w:lang w:val="en-US" w:eastAsia="zh-CN"/>
        </w:rPr>
        <w:t>1</w:t>
      </w:r>
      <w:r>
        <w:rPr>
          <w:rFonts w:hint="eastAsia"/>
          <w:color w:val="auto"/>
          <w:highlight w:val="none"/>
        </w:rPr>
        <w:t>.1.</w:t>
      </w:r>
      <w:r>
        <w:rPr>
          <w:rFonts w:hint="eastAsia"/>
          <w:color w:val="auto"/>
          <w:highlight w:val="none"/>
          <w:lang w:val="en-US" w:eastAsia="zh-CN"/>
        </w:rPr>
        <w:t>6</w:t>
      </w:r>
      <w:r>
        <w:rPr>
          <w:rFonts w:hint="eastAsia"/>
          <w:color w:val="auto"/>
          <w:highlight w:val="none"/>
        </w:rPr>
        <w:t>空间布局</w:t>
      </w:r>
    </w:p>
    <w:p>
      <w:pPr>
        <w:pStyle w:val="6"/>
        <w:bidi w:val="0"/>
        <w:rPr>
          <w:rFonts w:hint="eastAsia"/>
          <w:color w:val="auto"/>
          <w:highlight w:val="none"/>
        </w:rPr>
      </w:pPr>
      <w:r>
        <w:rPr>
          <w:rFonts w:hint="eastAsia"/>
          <w:color w:val="auto"/>
          <w:highlight w:val="none"/>
        </w:rPr>
        <w:t>构建“一城、一主轴三环线、六大主题旅游县、十五个泛景区化旅游目的地”的全域空间格局。</w:t>
      </w:r>
    </w:p>
    <w:p>
      <w:pPr>
        <w:pStyle w:val="6"/>
        <w:numPr>
          <w:ilvl w:val="0"/>
          <w:numId w:val="1"/>
        </w:numPr>
        <w:bidi w:val="0"/>
        <w:ind w:left="40" w:leftChars="0" w:firstLineChars="0"/>
        <w:rPr>
          <w:rFonts w:hint="eastAsia"/>
          <w:b/>
          <w:bCs/>
          <w:color w:val="auto"/>
          <w:highlight w:val="none"/>
        </w:rPr>
      </w:pPr>
      <w:r>
        <w:rPr>
          <w:rFonts w:hint="eastAsia"/>
          <w:b/>
          <w:bCs/>
          <w:color w:val="auto"/>
          <w:highlight w:val="none"/>
        </w:rPr>
        <w:t>一城</w:t>
      </w:r>
    </w:p>
    <w:p>
      <w:pPr>
        <w:pStyle w:val="6"/>
        <w:bidi w:val="0"/>
        <w:rPr>
          <w:rFonts w:hint="eastAsia"/>
          <w:color w:val="auto"/>
          <w:highlight w:val="none"/>
          <w:lang w:eastAsia="zh-CN"/>
        </w:rPr>
      </w:pPr>
      <w:r>
        <w:rPr>
          <w:rFonts w:hint="eastAsia"/>
          <w:color w:val="auto"/>
          <w:highlight w:val="none"/>
        </w:rPr>
        <w:t>巴宜区：藏域江南美丽巴宜，发展“全域旅游中心城”</w:t>
      </w:r>
      <w:r>
        <w:rPr>
          <w:rFonts w:hint="eastAsia"/>
          <w:color w:val="auto"/>
          <w:highlight w:val="none"/>
          <w:lang w:eastAsia="zh-CN"/>
        </w:rPr>
        <w:t>。</w:t>
      </w:r>
    </w:p>
    <w:p>
      <w:pPr>
        <w:pStyle w:val="6"/>
        <w:bidi w:val="0"/>
        <w:rPr>
          <w:rFonts w:hint="eastAsia"/>
          <w:color w:val="auto"/>
          <w:highlight w:val="none"/>
          <w:lang w:eastAsia="zh-CN"/>
        </w:rPr>
      </w:pPr>
      <w:r>
        <w:rPr>
          <w:rFonts w:hint="eastAsia"/>
          <w:color w:val="auto"/>
          <w:highlight w:val="none"/>
          <w:lang w:eastAsia="zh-CN"/>
        </w:rPr>
        <w:t>进一步扩大“藏域江南 美丽巴宜”的旅游主题影响力，构建“一核·两轴·四镇”的旅游空间格局以及“1+5”的全区产业格局，发挥旅游综合服务功能，建设“林芝旅游中心城”；重点发展工布原乡“城郊休闲”及鲁朗小镇“风情小镇” 两大泛景区化旅游目的地，同时将鲁朗小镇列为全市近期积极打造的标志性项目。</w:t>
      </w:r>
    </w:p>
    <w:p>
      <w:pPr>
        <w:pStyle w:val="6"/>
        <w:bidi w:val="0"/>
        <w:rPr>
          <w:rFonts w:hint="eastAsia"/>
          <w:b/>
          <w:bCs/>
          <w:color w:val="auto"/>
          <w:highlight w:val="none"/>
        </w:rPr>
      </w:pPr>
      <w:r>
        <w:rPr>
          <w:rFonts w:hint="eastAsia"/>
          <w:b/>
          <w:bCs/>
          <w:color w:val="auto"/>
          <w:highlight w:val="none"/>
          <w:lang w:val="en-US" w:eastAsia="zh-CN"/>
        </w:rPr>
        <w:t>2、</w:t>
      </w:r>
      <w:r>
        <w:rPr>
          <w:rFonts w:hint="eastAsia"/>
          <w:b/>
          <w:bCs/>
          <w:color w:val="auto"/>
          <w:highlight w:val="none"/>
        </w:rPr>
        <w:t>“一主轴三环线”旅游发展带</w:t>
      </w:r>
    </w:p>
    <w:p>
      <w:pPr>
        <w:pStyle w:val="6"/>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1条主轴：G318-G559-G219（丙察察）沿线；</w:t>
      </w:r>
    </w:p>
    <w:p>
      <w:pPr>
        <w:pStyle w:val="6"/>
        <w:bidi w:val="0"/>
        <w:rPr>
          <w:rFonts w:hint="eastAsia"/>
          <w:color w:val="auto"/>
          <w:highlight w:val="none"/>
        </w:rPr>
      </w:pPr>
      <w:r>
        <w:rPr>
          <w:rFonts w:hint="eastAsia"/>
          <w:color w:val="auto"/>
          <w:highlight w:val="none"/>
        </w:rPr>
        <w:t>沿线集中了尼洋河谷、秀巴古堡、卡定沟、藏东南文化博览园、 鲁朗小镇、色季拉国家森林公园、易贡国家地质公园、嘎朗国家湿地公园、岗云杉林、波堆桃花沟、米堆冰川、然乌湖、察隅自然保护区等多处高等级景区或国家级自然资源，是林芝旅游最精华的段落。</w:t>
      </w:r>
    </w:p>
    <w:p>
      <w:pPr>
        <w:pStyle w:val="6"/>
        <w:numPr>
          <w:ilvl w:val="0"/>
          <w:numId w:val="2"/>
        </w:numPr>
        <w:bidi w:val="0"/>
        <w:rPr>
          <w:rFonts w:hint="eastAsia"/>
          <w:color w:val="auto"/>
          <w:highlight w:val="none"/>
        </w:rPr>
      </w:pPr>
      <w:r>
        <w:rPr>
          <w:rFonts w:hint="eastAsia"/>
          <w:color w:val="auto"/>
          <w:highlight w:val="none"/>
        </w:rPr>
        <w:t>西部环线：G318-S5-G219-G560-X423；</w:t>
      </w:r>
    </w:p>
    <w:p>
      <w:pPr>
        <w:pStyle w:val="6"/>
        <w:bidi w:val="0"/>
        <w:rPr>
          <w:rFonts w:hint="eastAsia"/>
          <w:highlight w:val="none"/>
        </w:rPr>
      </w:pPr>
      <w:r>
        <w:rPr>
          <w:rFonts w:hint="eastAsia"/>
          <w:highlight w:val="none"/>
        </w:rPr>
        <w:t>位于林芝市西部，从工布江达县城出发，向东南沿 G318 经工布江达县、巴宜区后，向西南通向米林县以及朗县，再经 X423 折向北返回工布江达县。沿途不仅可以欣赏壮丽的尼洋河谷及高山荒漠景观，感受浓郁的藏族文化风情，更可接驳著名的“藏东环线”，就近吸引山南市及拉萨市的跨区客源。</w:t>
      </w:r>
    </w:p>
    <w:p>
      <w:pPr>
        <w:pStyle w:val="6"/>
        <w:numPr>
          <w:ilvl w:val="0"/>
          <w:numId w:val="2"/>
        </w:numPr>
        <w:bidi w:val="0"/>
        <w:ind w:left="0" w:leftChars="0" w:firstLine="480" w:firstLineChars="200"/>
        <w:rPr>
          <w:rFonts w:hint="eastAsia"/>
          <w:color w:val="auto"/>
          <w:highlight w:val="none"/>
        </w:rPr>
      </w:pPr>
      <w:r>
        <w:rPr>
          <w:rFonts w:hint="eastAsia"/>
          <w:color w:val="auto"/>
          <w:highlight w:val="none"/>
        </w:rPr>
        <w:t>中部环线：G318-岗派公路-派墨公路-扎墨公路；</w:t>
      </w:r>
    </w:p>
    <w:p>
      <w:pPr>
        <w:pStyle w:val="6"/>
        <w:bidi w:val="0"/>
        <w:rPr>
          <w:rFonts w:hint="eastAsia"/>
          <w:color w:val="auto"/>
          <w:highlight w:val="none"/>
        </w:rPr>
      </w:pPr>
      <w:r>
        <w:rPr>
          <w:rFonts w:hint="eastAsia"/>
          <w:highlight w:val="none"/>
        </w:rPr>
        <w:t>位于林芝市中部，西北起点为巴宜区 G318 与 S4 交汇处，线路向南沿岗派公路至米</w:t>
      </w:r>
      <w:r>
        <w:rPr>
          <w:rFonts w:hint="eastAsia"/>
          <w:color w:val="auto"/>
          <w:highlight w:val="none"/>
        </w:rPr>
        <w:t>林县派镇，接修建中的派墨公路到墨脱县县城，之后继续向东北方向经拓宽中的扎墨公路至波密县扎木镇，最后经 G318（波密县-巴宜区段）折向西南方形成环线。</w:t>
      </w:r>
    </w:p>
    <w:p>
      <w:pPr>
        <w:pStyle w:val="6"/>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东部环线：G318-扎墨公路-墨察公路-G219-G559</w:t>
      </w:r>
      <w:r>
        <w:rPr>
          <w:rFonts w:hint="eastAsia"/>
          <w:color w:val="auto"/>
          <w:highlight w:val="none"/>
          <w:lang w:eastAsia="zh-CN"/>
        </w:rPr>
        <w:t>。</w:t>
      </w:r>
    </w:p>
    <w:p>
      <w:pPr>
        <w:pStyle w:val="6"/>
        <w:bidi w:val="0"/>
        <w:rPr>
          <w:rFonts w:hint="eastAsia"/>
          <w:color w:val="auto"/>
          <w:highlight w:val="none"/>
          <w:lang w:eastAsia="zh-CN"/>
        </w:rPr>
      </w:pPr>
      <w:r>
        <w:rPr>
          <w:rFonts w:hint="eastAsia"/>
          <w:color w:val="auto"/>
          <w:highlight w:val="none"/>
          <w:lang w:eastAsia="zh-CN"/>
        </w:rPr>
        <w:t>位于林芝市东部，西北起点为波密县扎木镇，线路向西南沿扎墨公路至墨脱县县城，其后经规划中的墨察公路折向东南方的察隅县，再先后接 G559 及 G318 回到波密县扎木镇。线路途经中印、中缅边境，以及滇藏、林芝-昌都交界地区，东接“大香格里拉生态旅游圈”，极富神秘迷人的少数民族边塞风情。</w:t>
      </w:r>
    </w:p>
    <w:p>
      <w:pPr>
        <w:pStyle w:val="6"/>
        <w:numPr>
          <w:ilvl w:val="0"/>
          <w:numId w:val="0"/>
        </w:numPr>
        <w:bidi w:val="0"/>
        <w:ind w:left="480" w:leftChars="0"/>
        <w:rPr>
          <w:rFonts w:hint="eastAsia"/>
          <w:b/>
          <w:bCs/>
          <w:color w:val="auto"/>
          <w:highlight w:val="none"/>
        </w:rPr>
      </w:pPr>
      <w:r>
        <w:rPr>
          <w:rFonts w:hint="eastAsia"/>
          <w:b/>
          <w:bCs/>
          <w:color w:val="auto"/>
          <w:highlight w:val="none"/>
          <w:lang w:val="en-US" w:eastAsia="zh-CN"/>
        </w:rPr>
        <w:t>3、</w:t>
      </w:r>
      <w:r>
        <w:rPr>
          <w:rFonts w:hint="eastAsia"/>
          <w:b/>
          <w:bCs/>
          <w:color w:val="auto"/>
          <w:highlight w:val="none"/>
        </w:rPr>
        <w:t>六大主题旅游县</w:t>
      </w:r>
    </w:p>
    <w:p>
      <w:pPr>
        <w:pStyle w:val="6"/>
        <w:bidi w:val="0"/>
        <w:rPr>
          <w:rFonts w:hint="eastAsia"/>
          <w:color w:val="auto"/>
          <w:highlight w:val="none"/>
          <w:lang w:eastAsia="zh-CN"/>
        </w:rPr>
      </w:pPr>
      <w:r>
        <w:rPr>
          <w:rFonts w:hint="eastAsia"/>
          <w:color w:val="auto"/>
          <w:highlight w:val="none"/>
        </w:rPr>
        <w:t>米林县：花谷药洲；朗县：人文藏地；工布江达县：户外天堂；波密县：藏王故里 冰川之乡；墨脱县：雨林秘境；察隅县：滇藏边塞</w:t>
      </w:r>
      <w:r>
        <w:rPr>
          <w:rFonts w:hint="eastAsia"/>
          <w:color w:val="auto"/>
          <w:highlight w:val="none"/>
          <w:lang w:eastAsia="zh-CN"/>
        </w:rPr>
        <w:t>。</w:t>
      </w:r>
    </w:p>
    <w:p>
      <w:pPr>
        <w:pStyle w:val="6"/>
        <w:bidi w:val="0"/>
        <w:rPr>
          <w:rFonts w:hint="eastAsia"/>
          <w:color w:val="auto"/>
          <w:highlight w:val="none"/>
          <w:lang w:val="en-US" w:eastAsia="zh-CN"/>
        </w:rPr>
        <w:sectPr>
          <w:footerReference r:id="rId8" w:type="default"/>
          <w:pgSz w:w="11906" w:h="16838"/>
          <w:pgMar w:top="1440" w:right="1800" w:bottom="1440" w:left="1800" w:header="851" w:footer="992" w:gutter="0"/>
          <w:pgNumType w:fmt="decimal"/>
          <w:cols w:space="425" w:num="1"/>
          <w:docGrid w:type="lines" w:linePitch="312" w:charSpace="0"/>
        </w:sectPr>
      </w:pPr>
    </w:p>
    <w:p>
      <w:pPr>
        <w:pStyle w:val="27"/>
        <w:bidi w:val="0"/>
        <w:rPr>
          <w:rFonts w:hint="default"/>
          <w:color w:val="auto"/>
          <w:highlight w:val="none"/>
          <w:lang w:val="en-US" w:eastAsia="zh-CN"/>
        </w:rPr>
      </w:pPr>
      <w:r>
        <w:rPr>
          <w:rFonts w:hint="eastAsia"/>
          <w:color w:val="auto"/>
          <w:highlight w:val="none"/>
          <w:lang w:val="en-US" w:eastAsia="zh-CN"/>
        </w:rPr>
        <w:t xml:space="preserve">表2.1-1  </w:t>
      </w:r>
      <w:r>
        <w:rPr>
          <w:rFonts w:hint="eastAsia"/>
          <w:b/>
          <w:bCs/>
          <w:color w:val="auto"/>
          <w:highlight w:val="none"/>
        </w:rPr>
        <w:t>六大主题旅游县</w:t>
      </w:r>
      <w:r>
        <w:rPr>
          <w:rFonts w:hint="eastAsia"/>
          <w:color w:val="auto"/>
          <w:highlight w:val="none"/>
        </w:rPr>
        <w:t>发展规划</w:t>
      </w:r>
    </w:p>
    <w:tbl>
      <w:tblPr>
        <w:tblStyle w:val="25"/>
        <w:tblW w:w="51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914"/>
        <w:gridCol w:w="1072"/>
        <w:gridCol w:w="3358"/>
        <w:gridCol w:w="8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4" w:type="pct"/>
            <w:vAlign w:val="center"/>
          </w:tcPr>
          <w:p>
            <w:pPr>
              <w:pStyle w:val="29"/>
              <w:keepNext w:val="0"/>
              <w:keepLines w:val="0"/>
              <w:suppressLineNumbers w:val="0"/>
              <w:bidi w:val="0"/>
              <w:spacing w:before="0" w:beforeAutospacing="0" w:after="0" w:afterAutospacing="0"/>
              <w:ind w:left="0" w:right="0"/>
              <w:jc w:val="center"/>
              <w:rPr>
                <w:rFonts w:hint="default" w:eastAsia="宋体"/>
                <w:b/>
                <w:bCs/>
                <w:color w:val="auto"/>
                <w:highlight w:val="none"/>
                <w:lang w:val="en-US" w:eastAsia="zh-CN"/>
              </w:rPr>
            </w:pPr>
            <w:r>
              <w:rPr>
                <w:rFonts w:hint="eastAsia"/>
                <w:b/>
                <w:bCs/>
                <w:color w:val="auto"/>
                <w:highlight w:val="none"/>
                <w:lang w:val="en-US" w:eastAsia="zh-CN"/>
              </w:rPr>
              <w:t>序号</w:t>
            </w:r>
          </w:p>
        </w:tc>
        <w:tc>
          <w:tcPr>
            <w:tcW w:w="313" w:type="pct"/>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b/>
                <w:bCs/>
                <w:color w:val="auto"/>
                <w:highlight w:val="none"/>
                <w:lang w:val="en-US" w:eastAsia="zh-CN"/>
              </w:rPr>
              <w:t>名称</w:t>
            </w:r>
          </w:p>
        </w:tc>
        <w:tc>
          <w:tcPr>
            <w:tcW w:w="367" w:type="pct"/>
            <w:vAlign w:val="center"/>
          </w:tcPr>
          <w:p>
            <w:pPr>
              <w:pStyle w:val="29"/>
              <w:keepNext w:val="0"/>
              <w:keepLines w:val="0"/>
              <w:suppressLineNumbers w:val="0"/>
              <w:bidi w:val="0"/>
              <w:spacing w:before="0" w:beforeAutospacing="0" w:after="0" w:afterAutospacing="0"/>
              <w:ind w:left="0" w:right="0"/>
              <w:jc w:val="center"/>
              <w:rPr>
                <w:rFonts w:hint="eastAsia"/>
                <w:b/>
                <w:bCs/>
                <w:color w:val="auto"/>
                <w:highlight w:val="none"/>
              </w:rPr>
            </w:pPr>
            <w:r>
              <w:rPr>
                <w:rFonts w:hint="eastAsia"/>
                <w:b/>
                <w:bCs/>
                <w:color w:val="auto"/>
                <w:highlight w:val="none"/>
              </w:rPr>
              <w:t>发展定位</w:t>
            </w:r>
          </w:p>
        </w:tc>
        <w:tc>
          <w:tcPr>
            <w:tcW w:w="1150" w:type="pct"/>
            <w:vAlign w:val="center"/>
          </w:tcPr>
          <w:p>
            <w:pPr>
              <w:pStyle w:val="29"/>
              <w:keepNext w:val="0"/>
              <w:keepLines w:val="0"/>
              <w:suppressLineNumbers w:val="0"/>
              <w:bidi w:val="0"/>
              <w:spacing w:before="0" w:beforeAutospacing="0" w:after="0" w:afterAutospacing="0"/>
              <w:ind w:left="0" w:right="0"/>
              <w:jc w:val="center"/>
              <w:rPr>
                <w:rFonts w:hint="eastAsia"/>
                <w:b/>
                <w:bCs/>
                <w:color w:val="auto"/>
                <w:highlight w:val="none"/>
              </w:rPr>
            </w:pPr>
            <w:r>
              <w:rPr>
                <w:rFonts w:hint="eastAsia"/>
                <w:b/>
                <w:bCs/>
                <w:color w:val="auto"/>
                <w:highlight w:val="none"/>
                <w:lang w:val="en-US" w:eastAsia="zh-CN"/>
              </w:rPr>
              <w:t>发展思路</w:t>
            </w:r>
          </w:p>
        </w:tc>
        <w:tc>
          <w:tcPr>
            <w:tcW w:w="2954" w:type="pct"/>
            <w:vAlign w:val="center"/>
          </w:tcPr>
          <w:p>
            <w:pPr>
              <w:pStyle w:val="29"/>
              <w:keepNext w:val="0"/>
              <w:keepLines w:val="0"/>
              <w:suppressLineNumbers w:val="0"/>
              <w:bidi w:val="0"/>
              <w:spacing w:before="0" w:beforeAutospacing="0" w:after="0" w:afterAutospacing="0"/>
              <w:ind w:left="0" w:right="0"/>
              <w:jc w:val="center"/>
              <w:rPr>
                <w:rFonts w:hint="default" w:eastAsia="宋体"/>
                <w:b/>
                <w:bCs/>
                <w:color w:val="auto"/>
                <w:highlight w:val="none"/>
                <w:lang w:val="en-US" w:eastAsia="zh-CN"/>
              </w:rPr>
            </w:pPr>
            <w:r>
              <w:rPr>
                <w:rFonts w:hint="eastAsia"/>
                <w:b/>
                <w:bCs/>
                <w:color w:val="auto"/>
                <w:highlight w:val="none"/>
                <w:lang w:val="en-US" w:eastAsia="zh-CN"/>
              </w:rPr>
              <w:t>发展指引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1</w:t>
            </w:r>
          </w:p>
        </w:tc>
        <w:tc>
          <w:tcPr>
            <w:tcW w:w="313"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米林县</w:t>
            </w:r>
          </w:p>
        </w:tc>
        <w:tc>
          <w:tcPr>
            <w:tcW w:w="367"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花谷药洲</w:t>
            </w:r>
          </w:p>
        </w:tc>
        <w:tc>
          <w:tcPr>
            <w:tcW w:w="1150"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塑造“花谷药洲”的旅游主题形象，完善“林芝市旅游交通集散次中心”功能，构建“旅游内环线”及里龙乡、卧龙镇“双龙沿江旅游交通带”，重点发展雅鲁藏布大峡谷“高山峡谷”及南伊沟景区“森林康养”两大泛景区化旅游目的地。</w:t>
            </w:r>
          </w:p>
        </w:tc>
        <w:tc>
          <w:tcPr>
            <w:tcW w:w="2954"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完善米林县“林芝市旅游交通集散次中心”功能，改善县城基础设施及住宿接待服务设施条件，提高县城至各乡镇和景区景点道路的通达度；建设县级旅游服务中心，向游客提供周边旅游资讯；引进旅行社营业柜台，承办门票代售、住宿登记、火车出票、签证代理等业务；通过旅游大数据，引导和协调各景区景点游客数量，提高游客游览顺畅度和满意度。建设米林机场-林芝工布庄园希尔顿酒店-米林县城-南伊沟-萨玉沟-彩门村沿线绿道或慢行道，建设米林县“旅游内环线” 。在拉林高速各出入口及 G318、 S4 等干道沿线选址建设自驾综合服务基地，配套相应的观光、度假、购物、艺术展演功能。以里龙乡、卧龙镇的“双龙沿江旅游交通带”为纽带，借力 G219 日村综合服务区，联动朗县，重点发展精品特色的沟谷生态科普、高山牧场休闲、高原生态农业等旅游项目。近期，重点发展以雅鲁藏布大峡谷景区为核心的“高山峡谷”和以南伊沟景区为核心的“森林康养”两个泛景区化旅游目的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2</w:t>
            </w:r>
          </w:p>
        </w:tc>
        <w:tc>
          <w:tcPr>
            <w:tcW w:w="313"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朗县</w:t>
            </w:r>
          </w:p>
        </w:tc>
        <w:tc>
          <w:tcPr>
            <w:tcW w:w="367"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人文藏地</w:t>
            </w:r>
          </w:p>
        </w:tc>
        <w:tc>
          <w:tcPr>
            <w:tcW w:w="1150"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树立“人文藏地”的旅游主题形象，因应川藏铁路的建设落成，完善“林芝市旅游交通集散次中心”功能，构建“宗教文化”、“自然风光”、“特色文化”等三大主题旅游板块，重点发展冲康庄园、千年核桃王景区“人文庄园”及嘎贡沟“高原牧场”两大泛景区化旅游目的地。</w:t>
            </w:r>
          </w:p>
        </w:tc>
        <w:tc>
          <w:tcPr>
            <w:tcW w:w="2954"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完善朗县“林芝市旅游交通集散次中心”的功能，提高县城至各乡镇和景区景点道路的</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通达度。重点发展以冲康庄园和千年核桃王景区为核心的“人文庄园”泛景区化旅游目的地，巩固和提升人文历史旅游产品。深入挖掘朋仁曲德寺佛教文化，发展宗教文化旅游，开展祈佛、拜佛、活佛摸顶、壁画观光、转经、煨桑等活动。以卓村、列村、冲康村为示范点，带动全县乡村民俗旅游发展。依托烈山古墓，打造“国家古墓遗址公园”，发展科考科普旅游。</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以嘎贡沟、拉多藏湖、勃勃朗冰川为支撑，形成生态观光、定制旅游产品； 结合拉多藏</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湖藏医药南派发源地打造藏医药养生度假产品。修通拉多藏湖、金东乡、登木乡连接扎日神山的道路，发展宗教旅游产品。依托仁布圣水节、巴尔曲德松珠节、孜列次久节、巴热寺庙会、金东牧人节、朗县望果节、核桃文化旅游节等丰富的民俗节庆活动，发展民俗风情旅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3</w:t>
            </w:r>
          </w:p>
        </w:tc>
        <w:tc>
          <w:tcPr>
            <w:tcW w:w="313"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工布江达县</w:t>
            </w:r>
          </w:p>
        </w:tc>
        <w:tc>
          <w:tcPr>
            <w:tcW w:w="367"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户外天堂</w:t>
            </w:r>
          </w:p>
        </w:tc>
        <w:tc>
          <w:tcPr>
            <w:tcW w:w="1150"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围绕“户外天堂”的旅游主题形象，以巴松措为龙头，按先易后难原则，先行发展 G318 及拉林高等级公路沿线景区，构建“一心·一带·四片区” 的旅游空间格局，重点发展巴松措“原乡湖泊” 及秀巴古堡“遗址寻踪”两大泛景区化旅游目的地。</w:t>
            </w:r>
          </w:p>
        </w:tc>
        <w:tc>
          <w:tcPr>
            <w:tcW w:w="2954"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县城：现游客中心建设选址远离县城中心区域，客流不足，建议结合工布江达县客运站</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站场位置，改划泉州路路口用地为游客中心；增加沿河绿道的公共设施配套，结合工布藏族</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的文化图腾和音乐、绘画元素，调整夜间灯饰样式。朱拉河湿地公园：公园面积巨大，建议分期开发；近期在神山山脚空地设置简易营地、活化色章村民居作为民宿；远期深入私密度较高的拉扎岩、拉扎寺地区，发展豪华野营地产品；以“合作社” 形式，发展雪卡村的虫草加工产业。林则野生猴园：健全游客安全防护和野生动物管理保护制度；参考日本“狐狸村”，发展小型的猕猴主题公园，结合入口山脚村落适当布设主题餐厅、科普廊等接待设施。太昭古城：因应高等级公路破坏景观、大部分建筑粗制复建的情况，将太昭古城重新定位为徒步和骑行驴友客群的大型驿站，集中配备少量的购物、 餐饮及休憩设施，以吸引 G318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4</w:t>
            </w:r>
          </w:p>
        </w:tc>
        <w:tc>
          <w:tcPr>
            <w:tcW w:w="313"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波密县</w:t>
            </w:r>
          </w:p>
        </w:tc>
        <w:tc>
          <w:tcPr>
            <w:tcW w:w="367"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藏王故里 冰川之乡</w:t>
            </w:r>
          </w:p>
        </w:tc>
        <w:tc>
          <w:tcPr>
            <w:tcW w:w="1150"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巩固“藏王故里 冰川之乡”的旅游主题形象，优先开发G318及S303沿线资源，构建“一主两副·三中心·四片区”的旅游空间格局，重点发展米堆冰川“活力冰川”、帕隆藏布一河两岸“湿地花谷”以及易贡国家地质公园“生态科普”等三大泛景区化旅游目的地，同时将帕隆藏布一河两岸列为全市近期积极打造的标志性项目。</w:t>
            </w:r>
          </w:p>
        </w:tc>
        <w:tc>
          <w:tcPr>
            <w:tcW w:w="2954"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扎木镇：依托在交通区位（昌都-巴宜区交通中心点）、城建规模以及食宿设施等方面的</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优势，着重发展自驾游市场，加强与自驾车俱乐部、车友会等机构的联系，建设高标准营地</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及帕隆藏布沿岸夜间休闲设施。倾多镇巴康村：对第一代藏王聂赤赞普的传说和故事作整理及开发。朱西冰川：结合玉仁乡和许木乡一带成规模的冰川冰碛，开展丘陵徒步及探秘科考活动，与波堆桃花沟等景区的观光型产品作互补。朗秋冰川：为交通部门提供指引，针对 2018 年开工建设的东秋村护林柏油公路，因应道路沿线的景观和生态环境，提出保护性开发的要求。嘎瓦龙天池：在嘎瓦龙寺、嘎瓦龙村附近的草甸、缓坡布置面向徒步旅游者的低密度接</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待设施；于嘎瓦龙天池周边增设冰川景观解说标识和墨脱观赏点，探索以索道方式连接天池</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与嘎瓦龙寺及嘎瓦龙村等地。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5</w:t>
            </w:r>
          </w:p>
        </w:tc>
        <w:tc>
          <w:tcPr>
            <w:tcW w:w="313"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墨脱县</w:t>
            </w:r>
          </w:p>
        </w:tc>
        <w:tc>
          <w:tcPr>
            <w:tcW w:w="367"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雨林秘境</w:t>
            </w:r>
          </w:p>
        </w:tc>
        <w:tc>
          <w:tcPr>
            <w:tcW w:w="1150"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培育“雨林秘境”的旅游主题形象，完善道路交通条件，构建“一心·两极·一轴·三带”的旅游空间格局，重点发展墨脱县城 “秘境雨林” 及背崩徒步站“丛林徒步”两大泛景区化旅游目的地；积极实施“固边、兴边、富边”措施，增强边境开放可行性。</w:t>
            </w:r>
          </w:p>
        </w:tc>
        <w:tc>
          <w:tcPr>
            <w:tcW w:w="2954"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构建现代产业体系。以生态旅游为突破口，提升种植、养殖及农副产品加工等传统产业</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的品牌口碑和经济效益，优化三次产业结构。因地制宜产业融合。在资源环境承载能力范围内，兼顾经济效益、社会效益及生态效益，培育生态旅游、茶产业、藏药产业、亚热带水果产业、巴米牛养殖产业等特色产业，通过“旅游+”“+旅游” 双向推动产业升级。发展墨脱品牌蔬果。种植更多墨脱本地优质蔬果及其他农产品，发展墨脱品牌并利用川藏铁路开通等契机开拓国内城市高端市场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6</w:t>
            </w:r>
          </w:p>
        </w:tc>
        <w:tc>
          <w:tcPr>
            <w:tcW w:w="313"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察隅县</w:t>
            </w:r>
          </w:p>
        </w:tc>
        <w:tc>
          <w:tcPr>
            <w:tcW w:w="367"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滇藏边塞</w:t>
            </w:r>
          </w:p>
        </w:tc>
        <w:tc>
          <w:tcPr>
            <w:tcW w:w="1150"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强化“滇藏边塞”的旅游主题形象，完善道路交通条件，构建“一心·一镇·一道·三区”的旅游空间格局；打造入藏门户，提升至国家级旅游定位；建设 G219（丙察察）-G559 国际知名自驾游线，融入“大香格里拉旅游环线”、“林芝东部旅游环线”等两大旅游环线，实现自然与人文资源复合开发；重点发展梅里雪山-甲兴片区“滇藏穿越” 以及下察隅“僜人文化”两大泛景区化旅游目的地。</w:t>
            </w:r>
          </w:p>
        </w:tc>
        <w:tc>
          <w:tcPr>
            <w:tcW w:w="2954"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提升察隅县在林芝旅游地位，将察隅定位为林芝以至西藏的入藏门户之一，以入藏第一印象的标准发展察隅。结合察隅入藏门户与边境县的特殊区位，建设全国知名边境特色旅游县、新滇藏线旅游集散中心。G219（丙察察）-G559自驾游线，即依托 G219（丙察察） -G559 打造自驾游风景道，沿途开发生态观光、自驾营地、特色乡村。东部依托新滇藏线，对接大香格里拉旅游环线，西部以G219 规划建设为契机，融入林芝东部旅游环线。</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察隅县城旅游集散中心：依托特色温泉资源，提升城市基础服务设施，丰富旅游产品业态，完善游客接待和服务功能，打造察隅旅游集散中心及“入藏首站休养地”。上下察隅特色田园旅游区：以乡村风貌为基底、僜人文化为特色，发展特色田园旅游区。察瓦龙梅里雪山风光区：以梅里雪山风光为核心吸引物，发展“察瓦龙边境旅游小镇”，逐步开发梅里雪山徒步路线；以度假牧场为特色，打造“甲兴旅游区”。古拉古玉雪域高原体验区：以高原风光为依托，通过“察隅-然乌” 的风景道建设，串联罗马桃花村、塔巴寺、德姆拉雪山等景点，发展雪域高原自驾体验区。</w:t>
            </w:r>
          </w:p>
        </w:tc>
      </w:tr>
    </w:tbl>
    <w:p>
      <w:pPr>
        <w:pStyle w:val="6"/>
        <w:bidi w:val="0"/>
        <w:rPr>
          <w:rFonts w:hint="eastAsia"/>
          <w:color w:val="auto"/>
          <w:highlight w:val="none"/>
          <w:lang w:eastAsia="zh-CN"/>
        </w:rPr>
      </w:pPr>
    </w:p>
    <w:p>
      <w:pPr>
        <w:pStyle w:val="6"/>
        <w:bidi w:val="0"/>
        <w:rPr>
          <w:rFonts w:hint="eastAsia"/>
          <w:color w:val="auto"/>
          <w:highlight w:val="none"/>
          <w:lang w:eastAsia="zh-CN"/>
        </w:rPr>
        <w:sectPr>
          <w:footerReference r:id="rId9" w:type="default"/>
          <w:pgSz w:w="16838" w:h="11906" w:orient="landscape"/>
          <w:pgMar w:top="1800" w:right="1440" w:bottom="1800" w:left="1440" w:header="851" w:footer="992" w:gutter="0"/>
          <w:pgNumType w:fmt="decimal"/>
          <w:cols w:space="425" w:num="1"/>
          <w:docGrid w:type="lines" w:linePitch="312" w:charSpace="0"/>
        </w:sectPr>
      </w:pPr>
    </w:p>
    <w:p>
      <w:pPr>
        <w:pStyle w:val="6"/>
        <w:bidi w:val="0"/>
        <w:rPr>
          <w:rFonts w:hint="eastAsia"/>
          <w:b/>
          <w:bCs/>
          <w:color w:val="auto"/>
          <w:highlight w:val="none"/>
        </w:rPr>
      </w:pPr>
      <w:r>
        <w:rPr>
          <w:rFonts w:hint="eastAsia"/>
          <w:b/>
          <w:bCs/>
          <w:color w:val="auto"/>
          <w:highlight w:val="none"/>
          <w:lang w:val="en-US" w:eastAsia="zh-CN"/>
        </w:rPr>
        <w:t>4、</w:t>
      </w:r>
      <w:r>
        <w:rPr>
          <w:rFonts w:hint="eastAsia"/>
          <w:b/>
          <w:bCs/>
          <w:color w:val="auto"/>
          <w:highlight w:val="none"/>
        </w:rPr>
        <w:t>十五个泛景区化旅游目的地</w:t>
      </w:r>
    </w:p>
    <w:p>
      <w:pPr>
        <w:pStyle w:val="6"/>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巴宜区</w:t>
      </w:r>
    </w:p>
    <w:p>
      <w:pPr>
        <w:pStyle w:val="6"/>
        <w:bidi w:val="0"/>
        <w:rPr>
          <w:rFonts w:hint="eastAsia"/>
          <w:color w:val="auto"/>
          <w:highlight w:val="none"/>
        </w:rPr>
      </w:pPr>
      <w:r>
        <w:rPr>
          <w:rFonts w:hint="eastAsia"/>
          <w:color w:val="auto"/>
          <w:highlight w:val="none"/>
        </w:rPr>
        <w:t>鲁朗小镇及周边地区：“风情小镇”旅游目的地；</w:t>
      </w:r>
    </w:p>
    <w:p>
      <w:pPr>
        <w:pStyle w:val="6"/>
        <w:bidi w:val="0"/>
        <w:rPr>
          <w:rFonts w:hint="eastAsia" w:eastAsia="宋体"/>
          <w:color w:val="auto"/>
          <w:highlight w:val="none"/>
          <w:lang w:eastAsia="zh-CN"/>
        </w:rPr>
      </w:pPr>
      <w:r>
        <w:rPr>
          <w:rFonts w:hint="eastAsia"/>
          <w:color w:val="auto"/>
          <w:highlight w:val="none"/>
        </w:rPr>
        <w:t>工布原乡及周边地区：“城郊休闲”旅游目的地</w:t>
      </w:r>
      <w:r>
        <w:rPr>
          <w:rFonts w:hint="eastAsia"/>
          <w:color w:val="auto"/>
          <w:highlight w:val="none"/>
          <w:lang w:eastAsia="zh-CN"/>
        </w:rPr>
        <w:t>。</w:t>
      </w:r>
    </w:p>
    <w:p>
      <w:pPr>
        <w:pStyle w:val="6"/>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米林县</w:t>
      </w:r>
    </w:p>
    <w:p>
      <w:pPr>
        <w:pStyle w:val="6"/>
        <w:bidi w:val="0"/>
        <w:rPr>
          <w:rFonts w:hint="eastAsia"/>
          <w:color w:val="auto"/>
          <w:highlight w:val="none"/>
        </w:rPr>
      </w:pPr>
      <w:r>
        <w:rPr>
          <w:rFonts w:hint="eastAsia"/>
          <w:color w:val="auto"/>
          <w:highlight w:val="none"/>
        </w:rPr>
        <w:t>雅鲁藏布大峡谷及周边地区：“高山峡谷” 旅游目的地；</w:t>
      </w:r>
    </w:p>
    <w:p>
      <w:pPr>
        <w:pStyle w:val="6"/>
        <w:bidi w:val="0"/>
        <w:rPr>
          <w:rFonts w:hint="eastAsia" w:eastAsia="宋体"/>
          <w:color w:val="auto"/>
          <w:highlight w:val="none"/>
          <w:lang w:eastAsia="zh-CN"/>
        </w:rPr>
      </w:pPr>
      <w:r>
        <w:rPr>
          <w:rFonts w:hint="eastAsia"/>
          <w:color w:val="auto"/>
          <w:highlight w:val="none"/>
        </w:rPr>
        <w:t>南伊沟景区及周边地区：“森林康养” 旅游目的地</w:t>
      </w:r>
      <w:r>
        <w:rPr>
          <w:rFonts w:hint="eastAsia"/>
          <w:color w:val="auto"/>
          <w:highlight w:val="none"/>
          <w:lang w:eastAsia="zh-CN"/>
        </w:rPr>
        <w:t>。</w:t>
      </w:r>
    </w:p>
    <w:p>
      <w:pPr>
        <w:pStyle w:val="6"/>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朗县</w:t>
      </w:r>
    </w:p>
    <w:p>
      <w:pPr>
        <w:pStyle w:val="6"/>
        <w:bidi w:val="0"/>
        <w:rPr>
          <w:rFonts w:hint="eastAsia"/>
          <w:color w:val="auto"/>
          <w:highlight w:val="none"/>
        </w:rPr>
      </w:pPr>
      <w:r>
        <w:rPr>
          <w:rFonts w:hint="eastAsia"/>
          <w:color w:val="auto"/>
          <w:highlight w:val="none"/>
        </w:rPr>
        <w:t>冲康庄园、千年核桃王景区：</w:t>
      </w:r>
      <w:r>
        <w:rPr>
          <w:rFonts w:hint="eastAsia"/>
          <w:color w:val="auto"/>
          <w:highlight w:val="none"/>
          <w:lang w:eastAsia="zh-CN"/>
        </w:rPr>
        <w:t>“</w:t>
      </w:r>
      <w:r>
        <w:rPr>
          <w:rFonts w:hint="eastAsia"/>
          <w:color w:val="auto"/>
          <w:highlight w:val="none"/>
        </w:rPr>
        <w:t>人文庄园”旅游目的地；</w:t>
      </w:r>
    </w:p>
    <w:p>
      <w:pPr>
        <w:pStyle w:val="6"/>
        <w:bidi w:val="0"/>
        <w:rPr>
          <w:rFonts w:hint="eastAsia"/>
          <w:color w:val="auto"/>
          <w:highlight w:val="none"/>
        </w:rPr>
      </w:pPr>
      <w:r>
        <w:rPr>
          <w:rFonts w:hint="eastAsia"/>
          <w:color w:val="auto"/>
          <w:highlight w:val="none"/>
        </w:rPr>
        <w:t>嘎贡沟及周边地区：“高原牧场”旅游目的地；</w:t>
      </w:r>
    </w:p>
    <w:p>
      <w:pPr>
        <w:pStyle w:val="6"/>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工布江达县</w:t>
      </w:r>
    </w:p>
    <w:p>
      <w:pPr>
        <w:pStyle w:val="6"/>
        <w:bidi w:val="0"/>
        <w:rPr>
          <w:rFonts w:hint="eastAsia"/>
          <w:color w:val="auto"/>
          <w:highlight w:val="none"/>
        </w:rPr>
      </w:pPr>
      <w:r>
        <w:rPr>
          <w:rFonts w:hint="eastAsia"/>
          <w:color w:val="auto"/>
          <w:highlight w:val="none"/>
        </w:rPr>
        <w:t>巴松措及周边地区：“原乡湖泊”旅游目的地；</w:t>
      </w:r>
    </w:p>
    <w:p>
      <w:pPr>
        <w:pStyle w:val="6"/>
        <w:bidi w:val="0"/>
        <w:rPr>
          <w:rFonts w:hint="eastAsia"/>
          <w:color w:val="auto"/>
          <w:highlight w:val="none"/>
        </w:rPr>
      </w:pPr>
      <w:r>
        <w:rPr>
          <w:rFonts w:hint="eastAsia"/>
          <w:color w:val="auto"/>
          <w:highlight w:val="none"/>
        </w:rPr>
        <w:t>秀巴古堡 及周边地区：“遗址寻踪”旅游目的地</w:t>
      </w:r>
    </w:p>
    <w:p>
      <w:pPr>
        <w:pStyle w:val="6"/>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olor w:val="auto"/>
          <w:highlight w:val="none"/>
        </w:rPr>
        <w:t>波密县</w:t>
      </w:r>
    </w:p>
    <w:p>
      <w:pPr>
        <w:pStyle w:val="6"/>
        <w:bidi w:val="0"/>
        <w:rPr>
          <w:rFonts w:hint="eastAsia"/>
          <w:color w:val="auto"/>
          <w:highlight w:val="none"/>
        </w:rPr>
      </w:pPr>
      <w:r>
        <w:rPr>
          <w:rFonts w:hint="eastAsia"/>
          <w:color w:val="auto"/>
          <w:highlight w:val="none"/>
        </w:rPr>
        <w:t>米堆冰川及周边地区：“活力冰川”旅游目的地；</w:t>
      </w:r>
    </w:p>
    <w:p>
      <w:pPr>
        <w:pStyle w:val="6"/>
        <w:bidi w:val="0"/>
        <w:rPr>
          <w:rFonts w:hint="eastAsia"/>
          <w:color w:val="auto"/>
          <w:highlight w:val="none"/>
        </w:rPr>
      </w:pPr>
      <w:r>
        <w:rPr>
          <w:rFonts w:hint="eastAsia"/>
          <w:color w:val="auto"/>
          <w:highlight w:val="none"/>
        </w:rPr>
        <w:t>帕隆藏布一河两岸：“湿地花谷”旅游目的地；</w:t>
      </w:r>
    </w:p>
    <w:p>
      <w:pPr>
        <w:pStyle w:val="6"/>
        <w:bidi w:val="0"/>
        <w:rPr>
          <w:rFonts w:hint="eastAsia"/>
          <w:color w:val="auto"/>
          <w:highlight w:val="none"/>
        </w:rPr>
      </w:pPr>
      <w:r>
        <w:rPr>
          <w:rFonts w:hint="eastAsia"/>
          <w:color w:val="auto"/>
          <w:highlight w:val="none"/>
        </w:rPr>
        <w:t>易贡国家地质公园及周边地区：“生态科普”旅游目的地；</w:t>
      </w:r>
    </w:p>
    <w:p>
      <w:pPr>
        <w:pStyle w:val="6"/>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color w:val="auto"/>
          <w:highlight w:val="none"/>
        </w:rPr>
        <w:t>墨脱县</w:t>
      </w:r>
    </w:p>
    <w:p>
      <w:pPr>
        <w:pStyle w:val="6"/>
        <w:bidi w:val="0"/>
        <w:rPr>
          <w:rFonts w:hint="eastAsia"/>
          <w:color w:val="auto"/>
          <w:highlight w:val="none"/>
        </w:rPr>
      </w:pPr>
      <w:r>
        <w:rPr>
          <w:rFonts w:hint="eastAsia"/>
          <w:color w:val="auto"/>
          <w:highlight w:val="none"/>
        </w:rPr>
        <w:t>墨脱县城及周边地区：“秘境雨林”旅游目的地；</w:t>
      </w:r>
    </w:p>
    <w:p>
      <w:pPr>
        <w:pStyle w:val="6"/>
        <w:bidi w:val="0"/>
        <w:rPr>
          <w:rFonts w:hint="eastAsia"/>
          <w:color w:val="auto"/>
          <w:highlight w:val="none"/>
        </w:rPr>
      </w:pPr>
      <w:r>
        <w:rPr>
          <w:rFonts w:hint="eastAsia"/>
          <w:color w:val="auto"/>
          <w:highlight w:val="none"/>
        </w:rPr>
        <w:t>背崩徒步站及周边地区：“丛林徒步”旅游目的地；</w:t>
      </w:r>
    </w:p>
    <w:p>
      <w:pPr>
        <w:pStyle w:val="6"/>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color w:val="auto"/>
          <w:highlight w:val="none"/>
        </w:rPr>
        <w:t>察隅县</w:t>
      </w:r>
    </w:p>
    <w:p>
      <w:pPr>
        <w:pStyle w:val="6"/>
        <w:bidi w:val="0"/>
        <w:rPr>
          <w:rFonts w:hint="eastAsia"/>
          <w:color w:val="auto"/>
          <w:highlight w:val="none"/>
        </w:rPr>
      </w:pPr>
      <w:r>
        <w:rPr>
          <w:rFonts w:hint="eastAsia"/>
          <w:color w:val="auto"/>
          <w:highlight w:val="none"/>
        </w:rPr>
        <w:t>梅里雪山及甲兴片区：“滇藏穿越”旅游目的地；</w:t>
      </w:r>
    </w:p>
    <w:p>
      <w:pPr>
        <w:pStyle w:val="6"/>
        <w:bidi w:val="0"/>
        <w:rPr>
          <w:rFonts w:hint="eastAsia"/>
          <w:color w:val="auto"/>
          <w:highlight w:val="none"/>
        </w:rPr>
      </w:pPr>
      <w:r>
        <w:rPr>
          <w:rFonts w:hint="eastAsia"/>
          <w:color w:val="auto"/>
          <w:highlight w:val="none"/>
        </w:rPr>
        <w:t>下察隅及周边地区：“僜人文化”旅游目的地。</w:t>
      </w:r>
    </w:p>
    <w:p>
      <w:pPr>
        <w:pStyle w:val="6"/>
        <w:bidi w:val="0"/>
        <w:rPr>
          <w:rFonts w:hint="eastAsia"/>
          <w:color w:val="auto"/>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color w:val="auto"/>
          <w:highlight w:val="none"/>
        </w:rPr>
        <w:t>其中，鲁朗小镇“风情小镇”旅游目的地、帕隆藏布一河两岸“湿地花谷”旅游目的地为近期打造的标志性项目</w:t>
      </w:r>
      <w:r>
        <w:rPr>
          <w:rFonts w:hint="eastAsia"/>
          <w:color w:val="auto"/>
          <w:highlight w:val="none"/>
          <w:lang w:val="en-US" w:eastAsia="zh-CN"/>
        </w:rPr>
        <w:t>。</w:t>
      </w:r>
    </w:p>
    <w:p>
      <w:pPr>
        <w:pStyle w:val="27"/>
        <w:bidi w:val="0"/>
        <w:rPr>
          <w:rFonts w:hint="default"/>
          <w:color w:val="auto"/>
          <w:highlight w:val="none"/>
          <w:lang w:val="en-US" w:eastAsia="zh-CN"/>
        </w:rPr>
      </w:pPr>
      <w:r>
        <w:rPr>
          <w:rFonts w:hint="eastAsia"/>
          <w:color w:val="auto"/>
          <w:highlight w:val="none"/>
          <w:lang w:val="en-US" w:eastAsia="zh-CN"/>
        </w:rPr>
        <w:t xml:space="preserve">表2.1-2  </w:t>
      </w:r>
      <w:r>
        <w:rPr>
          <w:rFonts w:hint="eastAsia"/>
          <w:b/>
          <w:bCs/>
          <w:color w:val="auto"/>
          <w:highlight w:val="none"/>
        </w:rPr>
        <w:t>十五个泛景区</w:t>
      </w:r>
      <w:r>
        <w:rPr>
          <w:rFonts w:hint="eastAsia"/>
          <w:color w:val="auto"/>
          <w:highlight w:val="none"/>
        </w:rPr>
        <w:t>发展规划</w:t>
      </w:r>
    </w:p>
    <w:tbl>
      <w:tblPr>
        <w:tblStyle w:val="25"/>
        <w:tblW w:w="51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961"/>
        <w:gridCol w:w="1875"/>
        <w:gridCol w:w="1428"/>
        <w:gridCol w:w="9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default" w:eastAsia="宋体"/>
                <w:b/>
                <w:bCs/>
                <w:color w:val="auto"/>
                <w:highlight w:val="none"/>
                <w:lang w:val="en-US" w:eastAsia="zh-CN"/>
              </w:rPr>
            </w:pPr>
            <w:r>
              <w:rPr>
                <w:rFonts w:hint="eastAsia"/>
                <w:b/>
                <w:bCs/>
                <w:color w:val="auto"/>
                <w:highlight w:val="none"/>
                <w:lang w:val="en-US" w:eastAsia="zh-CN"/>
              </w:rPr>
              <w:t>序号</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b/>
                <w:bCs/>
                <w:color w:val="auto"/>
                <w:highlight w:val="none"/>
                <w:lang w:val="en-US" w:eastAsia="zh-CN"/>
              </w:rPr>
              <w:t>名称</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b/>
                <w:bCs/>
                <w:color w:val="auto"/>
                <w:highlight w:val="none"/>
              </w:rPr>
            </w:pPr>
            <w:r>
              <w:rPr>
                <w:rFonts w:hint="eastAsia"/>
                <w:b/>
                <w:bCs/>
                <w:color w:val="auto"/>
                <w:highlight w:val="none"/>
              </w:rPr>
              <w:t>区域范围</w:t>
            </w:r>
          </w:p>
        </w:tc>
        <w:tc>
          <w:tcPr>
            <w:tcW w:w="489" w:type="pct"/>
            <w:vAlign w:val="center"/>
          </w:tcPr>
          <w:p>
            <w:pPr>
              <w:pStyle w:val="29"/>
              <w:keepNext w:val="0"/>
              <w:keepLines w:val="0"/>
              <w:suppressLineNumbers w:val="0"/>
              <w:bidi w:val="0"/>
              <w:spacing w:before="0" w:beforeAutospacing="0" w:after="0" w:afterAutospacing="0"/>
              <w:ind w:left="0" w:right="0"/>
              <w:jc w:val="center"/>
              <w:rPr>
                <w:rFonts w:hint="eastAsia"/>
                <w:b/>
                <w:bCs/>
                <w:color w:val="auto"/>
                <w:highlight w:val="none"/>
              </w:rPr>
            </w:pPr>
            <w:r>
              <w:rPr>
                <w:rFonts w:hint="eastAsia"/>
                <w:b/>
                <w:bCs/>
                <w:color w:val="auto"/>
                <w:highlight w:val="none"/>
              </w:rPr>
              <w:t>发展定位</w:t>
            </w:r>
          </w:p>
        </w:tc>
        <w:tc>
          <w:tcPr>
            <w:tcW w:w="3271" w:type="pct"/>
            <w:vAlign w:val="center"/>
          </w:tcPr>
          <w:p>
            <w:pPr>
              <w:pStyle w:val="29"/>
              <w:keepNext w:val="0"/>
              <w:keepLines w:val="0"/>
              <w:suppressLineNumbers w:val="0"/>
              <w:bidi w:val="0"/>
              <w:spacing w:before="0" w:beforeAutospacing="0" w:after="0" w:afterAutospacing="0"/>
              <w:ind w:left="0" w:right="0"/>
              <w:jc w:val="center"/>
              <w:rPr>
                <w:rFonts w:hint="default" w:eastAsia="宋体"/>
                <w:b/>
                <w:bCs/>
                <w:color w:val="auto"/>
                <w:highlight w:val="none"/>
                <w:lang w:val="en-US" w:eastAsia="zh-CN"/>
              </w:rPr>
            </w:pPr>
            <w:r>
              <w:rPr>
                <w:rFonts w:hint="eastAsia"/>
                <w:b/>
                <w:bCs/>
                <w:color w:val="auto"/>
                <w:highlight w:val="none"/>
                <w:lang w:val="en-US" w:eastAsia="zh-CN"/>
              </w:rPr>
              <w:t>发展指引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1</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鲁朗小镇及周边地区</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鲁朗镇核心范围内，涵盖鲁朗小镇、扎贡鲁措、扎西岗村、鲁朗林海、鲁朗</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花海牧场、雅伊沟等景点。</w:t>
            </w:r>
          </w:p>
        </w:tc>
        <w:tc>
          <w:tcPr>
            <w:tcW w:w="48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生态度假+会议展览+户外运动+藏文化创新体验</w:t>
            </w:r>
          </w:p>
        </w:tc>
        <w:tc>
          <w:tcPr>
            <w:tcW w:w="3271"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鲁朗石锅城——在“鲁朗石锅鸡”的主题下适度多元化，鼓励传统藏餐向粤菜、川菜、</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西餐、日本料理、韩国料理等其他菜系，以及轻餐饮等领域渗透和融合。扎贡鲁措——作为近年开挖托阔的人工湖，扎贡鲁措的宗教禁忌相对较少，可适度发展游船、划船（牛羊皮筏子）、骑马、垂钓、投喂等滨水及水上游憩活动。扎西岗村——根据国家文化和旅游部 2017 年发布的《旅游民宿基本要求与评价》要求，建立起适用于林芝市的民宿分类评价体系；以扎西岗村为试点，成立民宿行业协会，制定“民宿管理办法” 和“民宿行业自律和惩戒办法” ，提高民宿行业的经营管理水平；运用大数据和物联网技术改造村内民宿，开拓全屋智能家居、农牧远程养殖等服务。鲁朗花海牧场——每年 5 月中旬至 10 月中旬，多种杜鹃、报春、鸢尾、龙胆等野花渐次开放，重游条件良好。一方面，可以面向本地大众游客，开展城郊休闲和花卉摄影活动。雅伊沟——结合茶马古道，以雅伊湖为终点，开展徒步穿越、观南迦巴瓦以及科考活动。鲁朗林海——因应生态保育需要，建议结合现有的雅鲁藏布大峡谷高空观光航拍产品，发展空中特种旅游活动，并于鲁朗小镇增设停机坪和航空应急、补给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2</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工布原乡及周边地区</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巴宜区布久乡境内，涵盖卓木村、朵当村、珠曲登村、简切村等村，以及喇</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嘛岭寺、珠曲登寺、 布久拉康等景点</w:t>
            </w:r>
          </w:p>
        </w:tc>
        <w:tc>
          <w:tcPr>
            <w:tcW w:w="48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乡村休闲+花卉观光+农副产品加工体验</w:t>
            </w:r>
          </w:p>
        </w:tc>
        <w:tc>
          <w:tcPr>
            <w:tcW w:w="3271"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分区分期——划定 5 大功能区；近期开发桃花源、五彩花海等建设强度较低的子项目。人车分流——除本地居民车辆、执行公务车辆外，社会车辆一律于规划停车场内停放，区内只允许电瓶车、单车等交通工具或骑马、徒步通行。节庆演艺——依托区内的大型公共建筑，或在传统节庆期间划定专区，供“寻找香巴拉”舞台剧、锅庄、射箭、骑马、骑牦牛、抱石头等活动使用。工布花谷——强调公共性和参与性，利用花田和河流的开放界面，配合人行道、田埂道等设置工布文化长廊、花海田园咖啡厅、单车径、公共家具；引入垂直绿化、可食花园等园艺理念，提升花田景观效果。喇嘛岭寺——依托庙前开阔区域，建设“传统民俗文化体验区”的区域型服务中心，透过改造民居或新建的形式，增设精品民宿群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3</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雅鲁藏布大峡谷景区及周边地区</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雅鲁藏布大峡谷景区范围内，包括派镇、丹娘乡、羌纳乡等乡镇，以及情比石坚、 直白村格嘎温泉、羌纳寺等景点。</w:t>
            </w:r>
          </w:p>
        </w:tc>
        <w:tc>
          <w:tcPr>
            <w:tcW w:w="48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生态野奢度假+峡谷探险观光</w:t>
            </w:r>
          </w:p>
        </w:tc>
        <w:tc>
          <w:tcPr>
            <w:tcW w:w="3271"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雅鲁藏布大峡谷景区——近期主要按照创建国家 5A 级景区标准，有序推进景区 5A</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创建工作；中远期丰富旅游产品体验，保护性开发峡谷漫步、帐篷营地、橡皮筏漂流等大众型休闲观光体验产品和峡谷高空蹦极、热气球、滑翔伞、直升机摄影等高端定制和特种旅游项目。派镇——包括索松、直白、格嘎、达林、加拉等村，将进驻由成都山泽居公司投资建设的汽车营地和松赞林精品酒店连锁企业投资建设的松赞达林山居项目等，建议以“生态野奢桃源乡”为主题定位，发展悬崖酒店、空中餐厅等高端旅游产品。丹娘乡——依托建设完成的农业综合开发高标准农田项目和藏鸡养殖基地，发展高原生态农业和藏鸡养殖业。羌纳乡——提升乡村人居环境，以本土农牧产品、藏家民俗和羌纳寺佛教文化为卖点，以朗多村“找个地儿待着”民宿为参照，发展精品民宿集群。节庆演艺——深化雅鲁藏布生态文化旅游节的形式和内容，加强对工布藏族、珞巴族、门巴族等不同少数民族的人文内涵演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4</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南伊沟景区及周边地区</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南伊洛巴民族乡，包括南伊沟景区、扎贡沟景区、才召民俗村、琼林珞巴民</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族村等。</w:t>
            </w:r>
          </w:p>
        </w:tc>
        <w:tc>
          <w:tcPr>
            <w:tcW w:w="48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高原牧场体验+珞巴文化体验+藏医药康养度假</w:t>
            </w:r>
          </w:p>
        </w:tc>
        <w:tc>
          <w:tcPr>
            <w:tcW w:w="3271"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南伊沟景区——组建米林药洲南伊珞巴文化旅游股份有限公司管理南伊沟景区。在森</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林徒步的基础上，提高产品体验度，发展定向越野、牧场骑马、射箭、高山滑草、速降滑索等项目。扎贡沟景区——在药王洞壁画等实物基础上，运用 AR、 VR 技术，展示藏医药始祖宇妥·云丹贡布制药、行医、授徒的历史故事、人物生平，以及藏医药发展史；保护国家一级濒危植物大花黄牡丹的生存环境，结合一年一度黄牡丹节，展演珞巴民俗风情。南伊洛巴民族乡——依托南伊沟、扎贡沟等景点，以及“藏地药王谷”的藏医药品牌，完善旅游交通、住宿、餐饮配套，加大藏药材种植面积。才召民俗村、琼林珞巴民族村——开展新农村示范区建设，增种黄牡丹、桃花、山楂、高山杜鹃等具有观赏或实用价值的植物以改善乡村人居环境，开设庭院式乡村精品民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5</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冲康庄园、千年核桃王景区</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包括冲康庄园、千年核桃王景区、冲康村等景点</w:t>
            </w:r>
          </w:p>
        </w:tc>
        <w:tc>
          <w:tcPr>
            <w:tcW w:w="489" w:type="pct"/>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宗教文化+庄园度假+林果种植</w:t>
            </w:r>
          </w:p>
        </w:tc>
        <w:tc>
          <w:tcPr>
            <w:tcW w:w="3271"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冲康庄园——与千年核桃王景区联合创建 4A 级景区；综合运用投影、影像、图文展</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板、实物等媒介，以及 VR 等交互式技术手段，还原十三世达赖喇嘛回乡探亲历史场景和人物生平事迹；以佛教文化和十三世达赖喇嘛人物生平为基础，设计景区独特的旅游形象宣传标识系统。千年核桃王景区——联同政府宣传端口，结合朗县核桃美食文化旅游节，加大对国家地理标志产品“朗县核桃”的宣传推广力度；优选古核桃树产品，打造“千年核桃”名牌商标，专注高端消费市场；扩大区域核桃种植面积，延伸核桃产业链，由浅层“种植+观光” 转向精深加工，提升产品附加值。冲康村——依托核桃、油菜花、青稞种植，发展现代农业；利用本地资源优势，培养村民产业意识，引进先进技术设备，延伸核桃产业链，发展核桃加工业；深入挖掘朗县塔布文化内涵，结合“活佛出生村庄”历史优势和塔布文化旅游节庆活动等，宣传土地旅游景点和独特农副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6</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嘎贡沟 及周边地区</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default" w:ascii="MicrosoftYaHei" w:hAnsi="MicrosoftYaHei" w:eastAsia="MicrosoftYaHei" w:cs="MicrosoftYaHei"/>
                <w:b w:val="0"/>
                <w:bCs w:val="0"/>
                <w:i w:val="0"/>
                <w:iCs w:val="0"/>
                <w:color w:val="auto"/>
                <w:sz w:val="22"/>
                <w:szCs w:val="22"/>
                <w:highlight w:val="none"/>
              </w:rPr>
              <w:t>包括嘎贡沟景区、嘎贡村、工字荣原始森林景区等景点。</w:t>
            </w:r>
            <w:r>
              <w:rPr>
                <w:rFonts w:hint="default" w:ascii="宋体" w:hAnsi="宋体" w:eastAsia="宋体" w:cs="宋体"/>
                <w:color w:val="auto"/>
                <w:sz w:val="24"/>
                <w:szCs w:val="24"/>
                <w:highlight w:val="none"/>
              </w:rPr>
              <w:t xml:space="preserve"> </w:t>
            </w:r>
          </w:p>
        </w:tc>
        <w:tc>
          <w:tcPr>
            <w:tcW w:w="489"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高原牧场体验+原始丛林观光探险+高端生态度假+高端生态自驾游</w:t>
            </w:r>
          </w:p>
        </w:tc>
        <w:tc>
          <w:tcPr>
            <w:tcW w:w="3271"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嘎贡沟景区——按照 4A 级景区的设计标准，规划从山脚到山顶的徒步径，按 500米的距离设置休息廊亭，设置难度指数标识，提供线路长度、坡度和路况指引，增公共厕所、垃圾桶等设施，新建嘎贡瀑布观景平台；增加图文讲解、导游讲解等环节。老堆村古村落——原貌保留房屋、围墙及村间石板小道，透过修缮、功能置换等手段，发展高端牧场度假项目；举办马术运动、打酥油等高原牧场户外体验活动；每年藏历4-5 月杜鹃花开时节，开展观光摄影比赛；围绕“珍珠天池” 和“神湖” 措仁措，修建绕湖徒步朝拜步道，开展常规朝拜活动。嘎贡村——依托嘎贡沟景区和工字荣原始森林，发展大众化的餐饮、住宿产品。工字荣原始森林——沿工字荣河逆流而上，规划步行道和旅游标识，开展徒步溯溪；开展森林观光和生态科考活动，在不破坏动植物生境的前提下，欣赏岩羊、藏羚羊、狗熊、猴、野鸡等野生动物。工字荣自驾游——穿越日白布山口，与米林县共同打造工字荣生态自驾游。线路总长116 公里，路面安全系数高，可欣赏沿途茂密的原始森林及不断变化的山水景致。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7</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巴松措 及周边地区</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以巴松措水系为核心，涵盖拉如村、错久村、布热村、措高村、结巴村等村落，以及巴松湖、新措、仲措、措宗寺、杂拉沟、白朗沟、朱拉多吉扎森岩等景点。</w:t>
            </w:r>
          </w:p>
        </w:tc>
        <w:tc>
          <w:tcPr>
            <w:tcW w:w="489"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高原圣湖+工布文化</w:t>
            </w:r>
          </w:p>
        </w:tc>
        <w:tc>
          <w:tcPr>
            <w:tcW w:w="3271"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游客中心——对照 5A 级景区标准，聘请专业团队，完善外语翻译、厕所标识、电线</w:t>
            </w:r>
          </w:p>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埋地等工作。湖区——通过完善巴松湖、新措、仲措环湖风景道路系统，建立统一标识体系，将“三措”区域连成一体；适当增加水吧、观景平台等设施。措高村——分级评定村内建筑，对合乎安全要求的工布藏族传统民居、畜牧用房等进行功能置换，拆除危破房；参考日本伊势神宫正殿的做法，定期拆卸和重建传统样式的建筑以传承建筑技艺；围绕措高梗舞、措高藏香猪烹饪技艺、巴松措转湖节等地方特色，设计娱乐、餐饮、节事旅游产品。结巴村——景区最主要的住宿设施，发展大众化至中端消费水平的民宿集群，承接环湖自行车赛举行期间的接待任务。巴河镇农业观光园——以“田园综合体”的定位设计二期的旅游产品，增加游乐设施、山地运动项目、苗圃培育基地及生态放养区；三期结合拉如村，与当地村民发展大型藏式民宿集群；调整“生态酒店区”主体建筑立面样式以协调周遭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8</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秀巴古堡 及周边地区</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巴河镇南部，包括秀巴古堡群遗址以及秀巴村、朗色村、丁当村等村落</w:t>
            </w:r>
          </w:p>
        </w:tc>
        <w:tc>
          <w:tcPr>
            <w:tcW w:w="489"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考古遗址公园</w:t>
            </w:r>
          </w:p>
        </w:tc>
        <w:tc>
          <w:tcPr>
            <w:tcW w:w="3271" w:type="pct"/>
            <w:vAlign w:val="center"/>
          </w:tcPr>
          <w:p>
            <w:pPr>
              <w:pStyle w:val="29"/>
              <w:keepNext w:val="0"/>
              <w:keepLines w:val="0"/>
              <w:suppressLineNumbers w:val="0"/>
              <w:bidi w:val="0"/>
              <w:spacing w:before="0" w:beforeAutospacing="0" w:after="0" w:afterAutospacing="0"/>
              <w:ind w:left="0" w:right="0"/>
              <w:jc w:val="both"/>
              <w:rPr>
                <w:rFonts w:hint="eastAsia"/>
                <w:color w:val="auto"/>
                <w:highlight w:val="none"/>
              </w:rPr>
            </w:pPr>
            <w:r>
              <w:rPr>
                <w:rFonts w:hint="eastAsia"/>
                <w:color w:val="auto"/>
                <w:highlight w:val="none"/>
              </w:rPr>
              <w:t>分区发展——分为文物核心区、探索中心、户外活动区、秀巴乐活区等 4 个功能区。文物核心区——申报“国家考古遗址公园”，在保持文物原真性、完整性的前提下，加固、修复现存古堡；清理倒塌古堡周边杂物，公示其位置、范围、体量等信息；修整石径，于文物周边增设解说标识和自助解说设备。探索中心——在现有游客中心的基础上改造而成，适时更新并展示最新考古成果，括古堡群建造历程、军事史、民族史、微缩复原模型等；运用实物展示、 VR、 AR、全息投影等技术复原历史场景；以开放性态度和互动游戏、问答游戏的方式，引导游客思考和探索个中秘密或疑团。外活动区——结合植被和装置艺术品，修整文物核心区和探索中心外围的户外环境，对历史遗迹进行部分“展示性重建”，呈现古堡在建筑序列、构件关系、细部材料等方面的信息；举办戎装人物扮演、服装试穿拍照、历史游园会、过林卡等活动。秀巴乐活区——面向大众至中端客群，于秀巴村、朗色村、丁当村等周边村落选址发展战争文化、旧贵族文化主题的餐厅及民宿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9</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米堆冰川及周边地区</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玉普乡米堆村米堆冰川风景旅游区现有范围，涵盖在建的米堆风情小镇、山珍阁停车场、徒步径、马道、冰湖观景平台等景点或设施。</w:t>
            </w:r>
          </w:p>
        </w:tc>
        <w:tc>
          <w:tcPr>
            <w:tcW w:w="489"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冰川观光+冰川科普+山地休闲</w:t>
            </w:r>
          </w:p>
        </w:tc>
        <w:tc>
          <w:tcPr>
            <w:tcW w:w="3271" w:type="pct"/>
            <w:vAlign w:val="center"/>
          </w:tcPr>
          <w:p>
            <w:pPr>
              <w:pStyle w:val="29"/>
              <w:keepNext w:val="0"/>
              <w:keepLines w:val="0"/>
              <w:suppressLineNumbers w:val="0"/>
              <w:bidi w:val="0"/>
              <w:spacing w:before="0" w:beforeAutospacing="0" w:after="0" w:afterAutospacing="0"/>
              <w:ind w:left="0" w:right="0"/>
              <w:jc w:val="both"/>
              <w:rPr>
                <w:rFonts w:hint="eastAsia"/>
                <w:color w:val="auto"/>
                <w:highlight w:val="none"/>
              </w:rPr>
            </w:pPr>
            <w:r>
              <w:rPr>
                <w:rFonts w:hint="eastAsia"/>
                <w:color w:val="auto"/>
                <w:highlight w:val="none"/>
              </w:rPr>
              <w:t>米堆米堆风情小镇——保持米堆村原有格局和风貌，控制新建民居数量和建筑形式。米堆村民俗活动——结合米堆风情小镇，开展包括藏餐烹调、田间劳作、民俗歌舞等动，促进当地村民增收。优化活动管理——与米堆村村民协作，合理分配旅游收益规范骑马等活动的管理，开展喂马、马匹认养等多元化的活动。改善旅游服务设施——山珍阁停车场：清退现有铁皮屋和私家车、旅游大巴停车场结合“米堆风情小镇” 新建大型社会车辆的立体化停车场，将此地改划为景区接驳电瓶车（中巴、小巴）的乘、上落客处；严格控制区内商店、食肆的音量，营造安宁、舒适的公共环境；按照4A级景区标准，增设大型公共厕所。徒步径：按照4A级景区的设计标准，改造徒步径，按500米的距离设置休息廊亭，设置难度指数标识，提供线路长度、坡度和路况指引，增加公共厕所、垃圾桶等设施，避免出现地砖卡脚、马粪遍地等状况；在图文讲解、导游讲解等环节，加强对玛尼堆祈福文化的介绍和普及；于面向两大世界级冰瀑布的视觉制高点，新建观景亭。马道：加强对游客和景区职员的安全教育和骑术培训，并向每位自愿参与骑马活动的游客明确责任与风险；执行更为有效的通风、除臭措施，限制马匹进入除马道以外的公共区域，避免再度出现马粪遍地的状况。冰湖观景平台：严格禁止游客翻越护栏，靠近冰湖沿岸范围；增设分类垃圾桶，定期清理观景平台周边的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10</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帕隆藏布一河两岸</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南北分别至岗云杉林、波堆桃花沟，东西分别至彼得藏布-帕隆藏布交汇处、古乡的范围，涵盖岗云杉林、波堆桃花谷、嘎朗国家湿地公园（嘎朗湖）等景区，以及嘎朗村、 岗村西部、古乡东部区域。</w:t>
            </w:r>
          </w:p>
        </w:tc>
        <w:tc>
          <w:tcPr>
            <w:tcW w:w="489"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花卉观光+湿地科普+农业休闲+藏王文化体验</w:t>
            </w:r>
          </w:p>
        </w:tc>
        <w:tc>
          <w:tcPr>
            <w:tcW w:w="3271"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多地整合——将岗云杉林、 岗村、古乡等帕隆藏布沿线相邻区域作为一个“无边界景区”的整体统筹发展。岗云杉林——按照国家级自然保护区的要求，建立生态敏感区监测体系；就东西两端的岗云村、巴卡村的民宿业态作出政策引导；以 G318 支线桥头为界，将该路段以西部分改划为“城郊型生态徒步径” ，限制社会车辆进入，配置电瓶车、马车、马匹等环保交通工具。波堆桃花谷——推广“春赏桃花、夏品桃子、秋观彩林、冬看白雪”的四季主题产品；在现有的花卉观光旅游之外，深度开发桃子采摘、桃品鉴赏、动物喂饲、桃胶烹调、桃核雕刻制作等体验活动。嘎朗国家湿地公园——划定核心景观区、生态保育区、一般游憩区和管理服务区，按照不同功能分区的要求，完善观光体验、森林康养、自然教育等业态的布局； 充分利用现有的消防瞭望台，开放予游客作森林防火教育和观光摄影之用。嘎朗村——结合嘎朗王宫遗址广场和前地，增设停车、咨询、厕所、解说、环卫等基础设施；改划嘎朗王宫复原建筑的用途，将“第一代藏王聂赤赞普展览馆”移师其中。岗村——拓宽岗村通往岗云杉林的主干道及绕经庄园、民宿集群的次干道，新建岗村南侧的游步道及木栈道，配套相关设施。古乡——以波密县“乡村旅游示范村”为目标，优先发展巴卡村，布设花池、停车场、公共厕所、标识系统，以及特产商铺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11</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易贡国家地质公园 及周边地区</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南至通麦村通麦特大桥，北至易贡乡易贡茶场的易贡藏布沿线易贡国家地质公园，涵盖易贡国家地质公园、易贡湖、易贡茶场、铁山等景区。</w:t>
            </w:r>
          </w:p>
        </w:tc>
        <w:tc>
          <w:tcPr>
            <w:tcW w:w="489" w:type="pct"/>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茶田观光+湿地度假+铁矿导赏+地质科普</w:t>
            </w:r>
          </w:p>
        </w:tc>
        <w:tc>
          <w:tcPr>
            <w:tcW w:w="3271"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易贡国家地质公园——将易贡国家地质公园和帕隆藏布以北的冰川群进行整体包装，</w:t>
            </w:r>
          </w:p>
          <w:p>
            <w:pPr>
              <w:pStyle w:val="29"/>
              <w:keepNext w:val="0"/>
              <w:keepLines w:val="0"/>
              <w:suppressLineNumbers w:val="0"/>
              <w:bidi w:val="0"/>
              <w:spacing w:before="0" w:beforeAutospacing="0" w:after="0" w:afterAutospacing="0"/>
              <w:ind w:left="0" w:right="0"/>
              <w:jc w:val="both"/>
              <w:rPr>
                <w:rFonts w:hint="eastAsia"/>
                <w:color w:val="auto"/>
                <w:highlight w:val="none"/>
              </w:rPr>
            </w:pPr>
            <w:r>
              <w:rPr>
                <w:rFonts w:hint="eastAsia"/>
                <w:color w:val="auto"/>
                <w:highlight w:val="none"/>
              </w:rPr>
              <w:t>申报“世界自然遗产”；新建“易贡地质公园博物馆” 、 “多媒体地质灾害模拟演示中心” 、“游客环境教育中心” 等设施；就滑坡高发地带和裸露山体实施连续性监控和复绿治理。易贡湖——按照国家湿地公园的管理要求，规范格拉丹东酒店等机构的经营行为，联合林业、环保部门，切实把关污染废弃物处理等环节；实施“易贡湖生态修复与综合治理工程”，改善黑颈鹤等珍稀鸟类栖息地生境、减轻堰塞湖的湖区淹没损失、降低堰塞体溃决洪水对下游沿岸基础设施与生态环境的威胁、利用防灾减灾泄洪隧洞并利用落差引水发电，为当地经济发展提供可靠的能源支撑。易贡茶场——借助电商平台，加大品牌营销力度，完善电商交易、价格公示、物流配送等各项环节；立足原产地优势，开设藏式甜茶馆，并加入本土时令农副产品以扩充餐单。铁山——严格保护铁矿资源，允许合资格的本地村民及导游带领小规模团队，参观铁山局部安全区域；适度开展“易贡藏刀”的生产加工观摩、体验活动；利用茶场旧厂房发展民宿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12</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墨脱县城 及周边地区</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墨脱县城及其南部，包括德兴民俗村、德兴大桥、德兴藤网桥、仁青崩寺、莲花阁、拉贡茶场、西贡布裙湖等景点</w:t>
            </w:r>
          </w:p>
        </w:tc>
        <w:tc>
          <w:tcPr>
            <w:tcW w:w="489" w:type="pct"/>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康养度假+民俗文化体验+雨林观光+科考探险</w:t>
            </w:r>
          </w:p>
        </w:tc>
        <w:tc>
          <w:tcPr>
            <w:tcW w:w="3271"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德兴民俗村——结合村级配套设施，打造富有亚热带雨林风情和少数民族特色的精品民宿度假群落；因应门巴族传统建筑和德兴藤网桥的结构和形制，改造当代建筑，塑造更为协调的建筑风貌；活化广场、公园等公共空间，开展歌舞、射箭、摔跤、抱石、攀藤索等康体运动。仁青崩寺——落实县城至仁青崩寺盘山公路的硬底化工程，在既有 3 公里转经路线的上，透过布置标识系统、修复生态等措施，建立森林康养和宗教文化体验主题的徒步径。莲花阁——置入触控、声控等传感技术和自助讲解机器人，增设互动体验区，弥补文字、图像、实物、模型展示的不足； 联合本地校园和乡村社区开展门珞歌舞、藤编、竹器、石锅、木碗等非遗技艺的体验活动；发挥县城制高点优势，打造观景平台，为游客提供舒适休憩场，同时将现时顶层展览的城市规划、时政报道等与门珞历史文化无关的内容，移师至莲花湖广场规划展览馆。布裙湖风景区——选用本土材料，建设台阶型、爬梯型、栈桥型等地面观光通道，满足不同年龄段的游客需求；运用 AR、 VR 技术，联结智能手机或其他设备，介绍区内的独特景观和动植物资源，创造“打卡集邮” 的新途径；利用新能源、仿自然灯光和投影等技术，建立全时游览体系；在专业人员带领下，开展雨林穿越活动，传授毒物分辨、庇护选址、食水补给等野外生存知识。餐饮业态——推广石锅烹调、药酒酿制、食用野菜等本土饮食文化，以及墨脱石锅非遗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13</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背崩徒步站 及周边地区</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墨脱县背崩乡</w:t>
            </w:r>
          </w:p>
        </w:tc>
        <w:tc>
          <w:tcPr>
            <w:tcW w:w="489" w:type="pct"/>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徒步运动+丛林观光+文化体验</w:t>
            </w:r>
          </w:p>
        </w:tc>
        <w:tc>
          <w:tcPr>
            <w:tcW w:w="3271"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派墨徒步路线——结合已有的“莲花佛缘·亚热带墨脱徒步文化旅游节”，打造精品旅游徒步路线；因应自然灾害和派墨公路工程，重新评估和设计原有徒步路线；透过吊桥、石径、茅草屋等景观小品，进一步营造沉浸式氛围；接入林芝智慧旅游大数据平台，为游客和景区决策方提供路况、险情预警、客流监测等资讯。背崩徒步站——在背崩乡现有咨询服务点的基础上，补充餐饮、营地、物资补给、医疗救助等功能。背崩村——选址建设“派墨徒步博物馆”，积极向社会征集派墨徒步路线沿线的文学、摄影、影视作品，以及与门珞文化息息相关的物件藏品，以故事性、传奇性与个人色彩为卖点，构建一个同好深度交流的展览空间；定期与体育行业协会、慈善公益组织、旅行 KOL等机构或个人合作开展“真人图书馆” 类型的分享交流活动。节事活动——与体育行业协会、慈善公益组织、 OTA 等机构，合作开展徒步定向挑战赛、 “行走的力量” 品牌公益活动等。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14</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梅里雪山 及甲兴片区</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包括梅里雪山、甲兴村、察瓦龙乡等景点。</w:t>
            </w:r>
          </w:p>
        </w:tc>
        <w:tc>
          <w:tcPr>
            <w:tcW w:w="489" w:type="pct"/>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自驾体验+雪域风光</w:t>
            </w:r>
          </w:p>
        </w:tc>
        <w:tc>
          <w:tcPr>
            <w:tcW w:w="3271"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梅里雪山——现阶段旅游开发以加强旅游基础设施建设为主，修复提升转山道路，沿转山道修建观景平台及标识系统；此外，亦要积极融入“大香格里拉旅游圈”，与云南德钦联动开发旅游路线。甲兴旅游景区——提升“察瓦龙-甲兴” 交通条件，完善甲兴牧场基础设施建设，建造适量牧场木屋，提供住宿设施，并开展骑马、马术竞赛、牧场宿营等活动；开发甲兴特色旅游村落，对接梅里雪山，增加登山、探险、朝圣、祭祀等游客体验活动。察瓦龙边境小镇——按照“西藏东南门户”、“新滇藏线桥头堡”的定位，依托现有旅游资源及产业资源，打造察瓦龙旅游服务中心，配套商业街、酒店、美食街、自驾车营地等基础设施；小镇的整体风貌需体现藏族特色，同时融入多民族文化、边境文化，打造成新入藏门户和边境特色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pPr>
              <w:pStyle w:val="29"/>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15</w:t>
            </w:r>
          </w:p>
        </w:tc>
        <w:tc>
          <w:tcPr>
            <w:tcW w:w="329"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下察隅 及周边地区</w:t>
            </w:r>
          </w:p>
        </w:tc>
        <w:tc>
          <w:tcPr>
            <w:tcW w:w="642"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以沙玛村、沙琼村、夏尼村、嘎腰村、嘎腰梯田为主的乡村区域。</w:t>
            </w:r>
          </w:p>
        </w:tc>
        <w:tc>
          <w:tcPr>
            <w:tcW w:w="489" w:type="pct"/>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边境文化+僜人文化+田园风光</w:t>
            </w:r>
          </w:p>
        </w:tc>
        <w:tc>
          <w:tcPr>
            <w:tcW w:w="3271" w:type="pc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rPr>
              <w:t>沙玛边境风情村——近期开发， 发掘边境民俗文化资源，建设边境特色风情村。结合沙玛村梯田景观，开发稻田特色农庄、稻田餐厅、五彩田园、大地景观等项目，树立“中印边境打卡点”，如在边境标志上刻上经纬度、边境距离等，营造新的地标性景观。沙琼僜人民俗村——近期开发， 修缮或复建僜人乡村建筑，适度引入旅游功能，建设“僜人文化体验园”、“僜人文化博物馆”等设施，引导村民开设民宿、僜人特色餐饮店或土特产商店等。 其中， 1. “僜人文化博物馆” 内设迎宾门厅、浮空投影展厅、 僜人生活馆、僜人生产馆、 僜人文化珍藏馆（农具、衣帽实物及照片）等设施，展示僜人部落的历史演化过程和时代变迁。 2. “僜人文化体验园” 以“过去-现在” 的生产和生活活动为线索，涵盖民俗节庆活动、婚庆嫁娶、传统手艺制作等多元化体验项目。夏尼江南风情村——2021 年起，开发江南农家风情小屋、农家庭院、乡土餐厅以及小型会议、娱乐设施，提供农家住宿、餐饮、采摘、演艺等产品。</w:t>
            </w:r>
          </w:p>
        </w:tc>
      </w:tr>
    </w:tbl>
    <w:p>
      <w:pPr>
        <w:pStyle w:val="6"/>
        <w:bidi w:val="0"/>
        <w:rPr>
          <w:rFonts w:hint="eastAsia"/>
          <w:color w:val="auto"/>
          <w:highlight w:val="none"/>
        </w:rPr>
        <w:sectPr>
          <w:pgSz w:w="16838" w:h="11906" w:orient="landscape"/>
          <w:pgMar w:top="1800" w:right="1440" w:bottom="1417" w:left="1440" w:header="851" w:footer="992" w:gutter="0"/>
          <w:pgNumType w:fmt="decimal"/>
          <w:cols w:space="425" w:num="1"/>
          <w:docGrid w:type="lines" w:linePitch="312" w:charSpace="0"/>
        </w:sectPr>
      </w:pPr>
    </w:p>
    <w:p>
      <w:pPr>
        <w:pStyle w:val="5"/>
        <w:bidi w:val="0"/>
        <w:rPr>
          <w:rFonts w:hint="eastAsia"/>
          <w:color w:val="auto"/>
          <w:highlight w:val="none"/>
        </w:rPr>
      </w:pPr>
      <w:bookmarkStart w:id="62" w:name="_Toc28960"/>
      <w:r>
        <w:rPr>
          <w:rFonts w:hint="eastAsia"/>
          <w:color w:val="auto"/>
          <w:highlight w:val="none"/>
          <w:lang w:val="en-US" w:eastAsia="zh-CN"/>
        </w:rPr>
        <w:t>2.1.2</w:t>
      </w:r>
      <w:r>
        <w:rPr>
          <w:rFonts w:hint="eastAsia"/>
          <w:color w:val="auto"/>
          <w:highlight w:val="none"/>
        </w:rPr>
        <w:t>项目及产品规划</w:t>
      </w:r>
      <w:bookmarkEnd w:id="62"/>
    </w:p>
    <w:p>
      <w:pPr>
        <w:pStyle w:val="2"/>
        <w:bidi w:val="0"/>
        <w:rPr>
          <w:rFonts w:hint="eastAsia"/>
          <w:color w:val="auto"/>
          <w:highlight w:val="none"/>
          <w:lang w:val="en-US" w:eastAsia="zh-CN"/>
        </w:rPr>
      </w:pPr>
      <w:r>
        <w:rPr>
          <w:rFonts w:hint="eastAsia"/>
          <w:color w:val="auto"/>
          <w:highlight w:val="none"/>
          <w:lang w:val="en-US" w:eastAsia="zh-CN"/>
        </w:rPr>
        <w:t>2.1.2.1旅游资源评价</w:t>
      </w:r>
    </w:p>
    <w:p>
      <w:pPr>
        <w:pStyle w:val="6"/>
        <w:bidi w:val="0"/>
        <w:rPr>
          <w:rStyle w:val="48"/>
          <w:color w:val="auto"/>
          <w:highlight w:val="none"/>
          <w:lang w:val="en-US" w:eastAsia="zh-CN"/>
        </w:rPr>
      </w:pPr>
      <w:r>
        <w:rPr>
          <w:rStyle w:val="48"/>
          <w:color w:val="auto"/>
          <w:highlight w:val="none"/>
          <w:lang w:val="en-US" w:eastAsia="zh-CN"/>
        </w:rPr>
        <w:t>规划组依据《旅游资源分类、调查与评价》(GB/T18972-2003)的共有因子评价模型，对林芝主要旅游资源进行评价。依据标准，林芝旅游资源优良级旅游资源如表所示：</w:t>
      </w:r>
    </w:p>
    <w:p>
      <w:pPr>
        <w:pStyle w:val="27"/>
        <w:bidi w:val="0"/>
        <w:rPr>
          <w:color w:val="auto"/>
          <w:highlight w:val="none"/>
        </w:rPr>
      </w:pPr>
      <w:r>
        <w:rPr>
          <w:rFonts w:hint="eastAsia"/>
          <w:color w:val="auto"/>
          <w:highlight w:val="none"/>
          <w:lang w:val="en-US" w:eastAsia="zh-CN"/>
        </w:rPr>
        <w:t xml:space="preserve">表2.1-3  </w:t>
      </w:r>
      <w:r>
        <w:rPr>
          <w:color w:val="auto"/>
          <w:highlight w:val="none"/>
          <w:lang w:val="en-US" w:eastAsia="zh-CN"/>
        </w:rPr>
        <w:t>林芝市旅游资源等级分类</w:t>
      </w:r>
    </w:p>
    <w:tbl>
      <w:tblPr>
        <w:tblStyle w:val="24"/>
        <w:tblW w:w="900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788"/>
        <w:gridCol w:w="865"/>
        <w:gridCol w:w="73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7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lang w:val="en-US" w:eastAsia="zh-CN"/>
              </w:rPr>
              <w:t xml:space="preserve">类型 </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lang w:val="en-US" w:eastAsia="zh-CN"/>
              </w:rPr>
              <w:t xml:space="preserve">等级 </w:t>
            </w:r>
          </w:p>
        </w:tc>
        <w:tc>
          <w:tcPr>
            <w:tcW w:w="73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lang w:val="en-US" w:eastAsia="zh-CN"/>
              </w:rPr>
              <w:t>代表性资源单体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788" w:type="dxa"/>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优良</w:t>
            </w:r>
          </w:p>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级资</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源</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五级（特品级）</w:t>
            </w:r>
          </w:p>
        </w:tc>
        <w:tc>
          <w:tcPr>
            <w:tcW w:w="73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雅鲁藏布大峡谷、南迦巴瓦峰、梅里雪山、雅鲁藏布江、巴松措、鲁朗小镇等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788" w:type="dxa"/>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四级</w:t>
            </w:r>
          </w:p>
        </w:tc>
        <w:tc>
          <w:tcPr>
            <w:tcW w:w="7347" w:type="dxa"/>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米堆冰川、岗云杉林、世界柏树王园林、易贡国家地质公园、色季拉国家森林公园、慈巴沟国家级自然保护区、 怒江峡谷、 波堆桃花沟、南伊沟景区、果果塘大拐弯、雅尼国家湿地公园、朱拉河国家湿地公园、嘎朗国家湿地公园、冲康庄园、千年核桃王景区、秀巴古堡、米林珞巴族服饰、林芝工布藏族服饰、林芝桃花节、 G318 林芝段、 G219 察瓦龙-德姆拉山段等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788" w:type="dxa"/>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三级</w:t>
            </w:r>
          </w:p>
        </w:tc>
        <w:tc>
          <w:tcPr>
            <w:tcW w:w="7347" w:type="dxa"/>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苯日神山、比日神山、加拉白垒峰、德姆拉山、盔甲山、东久赤斑羚自然保护区、卡定天佛瀑布景区、扎贡沟、 嘎贡沟、 帕隆藏布峡谷、江河汇流、措木及日景区、拉多藏湖、林多大拐弯、藏布巴东</w:t>
            </w:r>
            <w:r>
              <w:rPr>
                <w:rFonts w:hint="default" w:ascii="MicrosoftYaHei" w:hAnsi="MicrosoftYaHei" w:eastAsia="MicrosoftYaHei" w:cs="MicrosoftYaHei"/>
                <w:b w:val="0"/>
                <w:bCs w:val="0"/>
                <w:i w:val="0"/>
                <w:iCs w:val="0"/>
                <w:color w:val="auto"/>
                <w:kern w:val="0"/>
                <w:sz w:val="22"/>
                <w:szCs w:val="22"/>
                <w:highlight w:val="none"/>
                <w:lang w:val="en-US" w:eastAsia="zh-CN" w:bidi="ar"/>
              </w:rPr>
              <w:t>瀑布群、 阿扎冰川、 朗秋冰川、朱西冰川、千年大桑树、喇嘛岭寺、仁青崩寺、 烈山古墓、藏东南文化遗产博物馆、莲花阁、林芝工布庄园希尔顿酒店、工布花谷、甲兴村、 罗马村、沙玛村、 僜人文化、茶马古道、 虫草、松茸、墨脱石锅、察隅木碗、易贡藏刀、僜人手抓饭、珞巴族始祖传说、工布新年、黄牡丹文化旅游节等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788" w:type="dxa"/>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普通</w:t>
            </w:r>
          </w:p>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级资</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源</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二级</w:t>
            </w:r>
          </w:p>
        </w:tc>
        <w:tc>
          <w:tcPr>
            <w:tcW w:w="73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米拉山、嘎隆拉山、铁山、佛掌沙丘、大流沙、嘎瓦龙天池、布裙湖、 派镇加拉村雅江堰塞湖、 加兴沟水帘瀑布、老虎嘴瀑布、汗密瀑布、亲水叠瀑、勃勃朗冰川、清水河、察隅温泉宾馆、布加沟温泉群、邦杰塘草原、嘎贡沟高山牧场、林则猕猴自然保护区、塔巴寺（噶厦政府遗址） 、措宗寺、则拉宗遗址、莲花广场、德兴藤网桥、迫龙沟特大桥、通麦特大桥、怒江大桥、多布水电站、金东藏纸工坊、 林芝毛纺厂、 林芝火柴厂、 林芝印刷厂、 工布响箭、工布圣香、波密膀贡肉、鲁朗石锅鸡、糌粑、酥油茶、甜茶、墨脱门巴服饰、藏历新年、巴松措民俗文化旅游节、 雅鲁藏布生态文化旅游节、波密达大马术节、波密民俗文化艺术节等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788" w:type="dxa"/>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一级</w:t>
            </w:r>
          </w:p>
        </w:tc>
        <w:tc>
          <w:tcPr>
            <w:tcW w:w="7347" w:type="dxa"/>
            <w:shd w:val="clear" w:color="auto" w:fill="auto"/>
            <w:vAlign w:val="center"/>
          </w:tcPr>
          <w:p>
            <w:pPr>
              <w:pStyle w:val="29"/>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卧龙奇石、丙察察线野生仙人掌林、加隆瀑布、乌当瀑布、扎日圣水、则普冰川、卡钦冰川、嘎隆曲、桑曲、松多温泉、明期村温泉、扎布拉草原、太昭古城、嘎朗王宫遗址、旧堆村遗址、直白村、久巴村、色定村、拉如村、贡布曼隆宇妥藏医学校、健康主题公园（湿地公园）、德嘎度假村、宇拓广场、波密广场、锅庄广场、工布映象商业街、林芝烈士陵园、德兴大桥、灵芝产业园、朗敦辣椒专业合作社、藏靴、苯日神山拜鹰节、仁布圣水节、巴尔曲德松珠节、巴松措转湖节、多吉乡斗熊节、孜列次久节、巴热寺庙会、僜人民俗文化节、沙俄节等</w:t>
            </w:r>
          </w:p>
        </w:tc>
      </w:tr>
    </w:tbl>
    <w:p>
      <w:pPr>
        <w:pStyle w:val="6"/>
        <w:bidi w:val="0"/>
        <w:rPr>
          <w:rStyle w:val="48"/>
          <w:color w:val="auto"/>
          <w:highlight w:val="none"/>
        </w:rPr>
      </w:pPr>
      <w:r>
        <w:rPr>
          <w:rStyle w:val="48"/>
          <w:color w:val="auto"/>
          <w:highlight w:val="none"/>
          <w:lang w:val="en-US" w:eastAsia="zh-CN"/>
        </w:rPr>
        <w:t>根据上表，林芝市境内共有优良级旅游资源67处。其中，五级旅游资源6处，四级旅游资源21处，三级旅游资源40处。另外，区内亦有普通级旅游资源逾百处。由此可知，林芝市的旅游资源数量庞大，且优良级资源占比较多，有极大开发潜力。调查结果表明，林芝市的旅游资源涵盖了国家旅游资源分类标准中8 个主类的全部、31个亚类中的 30 个、155个基本类型中的105个。主类、亚类、基本类型分别占全国资源类型的100.00%、96.77% 及67.74%。</w:t>
      </w:r>
    </w:p>
    <w:p>
      <w:pPr>
        <w:pStyle w:val="2"/>
        <w:bidi w:val="0"/>
        <w:rPr>
          <w:rFonts w:hint="eastAsia"/>
          <w:color w:val="auto"/>
          <w:highlight w:val="none"/>
          <w:lang w:val="en-US" w:eastAsia="zh-CN"/>
        </w:rPr>
      </w:pPr>
      <w:r>
        <w:rPr>
          <w:rFonts w:hint="eastAsia"/>
          <w:color w:val="auto"/>
          <w:highlight w:val="none"/>
          <w:lang w:val="en-US" w:eastAsia="zh-CN"/>
        </w:rPr>
        <w:t>2.1.2.2</w:t>
      </w:r>
      <w:r>
        <w:rPr>
          <w:rFonts w:hint="eastAsia"/>
          <w:color w:val="auto"/>
          <w:highlight w:val="none"/>
        </w:rPr>
        <w:t>旅游产品</w:t>
      </w:r>
      <w:r>
        <w:rPr>
          <w:rFonts w:hint="eastAsia"/>
          <w:color w:val="auto"/>
          <w:highlight w:val="none"/>
          <w:lang w:val="en-US" w:eastAsia="zh-CN"/>
        </w:rPr>
        <w:t>供给</w:t>
      </w:r>
    </w:p>
    <w:p>
      <w:pPr>
        <w:pStyle w:val="6"/>
        <w:bidi w:val="0"/>
        <w:rPr>
          <w:rFonts w:hint="eastAsia"/>
          <w:color w:val="auto"/>
          <w:highlight w:val="none"/>
          <w:lang w:val="en-US" w:eastAsia="zh-CN"/>
        </w:rPr>
      </w:pPr>
      <w:r>
        <w:rPr>
          <w:rFonts w:hint="eastAsia"/>
          <w:color w:val="auto"/>
          <w:highlight w:val="none"/>
          <w:lang w:val="en-US" w:eastAsia="zh-CN"/>
        </w:rPr>
        <w:t>在自然类旅游产品方面，林芝共有国家A级景区7家、国家级自然保护区2处、国家森林公园3处、国家湿地公园3处、国家级旅游度假区1处。在人文及设施类旅游产品方面，林芝拥有各级不可移动文物点超过280处、各级可移动文物逾2100件。此外，建有高星级（或按照四星或以上标准建设）的住宿设施13家。</w:t>
      </w:r>
    </w:p>
    <w:p>
      <w:pPr>
        <w:pStyle w:val="27"/>
        <w:bidi w:val="0"/>
        <w:rPr>
          <w:rFonts w:hint="eastAsia"/>
          <w:highlight w:val="none"/>
          <w:lang w:val="en-US" w:eastAsia="zh-CN"/>
        </w:rPr>
      </w:pPr>
      <w:r>
        <w:rPr>
          <w:rFonts w:hint="eastAsia"/>
          <w:highlight w:val="none"/>
          <w:lang w:val="en-US" w:eastAsia="zh-CN"/>
        </w:rPr>
        <w:t>表2.1-4  林芝市代表性旅游产品、项目</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3995"/>
        <w:gridCol w:w="3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pStyle w:val="29"/>
              <w:keepNext w:val="0"/>
              <w:keepLines w:val="0"/>
              <w:suppressLineNumbers w:val="0"/>
              <w:bidi w:val="0"/>
              <w:spacing w:before="0" w:beforeAutospacing="0" w:after="0" w:afterAutospacing="0"/>
              <w:ind w:left="0" w:right="0"/>
              <w:rPr>
                <w:rFonts w:hint="default"/>
                <w:b/>
                <w:bCs/>
                <w:highlight w:val="none"/>
                <w:lang w:val="en-US" w:eastAsia="zh-CN"/>
              </w:rPr>
            </w:pPr>
            <w:r>
              <w:rPr>
                <w:rFonts w:hint="eastAsia"/>
                <w:b/>
                <w:bCs/>
                <w:highlight w:val="none"/>
                <w:lang w:val="en-US" w:eastAsia="zh-CN"/>
              </w:rPr>
              <w:t>分类</w:t>
            </w:r>
          </w:p>
        </w:tc>
        <w:tc>
          <w:tcPr>
            <w:tcW w:w="4347" w:type="dxa"/>
            <w:vAlign w:val="center"/>
          </w:tcPr>
          <w:p>
            <w:pPr>
              <w:pStyle w:val="29"/>
              <w:keepNext w:val="0"/>
              <w:keepLines w:val="0"/>
              <w:suppressLineNumbers w:val="0"/>
              <w:bidi w:val="0"/>
              <w:spacing w:before="0" w:beforeAutospacing="0" w:after="0" w:afterAutospacing="0"/>
              <w:ind w:left="0" w:right="0"/>
              <w:rPr>
                <w:rFonts w:hint="eastAsia"/>
                <w:b/>
                <w:bCs/>
                <w:highlight w:val="none"/>
                <w:lang w:val="en-US" w:eastAsia="zh-CN"/>
              </w:rPr>
            </w:pPr>
            <w:r>
              <w:rPr>
                <w:rFonts w:hint="default"/>
                <w:b/>
                <w:bCs/>
                <w:highlight w:val="none"/>
                <w:lang w:val="en-US" w:eastAsia="zh-CN"/>
              </w:rPr>
              <w:t xml:space="preserve">代表性旅游产品或项目 </w:t>
            </w:r>
          </w:p>
        </w:tc>
        <w:tc>
          <w:tcPr>
            <w:tcW w:w="2860" w:type="dxa"/>
            <w:vAlign w:val="center"/>
          </w:tcPr>
          <w:p>
            <w:pPr>
              <w:pStyle w:val="29"/>
              <w:keepNext w:val="0"/>
              <w:keepLines w:val="0"/>
              <w:suppressLineNumbers w:val="0"/>
              <w:bidi w:val="0"/>
              <w:spacing w:before="0" w:beforeAutospacing="0" w:after="0" w:afterAutospacing="0"/>
              <w:ind w:left="0" w:right="0"/>
              <w:rPr>
                <w:rFonts w:hint="eastAsia"/>
                <w:b/>
                <w:bCs/>
                <w:highlight w:val="none"/>
                <w:lang w:val="en-US" w:eastAsia="zh-CN"/>
              </w:rPr>
            </w:pPr>
            <w:r>
              <w:rPr>
                <w:rFonts w:hint="default"/>
                <w:b/>
                <w:bCs/>
                <w:highlight w:val="none"/>
                <w:lang w:val="en-US" w:eastAsia="zh-CN"/>
              </w:rPr>
              <w:t>旅游相关称号或荣誉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restart"/>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代表性自然类旅游产品或项目</w:t>
            </w: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雅鲁藏布大峡谷 </w:t>
            </w:r>
          </w:p>
        </w:tc>
        <w:tc>
          <w:tcPr>
            <w:tcW w:w="2860"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世界最大峡谷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帕隆藏布峡谷 </w:t>
            </w:r>
          </w:p>
        </w:tc>
        <w:tc>
          <w:tcPr>
            <w:tcW w:w="2860"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世界第三大峡谷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巴松措 </w:t>
            </w:r>
          </w:p>
        </w:tc>
        <w:tc>
          <w:tcPr>
            <w:tcW w:w="2860"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国家5A级景区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雅鲁藏布大峡谷景区、 鲁朗小镇、南伊沟景区 </w:t>
            </w:r>
          </w:p>
        </w:tc>
        <w:tc>
          <w:tcPr>
            <w:tcW w:w="2860"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国家4A级景区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卡定天佛瀑布景区、千年核桃王景区、尼洋阁景区</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国家3A级景区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巴松措、色季拉、比日神山 </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国家森林公园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雅尼、嘎朗、朱拉河 </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国家湿地公园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易贡国家地质公园 </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国家地质公园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雅鲁藏布大峡谷、慈巴沟 </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藏香猪、林芝松茸、林芝灵芝、林芝天麻、林芝蜂蜜等</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国家地理标志保护产品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工布自治区级自然保护区 </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西藏自治区级自然保护区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南迦巴瓦峰 </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《中国国家地理》“中国最美山峰”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鲁朗林海 </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中国最大原始冷云杉林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波堆桃花沟 </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大世界基尼斯“中国最大桃花谷”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代表性旅游产品或项目 </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旅游相关称号或荣誉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restart"/>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代表性人文及设施类旅游产品</w:t>
            </w: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鲁朗小镇 </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国家级旅游度假区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 xml:space="preserve">烈山古墓、扎木中心县委红楼 </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全国重点文物保护单位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米林珞巴族服饰、林芝工布藏族服饰、珞巴族始祖传说等</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国家级非物质文化遗产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工布第穆萨摩崖石刻、朋仁曲德寺、冲康庄园、墨脱县藤网桥等</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西藏自治区文物保护单位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米林丹娘铁器制作技艺、墨脱门巴竹编制作技艺、墨脱石锅制作技艺等</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西藏自治区级非物质文化遗产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超过2100件，其中9成以上为佛像、经书、唐卡等寺庙文物</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可移动文物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林芝工布庄园希尔顿酒店、鲁朗珠江国际酒店、林芝恒大酒店、林芝保利雅途酒店、林芝五洲皇冠酒店、林芝汀樾酒店等</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五星级（或按照五星标准建设）酒店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vMerge w:val="continue"/>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4347"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博泰林芝大酒店、林芝中海花园酒店、林芝明珠大酒店、喜马拉雅大峡谷酒店等</w:t>
            </w:r>
          </w:p>
        </w:tc>
        <w:tc>
          <w:tcPr>
            <w:tcW w:w="0" w:type="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四星级（或按照四星标准建设）酒店</w:t>
            </w:r>
          </w:p>
        </w:tc>
      </w:tr>
    </w:tbl>
    <w:p>
      <w:pPr>
        <w:pStyle w:val="2"/>
        <w:bidi w:val="0"/>
        <w:rPr>
          <w:rFonts w:hint="eastAsia"/>
          <w:highlight w:val="none"/>
          <w:lang w:val="en-US" w:eastAsia="zh-CN"/>
        </w:rPr>
      </w:pPr>
      <w:r>
        <w:rPr>
          <w:rFonts w:hint="eastAsia"/>
          <w:highlight w:val="none"/>
          <w:lang w:val="en-US" w:eastAsia="zh-CN"/>
        </w:rPr>
        <w:t>2.1.2.3规划项目分布情况</w:t>
      </w:r>
    </w:p>
    <w:p>
      <w:pPr>
        <w:pStyle w:val="6"/>
        <w:bidi w:val="0"/>
        <w:rPr>
          <w:rFonts w:hint="default"/>
          <w:highlight w:val="none"/>
          <w:lang w:val="en-US" w:eastAsia="zh-CN"/>
        </w:rPr>
      </w:pPr>
      <w:r>
        <w:rPr>
          <w:rFonts w:hint="eastAsia"/>
          <w:highlight w:val="none"/>
          <w:lang w:val="en-US" w:eastAsia="zh-CN"/>
        </w:rPr>
        <w:t>本次规划涉及景区各</w:t>
      </w:r>
      <w:r>
        <w:rPr>
          <w:rFonts w:hint="default"/>
          <w:highlight w:val="none"/>
          <w:lang w:eastAsia="zh-CN"/>
        </w:rPr>
        <w:t>空间</w:t>
      </w:r>
      <w:r>
        <w:rPr>
          <w:rFonts w:hint="eastAsia"/>
          <w:highlight w:val="none"/>
          <w:lang w:val="en-US" w:eastAsia="zh-CN"/>
        </w:rPr>
        <w:t>分布情况见下表。</w:t>
      </w:r>
    </w:p>
    <w:p>
      <w:pPr>
        <w:pStyle w:val="6"/>
        <w:bidi w:val="0"/>
        <w:rPr>
          <w:rFonts w:hint="eastAsia"/>
          <w:highlight w:val="none"/>
          <w:lang w:val="en-US" w:eastAsia="zh-CN"/>
        </w:rPr>
      </w:pPr>
    </w:p>
    <w:p>
      <w:pPr>
        <w:pStyle w:val="2"/>
        <w:rPr>
          <w:rFonts w:hint="eastAsia"/>
          <w:highlight w:val="none"/>
          <w:lang w:val="en-US" w:eastAsia="zh-CN"/>
        </w:rPr>
        <w:sectPr>
          <w:pgSz w:w="11906" w:h="16838"/>
          <w:pgMar w:top="1440" w:right="1800" w:bottom="1440" w:left="1800" w:header="851" w:footer="992" w:gutter="0"/>
          <w:pgNumType w:fmt="decimal"/>
          <w:cols w:space="425" w:num="1"/>
          <w:docGrid w:type="lines" w:linePitch="312" w:charSpace="0"/>
        </w:sectPr>
      </w:pPr>
    </w:p>
    <w:p>
      <w:pPr>
        <w:pStyle w:val="27"/>
        <w:bidi w:val="0"/>
        <w:rPr>
          <w:rFonts w:hint="default"/>
          <w:highlight w:val="none"/>
          <w:lang w:val="en-US" w:eastAsia="zh-CN"/>
        </w:rPr>
      </w:pPr>
      <w:r>
        <w:rPr>
          <w:rFonts w:hint="eastAsia"/>
          <w:highlight w:val="none"/>
          <w:lang w:val="en-US" w:eastAsia="zh-CN"/>
        </w:rPr>
        <w:t>表2.1-5  规划涉及泛景区分布情况</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320"/>
        <w:gridCol w:w="1285"/>
        <w:gridCol w:w="428"/>
        <w:gridCol w:w="1613"/>
        <w:gridCol w:w="5127"/>
        <w:gridCol w:w="3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12"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序号</w:t>
            </w:r>
          </w:p>
        </w:tc>
        <w:tc>
          <w:tcPr>
            <w:tcW w:w="466" w:type="pct"/>
            <w:vAlign w:val="center"/>
          </w:tcPr>
          <w:p>
            <w:pPr>
              <w:pStyle w:val="28"/>
              <w:keepNext w:val="0"/>
              <w:keepLines w:val="0"/>
              <w:suppressLineNumbers w:val="0"/>
              <w:bidi w:val="0"/>
              <w:spacing w:beforeAutospacing="0" w:afterAutospacing="0" w:line="276" w:lineRule="auto"/>
              <w:ind w:left="0" w:right="0"/>
              <w:rPr>
                <w:rFonts w:hint="eastAsia"/>
                <w:b/>
                <w:bCs/>
                <w:highlight w:val="none"/>
                <w:lang w:val="en-US" w:eastAsia="zh-CN"/>
              </w:rPr>
            </w:pPr>
            <w:r>
              <w:rPr>
                <w:rFonts w:hint="eastAsia"/>
                <w:b/>
                <w:bCs/>
                <w:highlight w:val="none"/>
              </w:rPr>
              <w:t>泛景区</w:t>
            </w:r>
            <w:r>
              <w:rPr>
                <w:rFonts w:hint="eastAsia"/>
                <w:b/>
                <w:bCs/>
                <w:highlight w:val="none"/>
                <w:lang w:val="en-US" w:eastAsia="zh-CN"/>
              </w:rPr>
              <w:t>名称</w:t>
            </w:r>
          </w:p>
        </w:tc>
        <w:tc>
          <w:tcPr>
            <w:tcW w:w="453"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行政区域</w:t>
            </w: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景点名称</w:t>
            </w:r>
          </w:p>
        </w:tc>
        <w:tc>
          <w:tcPr>
            <w:tcW w:w="1809"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建设内容</w:t>
            </w:r>
          </w:p>
        </w:tc>
        <w:tc>
          <w:tcPr>
            <w:tcW w:w="1237"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依托资源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1</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鲁朗小镇及周边地区</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巴宜区</w:t>
            </w: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鲁朗小镇</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增设停机坪和航空应急、补给设施</w:t>
            </w:r>
          </w:p>
        </w:tc>
        <w:tc>
          <w:tcPr>
            <w:tcW w:w="1237"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西藏色季拉森林公园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扎西岗村</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改造村内民宿，开拓全屋智能家居、农牧远程养殖等服务</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鲁朗林海</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开展城郊休闲和花卉摄影活动</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鲁朗花海牧场</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结合现有的雅鲁藏布大峡谷高空观光航拍产品，发展空中特种旅游活动</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雅伊沟</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结合茶马古道，以雅伊湖为终点，开展徒步穿越、观南迦巴瓦以及科考活动</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苯日景区</w:t>
            </w:r>
          </w:p>
        </w:tc>
        <w:tc>
          <w:tcPr>
            <w:tcW w:w="1809" w:type="pct"/>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建设观景平台、栈道</w:t>
            </w:r>
          </w:p>
        </w:tc>
        <w:tc>
          <w:tcPr>
            <w:tcW w:w="1237" w:type="pct"/>
            <w:vAlign w:val="center"/>
          </w:tcPr>
          <w:p>
            <w:pPr>
              <w:pStyle w:val="29"/>
              <w:keepNext w:val="0"/>
              <w:keepLines w:val="0"/>
              <w:suppressLineNumbers w:val="0"/>
              <w:bidi w:val="0"/>
              <w:spacing w:before="0" w:beforeAutospacing="0" w:after="0" w:afterAutospacing="0"/>
              <w:ind w:left="0" w:right="0"/>
              <w:rPr>
                <w:rFonts w:hint="default" w:eastAsia="宋体"/>
                <w:highlight w:val="none"/>
                <w:lang w:val="en-US" w:eastAsia="zh-CN"/>
              </w:rPr>
            </w:pPr>
            <w:r>
              <w:rPr>
                <w:rFonts w:hint="eastAsia"/>
                <w:highlight w:val="none"/>
              </w:rPr>
              <w:t>西藏色季拉</w:t>
            </w:r>
            <w:r>
              <w:rPr>
                <w:rFonts w:hint="eastAsia"/>
                <w:highlight w:val="none"/>
                <w:lang w:val="en-US" w:eastAsia="zh-CN"/>
              </w:rPr>
              <w:t>国家</w:t>
            </w:r>
            <w:r>
              <w:rPr>
                <w:rFonts w:hint="eastAsia"/>
                <w:highlight w:val="none"/>
              </w:rPr>
              <w:t>森林公园</w:t>
            </w:r>
            <w:r>
              <w:rPr>
                <w:rFonts w:hint="eastAsia"/>
                <w:highlight w:val="none"/>
                <w:lang w:eastAsia="zh-CN"/>
              </w:rPr>
              <w:t>、</w:t>
            </w:r>
            <w:r>
              <w:rPr>
                <w:rFonts w:hint="eastAsia"/>
                <w:highlight w:val="none"/>
                <w:lang w:val="en-US" w:eastAsia="zh-CN"/>
              </w:rPr>
              <w:t>苯日神山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keepNext w:val="0"/>
              <w:keepLines w:val="0"/>
              <w:suppressLineNumbers w:val="0"/>
              <w:spacing w:before="0" w:beforeAutospacing="0" w:after="0" w:afterAutospacing="0" w:line="276" w:lineRule="auto"/>
              <w:ind w:left="0" w:right="0"/>
              <w:jc w:val="center"/>
              <w:rPr>
                <w:rFonts w:hint="eastAsia" w:ascii="仿宋" w:hAnsi="仿宋" w:eastAsia="仿宋" w:cs="Times New Roman"/>
                <w:color w:val="000000"/>
                <w:kern w:val="2"/>
                <w:sz w:val="24"/>
                <w:szCs w:val="21"/>
                <w:highlight w:val="none"/>
                <w:lang w:val="en-US" w:eastAsia="zh-CN" w:bidi="ar-SA"/>
              </w:rPr>
            </w:pPr>
          </w:p>
        </w:tc>
        <w:tc>
          <w:tcPr>
            <w:tcW w:w="720" w:type="pct"/>
            <w:gridSpan w:val="2"/>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措木及日景区</w:t>
            </w:r>
          </w:p>
        </w:tc>
        <w:tc>
          <w:tcPr>
            <w:tcW w:w="1809" w:type="pct"/>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设置了游览及接待设施</w:t>
            </w:r>
            <w:r>
              <w:rPr>
                <w:rFonts w:hint="eastAsia"/>
                <w:highlight w:val="none"/>
                <w:lang w:eastAsia="zh-CN"/>
              </w:rPr>
              <w:t>：</w:t>
            </w:r>
            <w:r>
              <w:rPr>
                <w:rFonts w:hint="eastAsia"/>
                <w:highlight w:val="none"/>
              </w:rPr>
              <w:t>游客咨询点、停车场、电瓶车道、游步道、观景平台，开展骑马、摄影、观鸟、观湖等。</w:t>
            </w:r>
          </w:p>
        </w:tc>
        <w:tc>
          <w:tcPr>
            <w:tcW w:w="1237" w:type="pct"/>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西藏比日神山国家森林公园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2</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工布原乡及周边地区</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巴宜区</w:t>
            </w: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工布花谷</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完善游览、接待、文化娱乐设施</w:t>
            </w:r>
          </w:p>
        </w:tc>
        <w:tc>
          <w:tcPr>
            <w:tcW w:w="1237" w:type="pct"/>
            <w:vAlign w:val="center"/>
          </w:tcPr>
          <w:p>
            <w:pPr>
              <w:pStyle w:val="28"/>
              <w:keepNext w:val="0"/>
              <w:keepLines w:val="0"/>
              <w:suppressLineNumbers w:val="0"/>
              <w:bidi w:val="0"/>
              <w:spacing w:beforeAutospacing="0" w:afterAutospacing="0" w:line="276" w:lineRule="auto"/>
              <w:ind w:left="0" w:leftChars="0" w:right="0" w:rightChars="0"/>
              <w:rPr>
                <w:rFonts w:hint="eastAsia"/>
                <w:highlight w:val="none"/>
              </w:rPr>
            </w:pPr>
            <w:r>
              <w:rPr>
                <w:rFonts w:hint="eastAsia"/>
                <w:highlight w:val="none"/>
              </w:rPr>
              <w:t>工布花谷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eastAsia"/>
                <w:highlight w:val="none"/>
              </w:rPr>
              <w:t>喇嘛岭寺</w:t>
            </w:r>
          </w:p>
        </w:tc>
        <w:tc>
          <w:tcPr>
            <w:tcW w:w="1809"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建设“传统民俗文化体验区”的区域型服务中心，透过改造民居或新建的形式，增设精品民宿群落</w:t>
            </w:r>
          </w:p>
        </w:tc>
        <w:tc>
          <w:tcPr>
            <w:tcW w:w="1237" w:type="pct"/>
            <w:vAlign w:val="center"/>
          </w:tcPr>
          <w:p>
            <w:pPr>
              <w:pStyle w:val="28"/>
              <w:keepNext w:val="0"/>
              <w:keepLines w:val="0"/>
              <w:suppressLineNumbers w:val="0"/>
              <w:bidi w:val="0"/>
              <w:spacing w:beforeAutospacing="0" w:afterAutospacing="0" w:line="276" w:lineRule="auto"/>
              <w:ind w:left="0" w:leftChars="0" w:right="0" w:rightChars="0"/>
              <w:rPr>
                <w:rFonts w:hint="eastAsia"/>
                <w:highlight w:val="none"/>
              </w:rPr>
            </w:pPr>
            <w:r>
              <w:rPr>
                <w:rFonts w:hint="eastAsia"/>
                <w:highlight w:val="none"/>
              </w:rPr>
              <w:t>喇嘛岭寺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珠曲登寺</w:t>
            </w:r>
          </w:p>
        </w:tc>
        <w:tc>
          <w:tcPr>
            <w:tcW w:w="180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1237" w:type="pct"/>
            <w:vAlign w:val="center"/>
          </w:tcPr>
          <w:p>
            <w:pPr>
              <w:pStyle w:val="28"/>
              <w:keepNext w:val="0"/>
              <w:keepLines w:val="0"/>
              <w:suppressLineNumbers w:val="0"/>
              <w:bidi w:val="0"/>
              <w:spacing w:beforeAutospacing="0" w:afterAutospacing="0" w:line="276" w:lineRule="auto"/>
              <w:ind w:left="0" w:leftChars="0" w:right="0" w:rightChars="0"/>
              <w:rPr>
                <w:rFonts w:hint="eastAsia"/>
                <w:highlight w:val="none"/>
              </w:rPr>
            </w:pPr>
            <w:r>
              <w:rPr>
                <w:rFonts w:hint="eastAsia"/>
                <w:highlight w:val="none"/>
              </w:rPr>
              <w:t>珠曲登寺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3</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雅鲁藏布大峡谷景区及周边地区</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米林县</w:t>
            </w: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雅鲁藏布大峡谷景区</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有序推进景区5A</w:t>
            </w:r>
            <w:r>
              <w:rPr>
                <w:rFonts w:hint="eastAsia"/>
                <w:highlight w:val="none"/>
                <w:lang w:eastAsia="zh-CN"/>
              </w:rPr>
              <w:t>，</w:t>
            </w:r>
            <w:r>
              <w:rPr>
                <w:rFonts w:hint="eastAsia"/>
                <w:highlight w:val="none"/>
              </w:rPr>
              <w:t>保护性开发峡谷漫步、帐篷营地、橡皮筏漂流等大众型休闲观光体验产品和峡谷高空蹦极、热气球、滑翔伞、直升机摄影等高端定制和特种旅游项目</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西藏</w:t>
            </w:r>
            <w:r>
              <w:rPr>
                <w:rFonts w:hint="eastAsia"/>
                <w:highlight w:val="none"/>
              </w:rPr>
              <w:t>雅鲁藏布大峡谷国家级自然保护区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派镇</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建设</w:t>
            </w:r>
            <w:r>
              <w:rPr>
                <w:rFonts w:hint="eastAsia"/>
                <w:highlight w:val="none"/>
              </w:rPr>
              <w:t>汽车营地</w:t>
            </w:r>
            <w:r>
              <w:rPr>
                <w:rFonts w:hint="eastAsia"/>
                <w:highlight w:val="none"/>
                <w:lang w:eastAsia="zh-CN"/>
              </w:rPr>
              <w:t>、</w:t>
            </w:r>
            <w:r>
              <w:rPr>
                <w:rFonts w:hint="eastAsia"/>
                <w:highlight w:val="none"/>
              </w:rPr>
              <w:t>发展悬崖酒店、空中餐厅等高端旅游产品</w:t>
            </w:r>
          </w:p>
        </w:tc>
        <w:tc>
          <w:tcPr>
            <w:tcW w:w="1237" w:type="pct"/>
            <w:vMerge w:val="restart"/>
            <w:vAlign w:val="center"/>
          </w:tcPr>
          <w:p>
            <w:pPr>
              <w:pStyle w:val="28"/>
              <w:keepNext w:val="0"/>
              <w:keepLines w:val="0"/>
              <w:suppressLineNumbers w:val="0"/>
              <w:bidi w:val="0"/>
              <w:spacing w:beforeAutospacing="0" w:afterAutospacing="0" w:line="276" w:lineRule="auto"/>
              <w:ind w:left="0" w:right="0"/>
              <w:rPr>
                <w:rFonts w:hint="eastAsia" w:eastAsia="宋体"/>
                <w:highlight w:val="none"/>
                <w:lang w:eastAsia="zh-CN"/>
              </w:rPr>
            </w:pPr>
            <w:r>
              <w:rPr>
                <w:rFonts w:hint="eastAsia"/>
                <w:highlight w:val="none"/>
                <w:lang w:val="en-US" w:eastAsia="zh-CN"/>
              </w:rPr>
              <w:t>西藏</w:t>
            </w:r>
            <w:r>
              <w:rPr>
                <w:rFonts w:hint="eastAsia"/>
                <w:highlight w:val="none"/>
              </w:rPr>
              <w:t>雅鲁藏布大峡谷国家级自然保护区</w:t>
            </w:r>
            <w:r>
              <w:rPr>
                <w:rFonts w:hint="eastAsia"/>
                <w:highlight w:val="none"/>
                <w:lang w:eastAsia="zh-CN"/>
              </w:rPr>
              <w:t>、西藏色季拉森林公园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丹娘乡</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依托建设完成的农业综合开发高标准农田项目和藏鸡养殖基地，发展高原生态农业和藏鸡养殖业</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羌纳乡</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提升乡村人居环境，以本土农牧产品、藏家民俗和羌纳寺佛教文化为卖点，以朗多村“找个地儿待着”民宿为参照，发展精品民宿集群</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4</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南伊沟景区及周边地区</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米林县</w:t>
            </w: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r>
              <w:rPr>
                <w:rFonts w:hint="eastAsia"/>
                <w:highlight w:val="none"/>
              </w:rPr>
              <w:t>南伊沟景区</w:t>
            </w:r>
            <w:r>
              <w:rPr>
                <w:rFonts w:hint="eastAsia"/>
                <w:highlight w:val="none"/>
                <w:lang w:eastAsia="zh-CN"/>
              </w:rPr>
              <w:t>（</w:t>
            </w:r>
            <w:r>
              <w:rPr>
                <w:rFonts w:hint="eastAsia"/>
                <w:highlight w:val="none"/>
                <w:lang w:val="en-US" w:eastAsia="zh-CN"/>
              </w:rPr>
              <w:t>米林</w:t>
            </w:r>
            <w:r>
              <w:rPr>
                <w:rFonts w:hint="eastAsia"/>
                <w:highlight w:val="none"/>
                <w:lang w:eastAsia="zh-CN"/>
              </w:rPr>
              <w:t>）</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完善</w:t>
            </w:r>
            <w:r>
              <w:rPr>
                <w:rFonts w:hint="eastAsia"/>
                <w:highlight w:val="none"/>
              </w:rPr>
              <w:t>游客接待中心、停车场、</w:t>
            </w:r>
            <w:r>
              <w:rPr>
                <w:rFonts w:hint="eastAsia"/>
                <w:highlight w:val="none"/>
                <w:lang w:val="en-US" w:eastAsia="zh-CN"/>
              </w:rPr>
              <w:t>新建</w:t>
            </w:r>
            <w:r>
              <w:rPr>
                <w:rFonts w:hint="eastAsia"/>
                <w:highlight w:val="none"/>
              </w:rPr>
              <w:t>观景平台、生态厕所</w:t>
            </w:r>
          </w:p>
        </w:tc>
        <w:tc>
          <w:tcPr>
            <w:tcW w:w="1237"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西藏</w:t>
            </w:r>
            <w:r>
              <w:rPr>
                <w:rFonts w:hint="eastAsia"/>
                <w:highlight w:val="none"/>
                <w:lang w:val="en-US" w:eastAsia="zh-CN"/>
              </w:rPr>
              <w:t>工布自然保护区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扎贡沟景区</w:t>
            </w:r>
            <w:r>
              <w:rPr>
                <w:rFonts w:hint="eastAsia"/>
                <w:highlight w:val="none"/>
                <w:lang w:eastAsia="zh-CN"/>
              </w:rPr>
              <w:t>（</w:t>
            </w:r>
            <w:r>
              <w:rPr>
                <w:rFonts w:hint="eastAsia"/>
                <w:highlight w:val="none"/>
                <w:lang w:val="en-US" w:eastAsia="zh-CN"/>
              </w:rPr>
              <w:t>米林</w:t>
            </w:r>
            <w:r>
              <w:rPr>
                <w:rFonts w:hint="eastAsia"/>
                <w:highlight w:val="none"/>
                <w:lang w:eastAsia="zh-CN"/>
              </w:rPr>
              <w:t>）</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建设藏医药微型博物馆，充分利用 VR、全息投影等高科技，打造科普性与趣味性互融的藏医药展厅，进一步丰富游客体验，增强藏医药知识科普、文化传承</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南伊洛巴民族乡</w:t>
            </w:r>
            <w:r>
              <w:rPr>
                <w:rFonts w:hint="eastAsia"/>
                <w:highlight w:val="none"/>
                <w:lang w:eastAsia="zh-CN"/>
              </w:rPr>
              <w:t>（</w:t>
            </w:r>
            <w:r>
              <w:rPr>
                <w:rFonts w:hint="eastAsia"/>
                <w:highlight w:val="none"/>
                <w:lang w:val="en-US" w:eastAsia="zh-CN"/>
              </w:rPr>
              <w:t>米林</w:t>
            </w:r>
            <w:r>
              <w:rPr>
                <w:rFonts w:hint="eastAsia"/>
                <w:highlight w:val="none"/>
                <w:lang w:eastAsia="zh-CN"/>
              </w:rPr>
              <w:t>）</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完善旅游交通、住宿、餐饮配套</w:t>
            </w:r>
            <w:r>
              <w:rPr>
                <w:rFonts w:hint="eastAsia"/>
                <w:highlight w:val="none"/>
                <w:lang w:val="en-US" w:eastAsia="zh-CN"/>
              </w:rPr>
              <w:t>设施</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才召民俗村、</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打造度假牧居和骑行绿道</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琼林珞巴民族村</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改善乡村人居环境，开设庭院式乡村精品民宿</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5</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冲康庄园、千年核桃王景区</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朗县</w:t>
            </w: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r>
              <w:rPr>
                <w:rFonts w:hint="eastAsia"/>
                <w:highlight w:val="none"/>
              </w:rPr>
              <w:t>冲康庄园</w:t>
            </w:r>
          </w:p>
        </w:tc>
        <w:tc>
          <w:tcPr>
            <w:tcW w:w="1809"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创建4A级景区；</w:t>
            </w:r>
            <w:r>
              <w:rPr>
                <w:rFonts w:hint="eastAsia"/>
                <w:highlight w:val="none"/>
                <w:lang w:val="en-US" w:eastAsia="zh-CN"/>
              </w:rPr>
              <w:t>对</w:t>
            </w:r>
            <w:r>
              <w:rPr>
                <w:rFonts w:hint="eastAsia"/>
                <w:highlight w:val="none"/>
              </w:rPr>
              <w:t>主要景区通景道路改造提升</w:t>
            </w:r>
            <w:r>
              <w:rPr>
                <w:rFonts w:hint="eastAsia"/>
                <w:highlight w:val="none"/>
                <w:lang w:eastAsia="zh-CN"/>
              </w:rPr>
              <w:t>，</w:t>
            </w:r>
            <w:r>
              <w:rPr>
                <w:rFonts w:hint="eastAsia"/>
                <w:highlight w:val="none"/>
                <w:lang w:val="en-US" w:eastAsia="zh-CN"/>
              </w:rPr>
              <w:t>完善</w:t>
            </w:r>
            <w:r>
              <w:rPr>
                <w:rFonts w:hint="eastAsia"/>
                <w:highlight w:val="none"/>
                <w:lang w:eastAsia="zh-CN"/>
              </w:rPr>
              <w:t>基础设施建设</w:t>
            </w:r>
            <w:r>
              <w:rPr>
                <w:rFonts w:hint="eastAsia"/>
                <w:highlight w:val="none"/>
              </w:rPr>
              <w:t>。</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冲康庄园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千年核桃王景区</w:t>
            </w:r>
          </w:p>
        </w:tc>
        <w:tc>
          <w:tcPr>
            <w:tcW w:w="180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千年核桃王景区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冲康村</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建设</w:t>
            </w:r>
            <w:r>
              <w:rPr>
                <w:rFonts w:hint="eastAsia"/>
                <w:highlight w:val="none"/>
              </w:rPr>
              <w:t>旅游厕所、景区导视系统、旅游公共信息导向系统、配套相应的购物、住宿、餐饮等服务设施。</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冲康村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6</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嘎贡沟及周边地区</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朗县</w:t>
            </w: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嘎贡沟景区</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按照4A级景区的设计标准，规划从山脚到山顶的徒步径，按500米的距离设置休息廊亭，设置难度指数标识，提供线路长度、坡度和路况指引，增公共厕所、垃圾桶等设施，</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嘎贡沟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嘎贡瀑布</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新建嘎贡瀑布观景平台</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嘎贡瀑布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老堆村古村落</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r>
              <w:rPr>
                <w:rFonts w:hint="eastAsia"/>
                <w:highlight w:val="none"/>
              </w:rPr>
              <w:t>修建绕湖徒步朝拜步道，开展常规朝拜活动</w:t>
            </w:r>
            <w:r>
              <w:rPr>
                <w:rFonts w:hint="eastAsia"/>
                <w:highlight w:val="none"/>
                <w:lang w:eastAsia="zh-CN"/>
              </w:rPr>
              <w:t>，打造游牧古村极地旅游大本营，作为景区极地大本营的配套设施</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老堆村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嘎贡村</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依托嘎贡沟景区和工字荣原始森林，发展大众化的餐饮、住宿产品</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嘎贡村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工字荣原始森林</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规划步行道和旅游标识，开展徒步溯溪；开展森林观光和生态科考活动，在不破坏动植物生境的前提下，欣赏岩羊、藏羚羊、狗熊、猴、野鸡等野生动物</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工字荣原始森林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工字荣自驾游</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打造汽摩越野运动基地、森林木屋、林中栈道、林下采摘、湿地休闲、牧场观光等。</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工字荣原始森林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7</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r>
              <w:rPr>
                <w:rFonts w:hint="eastAsia"/>
                <w:highlight w:val="none"/>
              </w:rPr>
              <w:t>巴松措及周边地区</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工布江达</w:t>
            </w:r>
          </w:p>
        </w:tc>
        <w:tc>
          <w:tcPr>
            <w:tcW w:w="151" w:type="pct"/>
            <w:vMerge w:val="restar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巴松措景区</w:t>
            </w:r>
          </w:p>
        </w:tc>
        <w:tc>
          <w:tcPr>
            <w:tcW w:w="569"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游客中心</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对照5A级景区标准，聘请专业团队，完善外语翻译、厕所标识、电线埋地等工作</w:t>
            </w:r>
          </w:p>
        </w:tc>
        <w:tc>
          <w:tcPr>
            <w:tcW w:w="1237" w:type="pct"/>
            <w:vMerge w:val="restart"/>
            <w:vAlign w:val="center"/>
          </w:tcPr>
          <w:p>
            <w:pPr>
              <w:pStyle w:val="28"/>
              <w:keepNext w:val="0"/>
              <w:keepLines w:val="0"/>
              <w:suppressLineNumbers w:val="0"/>
              <w:bidi w:val="0"/>
              <w:spacing w:beforeAutospacing="0" w:afterAutospacing="0" w:line="276" w:lineRule="auto"/>
              <w:ind w:left="0" w:right="0"/>
              <w:rPr>
                <w:rFonts w:hint="default"/>
                <w:highlight w:val="none"/>
                <w:lang w:val="en-US"/>
              </w:rPr>
            </w:pPr>
            <w:r>
              <w:rPr>
                <w:rFonts w:hint="eastAsia"/>
                <w:highlight w:val="none"/>
              </w:rPr>
              <w:t>西藏巴松湖国家森林公园</w:t>
            </w:r>
            <w:r>
              <w:rPr>
                <w:rFonts w:hint="eastAsia"/>
                <w:highlight w:val="none"/>
                <w:lang w:eastAsia="zh-CN"/>
              </w:rPr>
              <w:t>、</w:t>
            </w:r>
            <w:r>
              <w:rPr>
                <w:rFonts w:hint="eastAsia"/>
                <w:highlight w:val="none"/>
              </w:rPr>
              <w:t>西藏</w:t>
            </w:r>
            <w:r>
              <w:rPr>
                <w:rFonts w:hint="eastAsia"/>
                <w:highlight w:val="none"/>
                <w:lang w:val="en-US" w:eastAsia="zh-CN"/>
              </w:rPr>
              <w:t>工布自然保护区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151"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69"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湖区</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通过完善巴松湖、新措、仲措环湖风景道路系统，建立统一标识体系，将“三措”区域连成一体；适当增加水吧、观景平台等设施</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151"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69"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措高村</w:t>
            </w:r>
          </w:p>
        </w:tc>
        <w:tc>
          <w:tcPr>
            <w:tcW w:w="1809"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重点发展结巴村、错高村、乡村生态旅游住宿产品和周边生态旅游活动产品</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151"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69"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结巴村</w:t>
            </w:r>
          </w:p>
        </w:tc>
        <w:tc>
          <w:tcPr>
            <w:tcW w:w="180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巴河镇农业观光园</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连体温室大棚、住宿酒店、服务区，集住宿、餐饮、休闲、采摘、科普、培训为一体</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杂拉沟</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发展旅游综合接待、配套户外商品售卖</w:t>
            </w:r>
          </w:p>
        </w:tc>
        <w:tc>
          <w:tcPr>
            <w:tcW w:w="1237"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西藏</w:t>
            </w:r>
            <w:r>
              <w:rPr>
                <w:rFonts w:hint="eastAsia"/>
                <w:highlight w:val="none"/>
                <w:lang w:eastAsia="zh-CN"/>
              </w:rPr>
              <w:t>朱拉河国家湿地公园、</w:t>
            </w:r>
            <w:r>
              <w:rPr>
                <w:rFonts w:hint="eastAsia"/>
                <w:highlight w:val="none"/>
              </w:rPr>
              <w:t>西藏</w:t>
            </w:r>
            <w:r>
              <w:rPr>
                <w:rFonts w:hint="eastAsia"/>
                <w:highlight w:val="none"/>
                <w:lang w:val="en-US" w:eastAsia="zh-CN"/>
              </w:rPr>
              <w:t>工布自然保护实验区、</w:t>
            </w:r>
            <w:r>
              <w:rPr>
                <w:rFonts w:hint="eastAsia"/>
                <w:highlight w:val="none"/>
              </w:rPr>
              <w:t>西藏巴松湖国家森林公园</w:t>
            </w:r>
            <w:r>
              <w:rPr>
                <w:rFonts w:hint="eastAsia"/>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朱拉河湿地公园</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神山山脚空地设置简易营地、以“合作社”形式，发展雪卡村的虫草加工产业</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8</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r>
              <w:rPr>
                <w:rFonts w:hint="eastAsia"/>
                <w:highlight w:val="none"/>
              </w:rPr>
              <w:t>秀巴古堡 及周边地区</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工布江达</w:t>
            </w: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秀巴古堡景区</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修建</w:t>
            </w:r>
            <w:r>
              <w:rPr>
                <w:rFonts w:hint="eastAsia"/>
                <w:highlight w:val="none"/>
              </w:rPr>
              <w:t>观景平台、服务区</w:t>
            </w:r>
            <w:r>
              <w:rPr>
                <w:rFonts w:hint="eastAsia"/>
                <w:highlight w:val="none"/>
                <w:lang w:eastAsia="zh-CN"/>
              </w:rPr>
              <w:t>，修整石径，于文物周边增设解说标识和自助解说设备。</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秀巴古堡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秀巴村</w:t>
            </w:r>
          </w:p>
        </w:tc>
        <w:tc>
          <w:tcPr>
            <w:tcW w:w="1809"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整体环境综合整治提升</w:t>
            </w:r>
            <w:r>
              <w:rPr>
                <w:rFonts w:hint="eastAsia"/>
                <w:highlight w:val="none"/>
                <w:lang w:eastAsia="zh-CN"/>
              </w:rPr>
              <w:t>，</w:t>
            </w:r>
            <w:r>
              <w:rPr>
                <w:rFonts w:hint="eastAsia"/>
                <w:highlight w:val="none"/>
              </w:rPr>
              <w:t>面向大众至中端客群，于秀巴村、朗色村、丁当村等周边村落选址发展战争文化、旧贵族文化主题的餐厅及民宿集群</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秀巴村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朗色村</w:t>
            </w:r>
          </w:p>
        </w:tc>
        <w:tc>
          <w:tcPr>
            <w:tcW w:w="180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朗色村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丁当村</w:t>
            </w:r>
          </w:p>
        </w:tc>
        <w:tc>
          <w:tcPr>
            <w:tcW w:w="180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朗色村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9</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r>
              <w:rPr>
                <w:rFonts w:hint="eastAsia"/>
                <w:highlight w:val="none"/>
              </w:rPr>
              <w:t>米堆冰川及周边地区</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波密县</w:t>
            </w:r>
          </w:p>
        </w:tc>
        <w:tc>
          <w:tcPr>
            <w:tcW w:w="720" w:type="pct"/>
            <w:gridSpan w:val="2"/>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米堆风情小镇</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保持米堆村原有格局和风貌，控制新建民居数量和建筑形式。结合米堆风情小镇，开展包括藏餐烹调、田间劳作、民俗歌舞等动，促进当地村民增收</w:t>
            </w:r>
          </w:p>
        </w:tc>
        <w:tc>
          <w:tcPr>
            <w:tcW w:w="1237"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米堆冰川</w:t>
            </w:r>
          </w:p>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开展喂马、马匹认养等多元化的活动</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山珍阁停车场</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新建大型社会车辆的立体化停车场，将此地改划为景区接驳电瓶车（中巴、小巴）的乘、上落客处；增设大型公共厕所。</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米堆冰川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徒步径</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按照4A级景区的设计标准，改造徒步径，按500米的距离设置休息廊亭，设置难度指数标识，提供线路长度、坡度和路况指引，增加公共厕所、垃圾桶等设施，避免出现地砖卡脚、马粪遍地等状况；新建观景亭</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米堆冰川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马道</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加强对游客和景区职员的安全教育和骑术培训，并向每位自愿参与骑马活动的游客明确责任与风险；执行更为有效的通风、除臭措施，限制马匹进入除马道以外的公共区域，避免再度出现马粪遍地的状况</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米堆冰川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冰湖观景平台</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增设分类垃圾桶，定期清理观景平台周边的垃圾</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米堆冰川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eastAsia="宋体"/>
                <w:highlight w:val="none"/>
                <w:lang w:val="en-US" w:eastAsia="zh-CN"/>
              </w:rPr>
            </w:pPr>
            <w:r>
              <w:rPr>
                <w:rFonts w:hint="eastAsia"/>
                <w:highlight w:val="none"/>
                <w:lang w:val="en-US" w:eastAsia="zh-CN"/>
              </w:rPr>
              <w:t>朱西冰川</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开展丘陵徒步及探秘科考活动，与波堆桃花沟等景区的观光型产品作互补</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朱西冰川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10</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帕隆藏布一河两岸</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波密县</w:t>
            </w: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岗云杉林</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建立生态敏感区监测体系；限制社会车辆进入，配置电瓶车、马车、马匹等环保交通工具。</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西藏</w:t>
            </w:r>
            <w:r>
              <w:rPr>
                <w:rFonts w:hint="eastAsia"/>
                <w:highlight w:val="none"/>
              </w:rPr>
              <w:t>雅鲁藏布大峡谷国家级自然保护区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波堆桃花谷</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深度开发桃子采摘、桃品鉴赏、动物喂饲、桃胶烹调、桃核雕刻制作等体验活动</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桃花谷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嘎朗国家湿地公园</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完善观光体验、森林康养、自然教育等业态的布局；充分利用现有的消防瞭望台，开放予游客作森林防火教育和观光摄影之用</w:t>
            </w:r>
          </w:p>
        </w:tc>
        <w:tc>
          <w:tcPr>
            <w:tcW w:w="1237"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西藏</w:t>
            </w:r>
            <w:r>
              <w:rPr>
                <w:rFonts w:hint="eastAsia"/>
                <w:highlight w:val="none"/>
              </w:rPr>
              <w:t>嘎朗国家湿地公园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嘎朗村</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增设停车、咨询、厕所、解说、环卫等基础设施</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古乡</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布设花池、停车场、公共厕所、标识系统，以及特产商铺群</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11</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r>
              <w:rPr>
                <w:rFonts w:hint="eastAsia"/>
                <w:highlight w:val="none"/>
              </w:rPr>
              <w:t>易贡国家地质公园 及周边地区</w:t>
            </w:r>
            <w:r>
              <w:rPr>
                <w:rFonts w:hint="eastAsia"/>
                <w:highlight w:val="none"/>
                <w:lang w:eastAsia="zh-CN"/>
              </w:rPr>
              <w:t>（</w:t>
            </w:r>
            <w:r>
              <w:rPr>
                <w:rFonts w:hint="eastAsia"/>
                <w:highlight w:val="none"/>
                <w:lang w:val="en-US" w:eastAsia="zh-CN"/>
              </w:rPr>
              <w:t>波密县</w:t>
            </w:r>
            <w:r>
              <w:rPr>
                <w:rFonts w:hint="eastAsia"/>
                <w:highlight w:val="none"/>
                <w:lang w:eastAsia="zh-CN"/>
              </w:rPr>
              <w:t>）</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波密县</w:t>
            </w: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易贡国家地质公园</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新建“易贡地质公园博物馆”、“多媒体地质灾害模拟演示中心”、“游客环境教育中心”等设施；就滑坡高发地带和裸露山体实施连续性监控和复绿治理</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易贡国家地质公园、</w:t>
            </w:r>
            <w:r>
              <w:rPr>
                <w:rFonts w:hint="eastAsia"/>
                <w:highlight w:val="none"/>
                <w:lang w:val="en-US" w:eastAsia="zh-CN"/>
              </w:rPr>
              <w:t>西藏</w:t>
            </w:r>
            <w:r>
              <w:rPr>
                <w:rFonts w:hint="eastAsia"/>
                <w:highlight w:val="none"/>
              </w:rPr>
              <w:t>雅鲁藏布大峡谷国家级自然保护区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易贡湖</w:t>
            </w:r>
          </w:p>
        </w:tc>
        <w:tc>
          <w:tcPr>
            <w:tcW w:w="1809"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完善基础设施建设</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易贡国家地质公园、</w:t>
            </w:r>
            <w:r>
              <w:rPr>
                <w:rFonts w:hint="eastAsia"/>
                <w:highlight w:val="none"/>
                <w:lang w:val="en-US" w:eastAsia="zh-CN"/>
              </w:rPr>
              <w:t>西藏</w:t>
            </w:r>
            <w:r>
              <w:rPr>
                <w:rFonts w:hint="eastAsia"/>
                <w:highlight w:val="none"/>
              </w:rPr>
              <w:t>雅鲁藏布大峡谷国家级自然保护区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易贡茶场</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开设藏式甜茶馆，利用茶场旧厂房发展民宿产品</w:t>
            </w:r>
          </w:p>
        </w:tc>
        <w:tc>
          <w:tcPr>
            <w:tcW w:w="1237"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西藏</w:t>
            </w:r>
            <w:r>
              <w:rPr>
                <w:rFonts w:hint="eastAsia"/>
                <w:highlight w:val="none"/>
              </w:rPr>
              <w:t>雅鲁藏布大峡谷国家自然保护区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铁山</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适度开展“易贡藏刀”的生产加工观摩、体验活动</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12</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墨脱县城 及周边地区</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墨脱县</w:t>
            </w: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德兴民俗村</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结合村级配套设施，打造富有亚热带雨林风情和少数民族特色的精品民宿度假群落；因应门巴族传统建筑和德兴藤网桥的结构和形制，改造当代建筑，塑造更为协调的建筑风貌；活化广场、公园等公共空间，开展歌舞、射箭、摔跤、抱石、攀藤索等康体运动。</w:t>
            </w:r>
          </w:p>
        </w:tc>
        <w:tc>
          <w:tcPr>
            <w:tcW w:w="1237"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西藏</w:t>
            </w:r>
            <w:r>
              <w:rPr>
                <w:rFonts w:hint="eastAsia"/>
                <w:highlight w:val="none"/>
              </w:rPr>
              <w:t>雅鲁藏布大峡谷国家自然保护区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仁青崩寺</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布置标识系统、修复生态，建立森林康养和宗教文化体验主题的徒步径</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莲花阁</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沿线配套自行车租赁、观景台、户外健身器械等设施</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布裙湖风景区</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建设台阶型、爬梯型、栈桥型等地面观光通道，建立全时游览体系</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13</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背崩徒步站 及周边地区</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墨脱县</w:t>
            </w: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派墨徒步路线</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打造精品旅游徒步路线；接入林芝智慧旅游大数据平台，为游客和景区决策方提供路况、险情预警、客流监测等资讯</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背崩徒步站</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补充餐饮、营地、物资补给、医疗救助等功能</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背崩村</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建设“派墨徒步博物馆”</w:t>
            </w:r>
          </w:p>
        </w:tc>
        <w:tc>
          <w:tcPr>
            <w:tcW w:w="123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14</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梅里雪山及甲兴片区</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察隅县</w:t>
            </w: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梅里雪山</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加强旅游基础设施建设为主，修复提升转山道路，沿转山道修建观景平台及标识系统</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察隅县</w:t>
            </w:r>
            <w:r>
              <w:rPr>
                <w:rFonts w:hint="eastAsia"/>
                <w:highlight w:val="none"/>
              </w:rPr>
              <w:t>梅里雪山</w:t>
            </w:r>
            <w:r>
              <w:rPr>
                <w:rFonts w:hint="eastAsia"/>
                <w:highlight w:val="none"/>
                <w:lang w:val="en-US" w:eastAsia="zh-CN"/>
              </w:rPr>
              <w:t>西坡风景景区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甲兴旅游景区</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完善甲兴牧场基础设施建设，建造适量牧场木屋，提供住宿设施</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甲兴旅游景区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察瓦龙边境小镇</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打造察瓦龙旅游服务中心，配套商业街、酒店、美食街、自驾车营地等基础设施</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察瓦龙边境小镇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12" w:type="pct"/>
            <w:vMerge w:val="restar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15</w:t>
            </w:r>
          </w:p>
        </w:tc>
        <w:tc>
          <w:tcPr>
            <w:tcW w:w="4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r>
              <w:rPr>
                <w:rFonts w:hint="eastAsia"/>
                <w:highlight w:val="none"/>
              </w:rPr>
              <w:t>下察隅 及周边地区</w:t>
            </w:r>
          </w:p>
        </w:tc>
        <w:tc>
          <w:tcPr>
            <w:tcW w:w="45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察隅县</w:t>
            </w: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慈巴沟景区</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在实验区开展科学考察和生态观光项目</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eastAsia="宋体"/>
                <w:highlight w:val="none"/>
                <w:lang w:eastAsia="zh-CN"/>
              </w:rPr>
            </w:pPr>
            <w:r>
              <w:rPr>
                <w:rFonts w:hint="eastAsia"/>
                <w:color w:val="auto"/>
                <w:highlight w:val="none"/>
                <w:lang w:val="en-US" w:eastAsia="zh-CN"/>
              </w:rPr>
              <w:t>西藏察隅慈巴沟国家级自然保护区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沙玛边境风情村</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开发稻田特色农庄、稻田餐厅、五彩田园、大地景观等项目，树立“中印边境打卡点”，如在边境标志上刻上经纬度、边境距离等</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沙玛边境风情村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沙琼僜人民俗村</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修缮或复建僜人乡村建筑，适度引入旅游功能</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沙琼僜人民俗村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僜人文化博物馆</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 xml:space="preserve"> 内设迎宾门厅、浮空投影展厅、 僜人生活馆、僜人生产馆</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僜人文化博物馆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僜人文化体验园</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涵盖民俗节庆活动、婚庆嫁娶、传统手艺制作等多元化体验项目</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僜人文化体验园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2"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夏尼江南风情村</w:t>
            </w:r>
          </w:p>
        </w:tc>
        <w:tc>
          <w:tcPr>
            <w:tcW w:w="180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提供农家住宿、餐饮、采摘、演艺等产品</w:t>
            </w:r>
          </w:p>
        </w:tc>
        <w:tc>
          <w:tcPr>
            <w:tcW w:w="1237"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夏尼江南风情村</w:t>
            </w:r>
          </w:p>
        </w:tc>
      </w:tr>
    </w:tbl>
    <w:p>
      <w:pPr>
        <w:pStyle w:val="6"/>
        <w:bidi w:val="0"/>
        <w:rPr>
          <w:rFonts w:hint="eastAsia"/>
          <w:highlight w:val="none"/>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5"/>
        <w:bidi w:val="0"/>
        <w:rPr>
          <w:rFonts w:hint="default"/>
          <w:highlight w:val="none"/>
          <w:lang w:val="en-US" w:eastAsia="zh-CN"/>
        </w:rPr>
      </w:pPr>
      <w:bookmarkStart w:id="63" w:name="_Toc18020"/>
      <w:r>
        <w:rPr>
          <w:rFonts w:hint="eastAsia"/>
          <w:highlight w:val="none"/>
          <w:lang w:val="en-US" w:eastAsia="zh-CN"/>
        </w:rPr>
        <w:t>2.1.3全资源整合规划</w:t>
      </w:r>
      <w:bookmarkEnd w:id="63"/>
    </w:p>
    <w:p>
      <w:pPr>
        <w:pStyle w:val="6"/>
        <w:bidi w:val="0"/>
        <w:rPr>
          <w:rFonts w:hint="eastAsia"/>
          <w:highlight w:val="none"/>
          <w:lang w:val="en-US" w:eastAsia="zh-CN"/>
        </w:rPr>
      </w:pPr>
      <w:r>
        <w:rPr>
          <w:rFonts w:hint="eastAsia"/>
          <w:highlight w:val="none"/>
          <w:lang w:val="en-US" w:eastAsia="zh-CN"/>
        </w:rPr>
        <w:t>发展“世界级高原生态度假目的地”：优化全域产品结构，扭转“观光为主、度假为辅”的现状，依托世界级的生态资源、康养资源及其关联资源、配套设施，发展世界级高原生态度假目的地。</w:t>
      </w:r>
    </w:p>
    <w:p>
      <w:pPr>
        <w:pStyle w:val="6"/>
        <w:bidi w:val="0"/>
        <w:rPr>
          <w:rFonts w:hint="eastAsia"/>
          <w:highlight w:val="none"/>
          <w:lang w:val="en-US" w:eastAsia="zh-CN"/>
        </w:rPr>
      </w:pPr>
      <w:r>
        <w:rPr>
          <w:rFonts w:hint="eastAsia"/>
          <w:highlight w:val="none"/>
          <w:lang w:val="en-US" w:eastAsia="zh-CN"/>
        </w:rPr>
        <w:t>发展“世界级公路旅游目的地”：依托G318及丙察察线两大“自驾黄金游线”，将林芝独特的自然风光和人文情怀融汇至沿途的风景中，打造世界级公路旅游目的地，令行走过程本身，成为体验林芝之美的重要方式。</w:t>
      </w:r>
    </w:p>
    <w:p>
      <w:pPr>
        <w:pStyle w:val="6"/>
        <w:bidi w:val="0"/>
        <w:rPr>
          <w:rFonts w:hint="eastAsia"/>
          <w:highlight w:val="none"/>
          <w:lang w:val="en-US" w:eastAsia="zh-CN"/>
        </w:rPr>
      </w:pPr>
      <w:r>
        <w:rPr>
          <w:rFonts w:hint="eastAsia"/>
          <w:highlight w:val="none"/>
          <w:lang w:val="en-US" w:eastAsia="zh-CN"/>
        </w:rPr>
        <w:t>强化“雪域桃源”品牌吸引力：林芝应集中精力巩固“雪域桃源” 的独特优势，积极补足在区位、交通、配套设施等方面的劣势，谋求更大发展。 规划建议设置嘎拉村、朵当村、嘎朗村、波堆桃花沟-倾多镇-许玉乡、索松村、达林村、 彩门村、 派镇-大峡谷入口、拉如村、秀巴村、 达木村、罗马村等“雪域桃源”系列项目。</w:t>
      </w:r>
    </w:p>
    <w:p>
      <w:pPr>
        <w:pStyle w:val="5"/>
        <w:bidi w:val="0"/>
        <w:rPr>
          <w:rFonts w:hint="eastAsia"/>
          <w:highlight w:val="none"/>
          <w:lang w:val="en-US" w:eastAsia="zh-CN"/>
        </w:rPr>
      </w:pPr>
      <w:bookmarkStart w:id="64" w:name="_Toc25695"/>
      <w:r>
        <w:rPr>
          <w:rFonts w:hint="eastAsia"/>
          <w:highlight w:val="none"/>
          <w:lang w:val="en-US" w:eastAsia="zh-CN"/>
        </w:rPr>
        <w:t>2.1.4全产业融合规划</w:t>
      </w:r>
      <w:bookmarkEnd w:id="64"/>
    </w:p>
    <w:p>
      <w:pPr>
        <w:pStyle w:val="6"/>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林芝市</w:t>
      </w:r>
      <w:r>
        <w:rPr>
          <w:rFonts w:hint="default"/>
          <w:color w:val="auto"/>
          <w:highlight w:val="none"/>
          <w:lang w:val="en-US" w:eastAsia="zh-CN"/>
        </w:rPr>
        <w:t>全域旅游发展规划》拟将</w:t>
      </w:r>
      <w:r>
        <w:rPr>
          <w:rFonts w:hint="eastAsia"/>
          <w:color w:val="auto"/>
          <w:highlight w:val="none"/>
          <w:lang w:val="en-US" w:eastAsia="zh-CN"/>
        </w:rPr>
        <w:t>林芝市</w:t>
      </w:r>
      <w:r>
        <w:rPr>
          <w:rFonts w:hint="default"/>
          <w:color w:val="auto"/>
          <w:highlight w:val="none"/>
          <w:lang w:val="en-US" w:eastAsia="zh-CN"/>
        </w:rPr>
        <w:t>旅游景区从封闭的旅游自循环向开放的“旅游+”融合发展方式转变，形成全产业链式发展，见表2</w:t>
      </w:r>
      <w:r>
        <w:rPr>
          <w:rFonts w:hint="eastAsia"/>
          <w:color w:val="auto"/>
          <w:highlight w:val="none"/>
          <w:lang w:val="en-US" w:eastAsia="zh-CN"/>
        </w:rPr>
        <w:t>.1</w:t>
      </w:r>
      <w:r>
        <w:rPr>
          <w:rFonts w:hint="default"/>
          <w:color w:val="auto"/>
          <w:highlight w:val="none"/>
          <w:lang w:val="en-US" w:eastAsia="zh-CN"/>
        </w:rPr>
        <w:t>-</w:t>
      </w:r>
      <w:r>
        <w:rPr>
          <w:rFonts w:hint="eastAsia"/>
          <w:color w:val="auto"/>
          <w:highlight w:val="none"/>
          <w:lang w:val="en-US" w:eastAsia="zh-CN"/>
        </w:rPr>
        <w:t>6</w:t>
      </w:r>
      <w:r>
        <w:rPr>
          <w:rFonts w:hint="default"/>
          <w:color w:val="auto"/>
          <w:highlight w:val="none"/>
          <w:lang w:val="en-US" w:eastAsia="zh-CN"/>
        </w:rPr>
        <w:t>。</w:t>
      </w:r>
    </w:p>
    <w:p>
      <w:pPr>
        <w:pStyle w:val="27"/>
        <w:bidi w:val="0"/>
        <w:rPr>
          <w:rFonts w:hint="default"/>
          <w:color w:val="auto"/>
          <w:highlight w:val="none"/>
          <w:lang w:val="en-US" w:eastAsia="zh-CN"/>
        </w:rPr>
      </w:pPr>
      <w:r>
        <w:rPr>
          <w:rFonts w:hint="default"/>
          <w:color w:val="auto"/>
          <w:highlight w:val="none"/>
          <w:lang w:val="en-US" w:eastAsia="zh-CN"/>
        </w:rPr>
        <w:t>表2</w:t>
      </w:r>
      <w:r>
        <w:rPr>
          <w:rFonts w:hint="eastAsia"/>
          <w:color w:val="auto"/>
          <w:highlight w:val="none"/>
          <w:lang w:val="en-US" w:eastAsia="zh-CN"/>
        </w:rPr>
        <w:t>.1</w:t>
      </w:r>
      <w:r>
        <w:rPr>
          <w:rFonts w:hint="default"/>
          <w:color w:val="auto"/>
          <w:highlight w:val="none"/>
          <w:lang w:val="en-US" w:eastAsia="zh-CN"/>
        </w:rPr>
        <w:t>-</w:t>
      </w:r>
      <w:r>
        <w:rPr>
          <w:rFonts w:hint="eastAsia"/>
          <w:color w:val="auto"/>
          <w:highlight w:val="none"/>
          <w:lang w:val="en-US" w:eastAsia="zh-CN"/>
        </w:rPr>
        <w:t>6</w:t>
      </w:r>
      <w:r>
        <w:rPr>
          <w:rFonts w:hint="default"/>
          <w:color w:val="auto"/>
          <w:highlight w:val="none"/>
          <w:lang w:val="en-US" w:eastAsia="zh-CN"/>
        </w:rPr>
        <w:t xml:space="preserve"> 产业融合规划</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7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5" w:type="dxa"/>
            <w:noWrap w:val="0"/>
            <w:vAlign w:val="center"/>
          </w:tcPr>
          <w:p>
            <w:pPr>
              <w:pStyle w:val="29"/>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产业类型</w:t>
            </w:r>
          </w:p>
        </w:tc>
        <w:tc>
          <w:tcPr>
            <w:tcW w:w="7015" w:type="dxa"/>
            <w:noWrap w:val="0"/>
            <w:vAlign w:val="center"/>
          </w:tcPr>
          <w:p>
            <w:pPr>
              <w:pStyle w:val="29"/>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lang w:val="en-US" w:eastAsia="zh-CN"/>
              </w:rPr>
              <w:t>规划内容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noWrap w:val="0"/>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农牧业+旅游</w:t>
            </w:r>
          </w:p>
        </w:tc>
        <w:tc>
          <w:tcPr>
            <w:tcW w:w="7015" w:type="dxa"/>
            <w:noWrap w:val="0"/>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一方面，推动农牧业升级，包括“类型拓展”（生存农业向品质农业转变）、“技术升级”（传统农牧业向现代农牧业转变）、“链条拓展”（传统一产向农旅融合转变）等 3 个方面。另一方面，导入休闲度假业态。例如：鼓励潜在客群回归乡村健康生活方式；透过旅游开发和运营，提升农户和企业的经济收益；发展餐饮、酒店、民宿、娱乐、礼品等多元业态。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noWrap w:val="0"/>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林业+旅游</w:t>
            </w:r>
          </w:p>
        </w:tc>
        <w:tc>
          <w:tcPr>
            <w:tcW w:w="7015" w:type="dxa"/>
            <w:noWrap w:val="0"/>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林业资源作为林芝市重要的旅游资源，林芝发展全域旅游，更应充分认识森林的战略性资源价值，积极发挥林业“产业链长、市场需求大”的特点，加强林业与旅游产业的融合发展，通过“打造国家公园、推出森林度假、发展林下经济”三大措施来实现旅游与林业的产业融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noWrap w:val="0"/>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文化产业+旅游</w:t>
            </w:r>
          </w:p>
        </w:tc>
        <w:tc>
          <w:tcPr>
            <w:tcW w:w="7015" w:type="dxa"/>
            <w:noWrap w:val="0"/>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依秉持产业化发展的思路，将藏族文化、宗教文化、非遗、传统民俗、当代节庆、夜间娱乐等本土文化元素转化为自然理念、人文景观、节庆活动、文化演艺、文创园区、文创商品、传统村落、文化研学等产业业态 。贯彻政企联手、主客共享的理念，推广藏式民情的文化旅游合作开发模式，置入多元化的文创项目，让村民切实分享文化产业发展的社会经济成果。</w:t>
            </w:r>
          </w:p>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本地居民通过入股分工、手工艺品加工贸易、旅游相关行业劳动输出等方式，刺激自身生产就业，从而增加实质收入，实现脱贫致富。透过部门联动，促进红色文保单位开发，规避扯皮、政策干扰等现象发生；藉由组团式合作及专业人才培训，形成专业管理团队和专业导游；完善基础设施建设，借助优质自然资源弥补红色资源点吸引力的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noWrap w:val="0"/>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康养产业+旅游</w:t>
            </w:r>
          </w:p>
        </w:tc>
        <w:tc>
          <w:tcPr>
            <w:tcW w:w="7015" w:type="dxa"/>
            <w:noWrap w:val="0"/>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深厚的藏医文化、丰富的藏药种类、适宜的高海拔气候，赋予了林芝“夏季避暑、冬季避霾”的“康养资本”。藉由藏医学院、药材交易场所，以及一系列高原康养度假项目、藏药企业、藏药种植基地、藏医药康养产品，林芝有望成为“高原康养旅游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noWrap w:val="0"/>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体育产业+旅游</w:t>
            </w:r>
          </w:p>
        </w:tc>
        <w:tc>
          <w:tcPr>
            <w:tcW w:w="7015" w:type="dxa"/>
            <w:noWrap w:val="0"/>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全域旅游联合体育产业，要为林芝户外运动发展找准和明确发展定位，形成有影响力的户外运动品牌，坚持和强化产业理念，挖掘和开发户外产品，丰富和创新营销模式，着力将林芝打造成热门的户外运动目的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noWrap w:val="0"/>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科研教育产业+旅游</w:t>
            </w:r>
          </w:p>
        </w:tc>
        <w:tc>
          <w:tcPr>
            <w:tcW w:w="7015" w:type="dxa"/>
            <w:noWrap w:val="0"/>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依托林芝丰富的山水资源、野生动物资源及人文历史资源，开展生态科考、藏文化历史体验活动重点发展以尼洋河、大巴松错、通麦易贡、波密冰川森林、雅鲁藏布河谷和大峡谷生物多样性科考、地质科考为典型代表的生态科考旅游，积极申报生态研修教育示范基地；积极筹备“易贡湖生态修复与综合治理工程” 及“尼洋河八一镇城区段水生态综合治理工程”。有序发展历史文化体验旅游，深入挖掘工布文化内涵，将乡村大地景观、传统生产生活方式打造为旅游特色，建设林芝非物质文化旅游示范基地。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noWrap w:val="0"/>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商贸流通业+旅游</w:t>
            </w:r>
          </w:p>
        </w:tc>
        <w:tc>
          <w:tcPr>
            <w:tcW w:w="7015" w:type="dxa"/>
            <w:noWrap w:val="0"/>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深度挖掘农牧特产、文创商品、会议场馆、展览场馆、酒店、边境等旅游相关元素，开发购物旅游、工业旅游、会展旅游、商务旅游、边贸旅游等新型旅游业态，发挥重点项目的带动作用。利用电子商务及智慧旅游技术，对餐饮、住宿、购物网点进行信息化、网络化改造，推动旅游企业、互联网企业、商贸流通企业合作，形成“线上购物+线下配送” 的智慧旅游购物模式。引入大型、跨区域的电子商务平台，综合利用旅游业的正外部效应，为农牧企业、工商企业、批发零售行业、会议展览行业开拓更多商业机会和营销途径。</w:t>
            </w:r>
          </w:p>
        </w:tc>
      </w:tr>
    </w:tbl>
    <w:p>
      <w:pPr>
        <w:pStyle w:val="5"/>
        <w:bidi w:val="0"/>
        <w:rPr>
          <w:rFonts w:hint="eastAsia"/>
          <w:highlight w:val="none"/>
          <w:lang w:val="en-US" w:eastAsia="zh-CN"/>
        </w:rPr>
      </w:pPr>
      <w:bookmarkStart w:id="65" w:name="_Toc17415"/>
      <w:r>
        <w:rPr>
          <w:rFonts w:hint="eastAsia"/>
          <w:highlight w:val="none"/>
          <w:lang w:val="en-US" w:eastAsia="zh-CN"/>
        </w:rPr>
        <w:t>2.1.5全要素提升规划</w:t>
      </w:r>
      <w:bookmarkEnd w:id="65"/>
    </w:p>
    <w:p>
      <w:pPr>
        <w:pStyle w:val="6"/>
        <w:bidi w:val="0"/>
        <w:rPr>
          <w:rFonts w:hint="default"/>
          <w:b/>
          <w:bCs/>
          <w:color w:val="auto"/>
          <w:highlight w:val="none"/>
          <w:lang w:val="en-US" w:eastAsia="zh-CN"/>
        </w:rPr>
      </w:pPr>
      <w:r>
        <w:rPr>
          <w:rFonts w:hint="eastAsia"/>
          <w:b/>
          <w:bCs/>
          <w:color w:val="auto"/>
          <w:highlight w:val="none"/>
          <w:lang w:val="en-US" w:eastAsia="zh-CN"/>
        </w:rPr>
        <w:t>1、交通要素提升</w:t>
      </w:r>
    </w:p>
    <w:p>
      <w:pPr>
        <w:pStyle w:val="6"/>
        <w:bidi w:val="0"/>
        <w:rPr>
          <w:rFonts w:hint="default"/>
          <w:b/>
          <w:bCs/>
          <w:color w:val="auto"/>
          <w:highlight w:val="none"/>
          <w:lang w:val="en-US" w:eastAsia="zh-CN"/>
        </w:rPr>
      </w:pPr>
      <w:r>
        <w:rPr>
          <w:rFonts w:hint="eastAsia"/>
          <w:b/>
          <w:bCs/>
          <w:color w:val="auto"/>
          <w:highlight w:val="none"/>
          <w:lang w:val="en-US" w:eastAsia="zh-CN"/>
        </w:rPr>
        <w:t>（1）总体思路</w:t>
      </w:r>
    </w:p>
    <w:p>
      <w:pPr>
        <w:pStyle w:val="6"/>
        <w:bidi w:val="0"/>
        <w:ind w:left="0" w:leftChars="0" w:firstLine="0" w:firstLineChars="0"/>
        <w:jc w:val="center"/>
        <w:rPr>
          <w:rFonts w:hint="eastAsia"/>
          <w:b/>
          <w:bCs/>
          <w:color w:val="auto"/>
          <w:highlight w:val="none"/>
          <w:lang w:val="en-US" w:eastAsia="zh-CN"/>
        </w:rPr>
      </w:pPr>
      <w:bookmarkStart w:id="285" w:name="_GoBack"/>
      <w:r>
        <w:rPr>
          <w:color w:val="auto"/>
          <w:highlight w:val="none"/>
        </w:rPr>
        <w:drawing>
          <wp:inline distT="0" distB="0" distL="114300" distR="114300">
            <wp:extent cx="4142740" cy="2026285"/>
            <wp:effectExtent l="0" t="0" r="10160"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4142740" cy="2026285"/>
                    </a:xfrm>
                    <a:prstGeom prst="rect">
                      <a:avLst/>
                    </a:prstGeom>
                    <a:noFill/>
                    <a:ln>
                      <a:noFill/>
                    </a:ln>
                  </pic:spPr>
                </pic:pic>
              </a:graphicData>
            </a:graphic>
          </wp:inline>
        </w:drawing>
      </w:r>
      <w:bookmarkEnd w:id="285"/>
    </w:p>
    <w:p>
      <w:pPr>
        <w:pStyle w:val="34"/>
        <w:bidi w:val="0"/>
        <w:rPr>
          <w:rFonts w:hint="default"/>
          <w:color w:val="auto"/>
          <w:highlight w:val="none"/>
          <w:lang w:val="en-US" w:eastAsia="zh-CN"/>
        </w:rPr>
      </w:pPr>
      <w:r>
        <w:rPr>
          <w:rFonts w:hint="eastAsia"/>
          <w:color w:val="auto"/>
          <w:highlight w:val="none"/>
          <w:lang w:val="en-US" w:eastAsia="zh-CN"/>
        </w:rPr>
        <w:t>图2-1 旅游交通提升思路图</w:t>
      </w:r>
    </w:p>
    <w:p>
      <w:pPr>
        <w:pStyle w:val="6"/>
        <w:bidi w:val="0"/>
        <w:rPr>
          <w:rFonts w:hint="eastAsia"/>
          <w:b/>
          <w:bCs/>
          <w:color w:val="auto"/>
          <w:highlight w:val="none"/>
          <w:lang w:val="en-US" w:eastAsia="zh-CN"/>
        </w:rPr>
      </w:pPr>
      <w:r>
        <w:rPr>
          <w:rFonts w:hint="eastAsia"/>
          <w:b/>
          <w:bCs/>
          <w:color w:val="auto"/>
          <w:highlight w:val="none"/>
          <w:lang w:val="en-US" w:eastAsia="zh-CN"/>
        </w:rPr>
        <w:t>（2）快速交通体系</w:t>
      </w:r>
    </w:p>
    <w:p>
      <w:pPr>
        <w:pStyle w:val="6"/>
        <w:bidi w:val="0"/>
        <w:rPr>
          <w:rFonts w:hint="eastAsia"/>
          <w:color w:val="auto"/>
          <w:highlight w:val="none"/>
          <w:lang w:val="en-US" w:eastAsia="zh-CN"/>
        </w:rPr>
      </w:pPr>
      <w:r>
        <w:rPr>
          <w:rFonts w:hint="eastAsia"/>
          <w:color w:val="auto"/>
          <w:highlight w:val="none"/>
          <w:lang w:val="en-US" w:eastAsia="zh-CN"/>
        </w:rPr>
        <w:t>着眼林芝远期道路交通规划，大力改善林芝旅游交通设施与服务水平，打通对外交通战略通道；构建航空、铁路、高等级公路相结合的立体交通格局，全面融入区域高速公路网，提升外部交通可进入性；建设高效便捷的城乡交通运输体系，提高内部交通通达性，提供安全、便民的公共运输服务。</w:t>
      </w:r>
    </w:p>
    <w:p>
      <w:pPr>
        <w:pStyle w:val="6"/>
        <w:bidi w:val="0"/>
        <w:rPr>
          <w:rFonts w:hint="eastAsia"/>
          <w:b/>
          <w:bCs/>
          <w:color w:val="auto"/>
          <w:highlight w:val="none"/>
          <w:lang w:val="en-US" w:eastAsia="zh-CN"/>
        </w:rPr>
      </w:pPr>
      <w:r>
        <w:rPr>
          <w:rFonts w:hint="eastAsia"/>
          <w:b/>
          <w:bCs/>
          <w:color w:val="auto"/>
          <w:highlight w:val="none"/>
          <w:lang w:val="en-US" w:eastAsia="zh-CN"/>
        </w:rPr>
        <w:t>（3）景区畅达工程</w:t>
      </w:r>
    </w:p>
    <w:p>
      <w:pPr>
        <w:pStyle w:val="6"/>
        <w:bidi w:val="0"/>
        <w:rPr>
          <w:rFonts w:hint="eastAsia"/>
          <w:color w:val="auto"/>
          <w:highlight w:val="none"/>
          <w:lang w:val="en-US" w:eastAsia="zh-CN"/>
        </w:rPr>
      </w:pPr>
      <w:r>
        <w:rPr>
          <w:rFonts w:hint="eastAsia"/>
          <w:color w:val="auto"/>
          <w:highlight w:val="none"/>
          <w:lang w:val="en-US" w:eastAsia="zh-CN"/>
        </w:rPr>
        <w:t>在林芝市现有交通网络的基础上，根据《西藏自治区农村公路网规划&lt;林芝市分规划&gt;(2017-2025)》的要求，结合本规划各大旅游景区、景点选址，完善各区县、乡镇乡村与景区之间的串联，将旅游交通融于公路网规划当中，打造“快旅” 旅游交通体系。</w:t>
      </w:r>
    </w:p>
    <w:p>
      <w:pPr>
        <w:pStyle w:val="6"/>
        <w:bidi w:val="0"/>
        <w:rPr>
          <w:rFonts w:hint="eastAsia"/>
          <w:b/>
          <w:bCs/>
          <w:color w:val="auto"/>
          <w:highlight w:val="none"/>
          <w:lang w:val="en-US" w:eastAsia="zh-CN"/>
        </w:rPr>
      </w:pPr>
      <w:r>
        <w:rPr>
          <w:rFonts w:hint="eastAsia"/>
          <w:b/>
          <w:bCs/>
          <w:color w:val="auto"/>
          <w:highlight w:val="none"/>
          <w:lang w:val="en-US" w:eastAsia="zh-CN"/>
        </w:rPr>
        <w:t>（4）自驾风景道</w:t>
      </w:r>
    </w:p>
    <w:p>
      <w:pPr>
        <w:pStyle w:val="6"/>
        <w:bidi w:val="0"/>
        <w:rPr>
          <w:rFonts w:hint="eastAsia"/>
          <w:color w:val="auto"/>
          <w:highlight w:val="none"/>
          <w:lang w:val="en-US" w:eastAsia="zh-CN"/>
        </w:rPr>
      </w:pPr>
      <w:r>
        <w:rPr>
          <w:rFonts w:hint="eastAsia"/>
          <w:color w:val="auto"/>
          <w:highlight w:val="none"/>
          <w:lang w:val="en-US" w:eastAsia="zh-CN"/>
        </w:rPr>
        <w:t>在“景区畅达工程” 基础上，结合道路沿线景观，打造“畅享林芝”、“雨林秘境”、“驿路南疆”、“冰川圣湖” 等4条兼具交通、美学、生态、游憩、文化、历史价值的景观道路，突显全域旅游目的地品牌形象，为林芝“慢游” 提供最富有特色之载体。</w:t>
      </w:r>
    </w:p>
    <w:p>
      <w:pPr>
        <w:pStyle w:val="6"/>
        <w:bidi w:val="0"/>
        <w:rPr>
          <w:rFonts w:hint="eastAsia"/>
          <w:b/>
          <w:bCs/>
          <w:color w:val="auto"/>
          <w:highlight w:val="none"/>
          <w:lang w:val="en-US" w:eastAsia="zh-CN"/>
        </w:rPr>
      </w:pPr>
      <w:r>
        <w:rPr>
          <w:rFonts w:hint="eastAsia"/>
          <w:b/>
          <w:bCs/>
          <w:color w:val="auto"/>
          <w:highlight w:val="none"/>
          <w:lang w:val="en-US" w:eastAsia="zh-CN"/>
        </w:rPr>
        <w:t>（5）慢行系统</w:t>
      </w:r>
    </w:p>
    <w:p>
      <w:pPr>
        <w:pStyle w:val="6"/>
        <w:bidi w:val="0"/>
        <w:rPr>
          <w:rFonts w:hint="eastAsia"/>
          <w:color w:val="auto"/>
          <w:highlight w:val="none"/>
          <w:lang w:val="en-US" w:eastAsia="zh-CN"/>
        </w:rPr>
      </w:pPr>
      <w:r>
        <w:rPr>
          <w:rFonts w:hint="eastAsia"/>
          <w:color w:val="auto"/>
          <w:highlight w:val="none"/>
          <w:lang w:val="en-US" w:eastAsia="zh-CN"/>
        </w:rPr>
        <w:t>结合林芝市道路现状及相关交通规划，以雪域桃源、转山拜佛、雪山圣湖、寻幽探秘等4 个主题慢行道路为先导，构建林芝市全域旅游慢行系统。</w:t>
      </w:r>
    </w:p>
    <w:p>
      <w:pPr>
        <w:pStyle w:val="6"/>
        <w:bidi w:val="0"/>
        <w:rPr>
          <w:rFonts w:hint="eastAsia"/>
          <w:b/>
          <w:bCs/>
          <w:color w:val="auto"/>
          <w:highlight w:val="none"/>
          <w:lang w:val="en-US" w:eastAsia="zh-CN"/>
        </w:rPr>
      </w:pPr>
      <w:r>
        <w:rPr>
          <w:rFonts w:hint="eastAsia"/>
          <w:b/>
          <w:bCs/>
          <w:color w:val="auto"/>
          <w:highlight w:val="none"/>
          <w:lang w:val="en-US" w:eastAsia="zh-CN"/>
        </w:rPr>
        <w:t>（6）无障碍旅游交通服务网络</w:t>
      </w:r>
    </w:p>
    <w:p>
      <w:pPr>
        <w:pStyle w:val="6"/>
        <w:bidi w:val="0"/>
        <w:rPr>
          <w:rFonts w:hint="eastAsia"/>
          <w:color w:val="auto"/>
          <w:highlight w:val="none"/>
          <w:lang w:val="en-US" w:eastAsia="zh-CN"/>
        </w:rPr>
      </w:pPr>
      <w:r>
        <w:rPr>
          <w:rFonts w:hint="eastAsia"/>
          <w:color w:val="auto"/>
          <w:highlight w:val="none"/>
          <w:lang w:val="en-US" w:eastAsia="zh-CN"/>
        </w:rPr>
        <w:t>包括“城乡客运一体化”、“搭建旅游交通集散中心”、“发展多元交通方式”、“完善自驾服务体系”等内容。</w:t>
      </w:r>
    </w:p>
    <w:p>
      <w:pPr>
        <w:pStyle w:val="6"/>
        <w:bidi w:val="0"/>
        <w:rPr>
          <w:rFonts w:hint="default"/>
          <w:b/>
          <w:bCs/>
          <w:color w:val="auto"/>
          <w:highlight w:val="none"/>
          <w:lang w:val="en-US" w:eastAsia="zh-CN"/>
        </w:rPr>
      </w:pPr>
      <w:r>
        <w:rPr>
          <w:rFonts w:hint="eastAsia"/>
          <w:b/>
          <w:bCs/>
          <w:color w:val="auto"/>
          <w:highlight w:val="none"/>
          <w:lang w:val="en-US" w:eastAsia="zh-CN"/>
        </w:rPr>
        <w:t>2、住宿要素提升</w:t>
      </w:r>
    </w:p>
    <w:p>
      <w:pPr>
        <w:pStyle w:val="6"/>
        <w:bidi w:val="0"/>
        <w:rPr>
          <w:rFonts w:hint="default"/>
          <w:color w:val="auto"/>
          <w:highlight w:val="none"/>
          <w:lang w:val="en-US" w:eastAsia="zh-CN"/>
        </w:rPr>
      </w:pPr>
      <w:r>
        <w:rPr>
          <w:rFonts w:hint="default"/>
          <w:color w:val="auto"/>
          <w:highlight w:val="none"/>
          <w:lang w:val="en-US" w:eastAsia="zh-CN"/>
        </w:rPr>
        <w:t>主推“桃源雅居”、“原森生活”、“藏医温泉”、“浓情藏家”、“多彩工布”等 5 大住宿品牌；面向不同地区的客群， 优化住宿产品结构； 发展特色住宿产品， 构建“城区有精品、旅游片区有特色、乡村景点有覆盖”的住宿产品系统。</w:t>
      </w:r>
    </w:p>
    <w:p>
      <w:pPr>
        <w:pStyle w:val="6"/>
        <w:bidi w:val="0"/>
        <w:rPr>
          <w:rFonts w:hint="default"/>
          <w:b/>
          <w:bCs/>
          <w:color w:val="auto"/>
          <w:highlight w:val="none"/>
          <w:lang w:val="en-US" w:eastAsia="zh-CN"/>
        </w:rPr>
      </w:pPr>
      <w:r>
        <w:rPr>
          <w:rFonts w:hint="eastAsia"/>
          <w:b/>
          <w:bCs/>
          <w:color w:val="auto"/>
          <w:highlight w:val="none"/>
          <w:lang w:val="en-US" w:eastAsia="zh-CN"/>
        </w:rPr>
        <w:t>3、</w:t>
      </w:r>
      <w:r>
        <w:rPr>
          <w:rFonts w:hint="default"/>
          <w:b/>
          <w:bCs/>
          <w:color w:val="auto"/>
          <w:highlight w:val="none"/>
          <w:lang w:val="en-US" w:eastAsia="zh-CN"/>
        </w:rPr>
        <w:t>餐饮要素提升</w:t>
      </w:r>
    </w:p>
    <w:p>
      <w:pPr>
        <w:pStyle w:val="6"/>
        <w:bidi w:val="0"/>
        <w:rPr>
          <w:rFonts w:hint="default"/>
          <w:color w:val="auto"/>
          <w:highlight w:val="none"/>
          <w:lang w:val="en-US" w:eastAsia="zh-CN"/>
        </w:rPr>
      </w:pPr>
      <w:r>
        <w:rPr>
          <w:rFonts w:hint="default"/>
          <w:color w:val="auto"/>
          <w:highlight w:val="none"/>
          <w:lang w:val="en-US" w:eastAsia="zh-CN"/>
        </w:rPr>
        <w:t>推出“藏式风味”特色美食旅游品牌，发展情境式美食旅游，推出林芝“名吃”、“名街”、“名节” ，培育特色美食集聚区，搭建餐饮品牌平台。</w:t>
      </w:r>
    </w:p>
    <w:p>
      <w:pPr>
        <w:pStyle w:val="6"/>
        <w:bidi w:val="0"/>
        <w:rPr>
          <w:rFonts w:hint="eastAsia"/>
          <w:b/>
          <w:bCs/>
          <w:color w:val="auto"/>
          <w:highlight w:val="none"/>
          <w:lang w:val="en-US" w:eastAsia="zh-CN"/>
        </w:rPr>
      </w:pPr>
      <w:r>
        <w:rPr>
          <w:rFonts w:hint="eastAsia"/>
          <w:b/>
          <w:bCs/>
          <w:color w:val="auto"/>
          <w:highlight w:val="none"/>
          <w:lang w:val="en-US" w:eastAsia="zh-CN"/>
        </w:rPr>
        <w:t>4、购物要素提升</w:t>
      </w:r>
    </w:p>
    <w:p>
      <w:pPr>
        <w:pStyle w:val="6"/>
        <w:bidi w:val="0"/>
        <w:rPr>
          <w:rFonts w:hint="default"/>
          <w:color w:val="auto"/>
          <w:highlight w:val="none"/>
          <w:lang w:val="en-US" w:eastAsia="zh-CN"/>
        </w:rPr>
      </w:pPr>
      <w:r>
        <w:rPr>
          <w:rFonts w:hint="eastAsia"/>
          <w:color w:val="auto"/>
          <w:highlight w:val="none"/>
          <w:lang w:val="en-US" w:eastAsia="zh-CN"/>
        </w:rPr>
        <w:t>建立“来自林芝的礼物”购物品牌， 推出“乡村特产、传统美食、非遗文化”等3类旅游商品。培育林芝旅游商品体系，着力构建旅游商品品牌、搭建创意设计平台、引导创意向商品转化、建立电子商务体系、推进市场化经营模式。</w:t>
      </w:r>
    </w:p>
    <w:p>
      <w:pPr>
        <w:pStyle w:val="6"/>
        <w:bidi w:val="0"/>
        <w:rPr>
          <w:rFonts w:hint="eastAsia"/>
          <w:b/>
          <w:bCs/>
          <w:color w:val="auto"/>
          <w:highlight w:val="none"/>
          <w:lang w:val="en-US" w:eastAsia="zh-CN"/>
        </w:rPr>
      </w:pPr>
      <w:r>
        <w:rPr>
          <w:rFonts w:hint="eastAsia"/>
          <w:b/>
          <w:bCs/>
          <w:color w:val="auto"/>
          <w:highlight w:val="none"/>
          <w:lang w:val="en-US" w:eastAsia="zh-CN"/>
        </w:rPr>
        <w:t>5、娱乐要素提升</w:t>
      </w:r>
    </w:p>
    <w:p>
      <w:pPr>
        <w:pStyle w:val="6"/>
        <w:bidi w:val="0"/>
        <w:rPr>
          <w:rFonts w:hint="default"/>
          <w:color w:val="auto"/>
          <w:highlight w:val="none"/>
          <w:lang w:val="en-US" w:eastAsia="zh-CN"/>
        </w:rPr>
      </w:pPr>
      <w:r>
        <w:rPr>
          <w:rFonts w:hint="eastAsia"/>
          <w:color w:val="auto"/>
          <w:highlight w:val="none"/>
          <w:lang w:val="en-US" w:eastAsia="zh-CN"/>
        </w:rPr>
        <w:t>包括“促进主客共享”、“发展本土文娱产品”， 以及“树立健康产业形象”等举措。</w:t>
      </w:r>
    </w:p>
    <w:p>
      <w:pPr>
        <w:pStyle w:val="5"/>
        <w:bidi w:val="0"/>
        <w:rPr>
          <w:rFonts w:hint="default"/>
          <w:highlight w:val="none"/>
          <w:lang w:val="en-US" w:eastAsia="zh-CN"/>
        </w:rPr>
      </w:pPr>
      <w:bookmarkStart w:id="66" w:name="_Toc32630"/>
      <w:r>
        <w:rPr>
          <w:rFonts w:hint="eastAsia"/>
          <w:highlight w:val="none"/>
          <w:lang w:val="en-US" w:eastAsia="zh-CN"/>
        </w:rPr>
        <w:t>2.1.6</w:t>
      </w:r>
      <w:r>
        <w:rPr>
          <w:rFonts w:hint="default"/>
          <w:highlight w:val="none"/>
          <w:lang w:val="en-US" w:eastAsia="zh-CN"/>
        </w:rPr>
        <w:t>全体系覆盖</w:t>
      </w:r>
      <w:r>
        <w:rPr>
          <w:rFonts w:hint="eastAsia"/>
          <w:highlight w:val="none"/>
          <w:lang w:val="en-US" w:eastAsia="zh-CN"/>
        </w:rPr>
        <w:t>规划</w:t>
      </w:r>
      <w:bookmarkEnd w:id="66"/>
    </w:p>
    <w:p>
      <w:pPr>
        <w:pStyle w:val="6"/>
        <w:bidi w:val="0"/>
        <w:rPr>
          <w:rFonts w:hint="default"/>
          <w:b/>
          <w:bCs/>
          <w:color w:val="auto"/>
          <w:highlight w:val="none"/>
          <w:lang w:val="en-US" w:eastAsia="zh-CN"/>
        </w:rPr>
      </w:pPr>
      <w:r>
        <w:rPr>
          <w:rFonts w:hint="eastAsia"/>
          <w:b/>
          <w:bCs/>
          <w:color w:val="auto"/>
          <w:highlight w:val="none"/>
          <w:lang w:val="en-US" w:eastAsia="zh-CN"/>
        </w:rPr>
        <w:t>1、</w:t>
      </w:r>
      <w:r>
        <w:rPr>
          <w:rFonts w:hint="default"/>
          <w:b/>
          <w:bCs/>
          <w:color w:val="auto"/>
          <w:highlight w:val="none"/>
          <w:lang w:val="en-US" w:eastAsia="zh-CN"/>
        </w:rPr>
        <w:t>集散服务体系</w:t>
      </w:r>
    </w:p>
    <w:p>
      <w:pPr>
        <w:pStyle w:val="6"/>
        <w:bidi w:val="0"/>
        <w:rPr>
          <w:rFonts w:hint="default"/>
          <w:color w:val="auto"/>
          <w:highlight w:val="none"/>
          <w:lang w:val="en-US" w:eastAsia="zh-CN"/>
        </w:rPr>
      </w:pPr>
      <w:r>
        <w:rPr>
          <w:rFonts w:hint="default"/>
          <w:color w:val="auto"/>
          <w:highlight w:val="none"/>
          <w:lang w:val="en-US" w:eastAsia="zh-CN"/>
        </w:rPr>
        <w:t>构建“1+6+N” 林芝市域旅游集散体系，在重点景区、景点布局旅游集散服务点，在各大集散中心设立“旅游公共交通服务平台” ，形成交通网、景点网、客流网、信息网“四位一体” 的旅游集散服务体系。</w:t>
      </w:r>
    </w:p>
    <w:p>
      <w:pPr>
        <w:pStyle w:val="6"/>
        <w:bidi w:val="0"/>
        <w:rPr>
          <w:rFonts w:hint="default"/>
          <w:b/>
          <w:bCs/>
          <w:color w:val="auto"/>
          <w:highlight w:val="none"/>
          <w:lang w:val="en-US" w:eastAsia="zh-CN"/>
        </w:rPr>
      </w:pPr>
      <w:r>
        <w:rPr>
          <w:rFonts w:hint="eastAsia"/>
          <w:b/>
          <w:bCs/>
          <w:color w:val="auto"/>
          <w:highlight w:val="none"/>
          <w:lang w:val="en-US" w:eastAsia="zh-CN"/>
        </w:rPr>
        <w:t>2、</w:t>
      </w:r>
      <w:r>
        <w:rPr>
          <w:rFonts w:hint="default"/>
          <w:b/>
          <w:bCs/>
          <w:color w:val="auto"/>
          <w:highlight w:val="none"/>
          <w:lang w:val="en-US" w:eastAsia="zh-CN"/>
        </w:rPr>
        <w:t>自驾服务体系</w:t>
      </w:r>
    </w:p>
    <w:p>
      <w:pPr>
        <w:pStyle w:val="6"/>
        <w:bidi w:val="0"/>
        <w:rPr>
          <w:rFonts w:hint="default"/>
          <w:color w:val="auto"/>
          <w:highlight w:val="none"/>
          <w:lang w:val="en-US" w:eastAsia="zh-CN"/>
        </w:rPr>
      </w:pPr>
      <w:r>
        <w:rPr>
          <w:rFonts w:hint="default"/>
          <w:color w:val="auto"/>
          <w:highlight w:val="none"/>
          <w:lang w:val="en-US" w:eastAsia="zh-CN"/>
        </w:rPr>
        <w:t>引入市场资本和专业设计、运营企业，推动自驾车营地项目快速上马，弥补林芝公共财政薄弱导致的公共交通配套不足。设置 21 个不同类型自驾车营地，包括目的地型营地、驿站型营地、景区依托型营地等，根据林芝旅游产业实际情况，重点发展“驿站型营地”、“景区依托型营地”。建构自驾服务体系，依照上述 3 种不同类型的营地，合理配置旅游集散、旅游咨询、户外宿营、影视娱乐、健身运动、餐饮、卫生医疗、物资补给、汽车租赁、汽车维修等服务项目。</w:t>
      </w:r>
    </w:p>
    <w:p>
      <w:pPr>
        <w:pStyle w:val="6"/>
        <w:bidi w:val="0"/>
        <w:rPr>
          <w:rFonts w:hint="default"/>
          <w:b/>
          <w:bCs/>
          <w:color w:val="auto"/>
          <w:highlight w:val="none"/>
          <w:lang w:val="en-US" w:eastAsia="zh-CN"/>
        </w:rPr>
      </w:pPr>
      <w:r>
        <w:rPr>
          <w:rFonts w:hint="eastAsia"/>
          <w:b/>
          <w:bCs/>
          <w:color w:val="auto"/>
          <w:highlight w:val="none"/>
          <w:lang w:val="en-US" w:eastAsia="zh-CN"/>
        </w:rPr>
        <w:t>3、</w:t>
      </w:r>
      <w:r>
        <w:rPr>
          <w:rFonts w:hint="default"/>
          <w:b/>
          <w:bCs/>
          <w:color w:val="auto"/>
          <w:highlight w:val="none"/>
          <w:lang w:val="en-US" w:eastAsia="zh-CN"/>
        </w:rPr>
        <w:t>智慧旅游体系</w:t>
      </w:r>
    </w:p>
    <w:p>
      <w:pPr>
        <w:pStyle w:val="6"/>
        <w:bidi w:val="0"/>
        <w:rPr>
          <w:rFonts w:hint="default"/>
          <w:color w:val="auto"/>
          <w:highlight w:val="none"/>
          <w:lang w:val="en-US" w:eastAsia="zh-CN"/>
        </w:rPr>
      </w:pPr>
      <w:r>
        <w:rPr>
          <w:rFonts w:hint="default"/>
          <w:color w:val="auto"/>
          <w:highlight w:val="none"/>
          <w:lang w:val="en-US" w:eastAsia="zh-CN"/>
        </w:rPr>
        <w:t>智慧旅游的建设与发展主要体现在旅游服务、 旅游管理和旅游营销等 3 个层面。林芝智慧旅游，即“智游林芝” 工程建设，应立足于实现林芝旅游目的地与游客可以相互感知、全方位智慧体验的旅游服务体系，为游客提供一站式、个性化的旅游服务。</w:t>
      </w:r>
    </w:p>
    <w:p>
      <w:pPr>
        <w:pStyle w:val="6"/>
        <w:bidi w:val="0"/>
        <w:rPr>
          <w:rFonts w:hint="default"/>
          <w:b/>
          <w:bCs/>
          <w:color w:val="auto"/>
          <w:highlight w:val="none"/>
          <w:lang w:val="en-US" w:eastAsia="zh-CN"/>
        </w:rPr>
      </w:pPr>
      <w:r>
        <w:rPr>
          <w:rFonts w:hint="eastAsia"/>
          <w:b/>
          <w:bCs/>
          <w:color w:val="auto"/>
          <w:highlight w:val="none"/>
          <w:lang w:val="en-US" w:eastAsia="zh-CN"/>
        </w:rPr>
        <w:t>4、</w:t>
      </w:r>
      <w:r>
        <w:rPr>
          <w:rFonts w:hint="default"/>
          <w:b/>
          <w:bCs/>
          <w:color w:val="auto"/>
          <w:highlight w:val="none"/>
          <w:lang w:val="en-US" w:eastAsia="zh-CN"/>
        </w:rPr>
        <w:t>厕所体系</w:t>
      </w:r>
    </w:p>
    <w:p>
      <w:pPr>
        <w:pStyle w:val="6"/>
        <w:bidi w:val="0"/>
        <w:rPr>
          <w:rFonts w:hint="default"/>
          <w:color w:val="auto"/>
          <w:highlight w:val="none"/>
          <w:lang w:val="en-US" w:eastAsia="zh-CN"/>
        </w:rPr>
      </w:pPr>
      <w:r>
        <w:rPr>
          <w:rFonts w:hint="default"/>
          <w:color w:val="auto"/>
          <w:highlight w:val="none"/>
          <w:lang w:val="en-US" w:eastAsia="zh-CN"/>
        </w:rPr>
        <w:t>在上阶段推进厕所革命成果的基础上，制定“林芝市厕所革命新三年行动计划(2018-2020)”。在未来3年，按照“全域发展、质量提升、深化改革、创新突破” 的基本思路，采取“新建与改建结合、养护与提升并举” 的手段，使全市主要旅游景区、交通集散点、旅游公路沿线、自驾车营地等重点区域的厕所达到国家厕所质量等级标准。争取至2020年底，实现“数量充足、分布合理、管理有效、服务到位、卫生环保、如厕文明”的目标。针对“林芝市厕所革命新三年行动计划” 提出的新要求新挑战， 就“布局、建设、管理服务、科技、文明”等5项领域开展提升行动，继续深化“厕所革命”。</w:t>
      </w:r>
    </w:p>
    <w:p>
      <w:pPr>
        <w:pStyle w:val="6"/>
        <w:bidi w:val="0"/>
        <w:rPr>
          <w:rFonts w:hint="default"/>
          <w:b/>
          <w:bCs/>
          <w:color w:val="auto"/>
          <w:highlight w:val="none"/>
          <w:lang w:val="en-US" w:eastAsia="zh-CN"/>
        </w:rPr>
      </w:pPr>
      <w:r>
        <w:rPr>
          <w:rFonts w:hint="eastAsia"/>
          <w:b/>
          <w:bCs/>
          <w:color w:val="auto"/>
          <w:highlight w:val="none"/>
          <w:lang w:val="en-US" w:eastAsia="zh-CN"/>
        </w:rPr>
        <w:t>5、</w:t>
      </w:r>
      <w:r>
        <w:rPr>
          <w:rFonts w:hint="default"/>
          <w:b/>
          <w:bCs/>
          <w:color w:val="auto"/>
          <w:highlight w:val="none"/>
          <w:lang w:val="en-US" w:eastAsia="zh-CN"/>
        </w:rPr>
        <w:t>旅游标识体系</w:t>
      </w:r>
    </w:p>
    <w:p>
      <w:pPr>
        <w:pStyle w:val="6"/>
        <w:bidi w:val="0"/>
        <w:rPr>
          <w:rFonts w:hint="default"/>
          <w:color w:val="auto"/>
          <w:highlight w:val="none"/>
          <w:lang w:val="en-US" w:eastAsia="zh-CN"/>
        </w:rPr>
      </w:pPr>
      <w:r>
        <w:rPr>
          <w:rFonts w:hint="default"/>
          <w:color w:val="auto"/>
          <w:highlight w:val="none"/>
          <w:lang w:val="en-US" w:eastAsia="zh-CN"/>
        </w:rPr>
        <w:t>结合林芝市旅发委、林芝市交通运输局开展“旅游标识牌专项工程”，兼顾标准化和个性化的设计需要，构建林芝旅游标识系统，具体包括“主干道旅游标识系统”、“风景道旅游标识系统”、“宣传用品设计”等3个环节。</w:t>
      </w:r>
    </w:p>
    <w:p>
      <w:pPr>
        <w:pStyle w:val="6"/>
        <w:bidi w:val="0"/>
        <w:rPr>
          <w:rFonts w:hint="default"/>
          <w:b/>
          <w:bCs/>
          <w:color w:val="auto"/>
          <w:highlight w:val="none"/>
          <w:lang w:val="en-US" w:eastAsia="zh-CN"/>
        </w:rPr>
      </w:pPr>
      <w:r>
        <w:rPr>
          <w:rFonts w:hint="eastAsia"/>
          <w:b/>
          <w:bCs/>
          <w:color w:val="auto"/>
          <w:highlight w:val="none"/>
          <w:lang w:val="en-US" w:eastAsia="zh-CN"/>
        </w:rPr>
        <w:t>6、</w:t>
      </w:r>
      <w:r>
        <w:rPr>
          <w:rFonts w:hint="default"/>
          <w:b/>
          <w:bCs/>
          <w:color w:val="auto"/>
          <w:highlight w:val="none"/>
          <w:lang w:val="en-US" w:eastAsia="zh-CN"/>
        </w:rPr>
        <w:t>旅游营销体系</w:t>
      </w:r>
    </w:p>
    <w:p>
      <w:pPr>
        <w:pStyle w:val="6"/>
        <w:bidi w:val="0"/>
        <w:rPr>
          <w:rFonts w:hint="default"/>
          <w:color w:val="auto"/>
          <w:highlight w:val="none"/>
          <w:lang w:val="en-US" w:eastAsia="zh-CN"/>
        </w:rPr>
      </w:pPr>
      <w:r>
        <w:rPr>
          <w:rFonts w:hint="default"/>
          <w:color w:val="auto"/>
          <w:highlight w:val="none"/>
          <w:lang w:val="en-US" w:eastAsia="zh-CN"/>
        </w:rPr>
        <w:t>涵盖客源地营销、目的地营销、新媒体营销以及强化高反保障、淡季营销等5个方面</w:t>
      </w:r>
      <w:r>
        <w:rPr>
          <w:rFonts w:hint="eastAsia"/>
          <w:color w:val="auto"/>
          <w:highlight w:val="none"/>
          <w:lang w:val="en-US" w:eastAsia="zh-CN"/>
        </w:rPr>
        <w:t>。</w:t>
      </w:r>
    </w:p>
    <w:p>
      <w:pPr>
        <w:pStyle w:val="4"/>
        <w:bidi w:val="0"/>
        <w:rPr>
          <w:rFonts w:hint="default"/>
          <w:color w:val="auto"/>
          <w:highlight w:val="none"/>
          <w:lang w:val="en-US" w:eastAsia="zh-CN"/>
        </w:rPr>
      </w:pPr>
      <w:bookmarkStart w:id="67" w:name="_Toc26722"/>
      <w:r>
        <w:rPr>
          <w:rFonts w:hint="eastAsia"/>
          <w:color w:val="auto"/>
          <w:highlight w:val="none"/>
          <w:lang w:val="en-US" w:eastAsia="zh-CN"/>
        </w:rPr>
        <w:t>2.2规划协调性分析</w:t>
      </w:r>
      <w:bookmarkEnd w:id="67"/>
    </w:p>
    <w:p>
      <w:pPr>
        <w:pStyle w:val="5"/>
        <w:bidi w:val="0"/>
        <w:rPr>
          <w:rFonts w:hint="eastAsia"/>
          <w:color w:val="auto"/>
          <w:highlight w:val="none"/>
        </w:rPr>
      </w:pPr>
      <w:bookmarkStart w:id="68" w:name="_Toc7332"/>
      <w:r>
        <w:rPr>
          <w:rFonts w:hint="eastAsia"/>
          <w:color w:val="auto"/>
          <w:highlight w:val="none"/>
        </w:rPr>
        <w:t>2.2.1规划协调性分析</w:t>
      </w:r>
      <w:bookmarkEnd w:id="68"/>
    </w:p>
    <w:p>
      <w:pPr>
        <w:pStyle w:val="6"/>
        <w:bidi w:val="0"/>
        <w:rPr>
          <w:rFonts w:hint="eastAsia"/>
          <w:color w:val="auto"/>
          <w:highlight w:val="none"/>
        </w:rPr>
      </w:pPr>
      <w:r>
        <w:rPr>
          <w:rFonts w:hint="eastAsia"/>
          <w:color w:val="auto"/>
          <w:highlight w:val="none"/>
        </w:rPr>
        <w:t>环评对本规划与相关法律、法规、政策的相符性，以及规划在空间布局、资源保护与利用、生态环境保护等方面的冲突和矛盾进行分析。</w:t>
      </w:r>
    </w:p>
    <w:p>
      <w:pPr>
        <w:pStyle w:val="6"/>
        <w:bidi w:val="0"/>
        <w:rPr>
          <w:rFonts w:hint="eastAsia"/>
          <w:color w:val="auto"/>
          <w:highlight w:val="none"/>
        </w:rPr>
      </w:pPr>
      <w:r>
        <w:rPr>
          <w:rFonts w:hint="eastAsia"/>
          <w:color w:val="auto"/>
          <w:highlight w:val="none"/>
        </w:rPr>
        <w:t>协调性分析的总体原则和方法：</w:t>
      </w:r>
    </w:p>
    <w:p>
      <w:pPr>
        <w:pStyle w:val="6"/>
        <w:bidi w:val="0"/>
        <w:rPr>
          <w:rFonts w:hint="eastAsia"/>
          <w:color w:val="auto"/>
          <w:highlight w:val="none"/>
        </w:rPr>
      </w:pPr>
      <w:r>
        <w:rPr>
          <w:rFonts w:hint="eastAsia"/>
          <w:color w:val="auto"/>
          <w:highlight w:val="none"/>
        </w:rPr>
        <w:t>（1）筛选出与本规划相关的生态环境保护法律法规、环境经济政策、环境技术政策、资源利用和产业政策，分析本规划与其相关要求的符合性。</w:t>
      </w:r>
    </w:p>
    <w:p>
      <w:pPr>
        <w:pStyle w:val="6"/>
        <w:bidi w:val="0"/>
        <w:rPr>
          <w:rFonts w:hint="eastAsia"/>
          <w:color w:val="auto"/>
          <w:highlight w:val="none"/>
        </w:rPr>
      </w:pPr>
      <w:r>
        <w:rPr>
          <w:rFonts w:hint="eastAsia"/>
          <w:color w:val="auto"/>
          <w:highlight w:val="none"/>
        </w:rPr>
        <w:t>（2）分析规划规模、布局、结构等规划内容与上层位规划、区域“三线一单”管控要求、战略或规划环评成果的符合性，识别并明确在空间布局以及资源保护与利用、生态环境保护等方面的冲突和矛盾。</w:t>
      </w:r>
    </w:p>
    <w:p>
      <w:pPr>
        <w:pStyle w:val="6"/>
        <w:bidi w:val="0"/>
        <w:rPr>
          <w:rFonts w:hint="eastAsia"/>
          <w:color w:val="auto"/>
          <w:highlight w:val="none"/>
        </w:rPr>
      </w:pPr>
      <w:r>
        <w:rPr>
          <w:rFonts w:hint="eastAsia"/>
          <w:color w:val="auto"/>
          <w:highlight w:val="none"/>
        </w:rPr>
        <w:t>（3）筛选出在评价范围内与本规划同层位的自然资源开发利用或生态环境保护相关规划，分析与同层位规划在关键资源利用和生态环境保护等方面的协调性，明确规划与同层位规划间的冲突和矛盾。</w:t>
      </w:r>
    </w:p>
    <w:p>
      <w:pPr>
        <w:pStyle w:val="6"/>
        <w:bidi w:val="0"/>
        <w:rPr>
          <w:rFonts w:hint="eastAsia"/>
          <w:color w:val="auto"/>
          <w:highlight w:val="none"/>
        </w:rPr>
      </w:pPr>
      <w:r>
        <w:rPr>
          <w:rFonts w:hint="eastAsia"/>
          <w:color w:val="auto"/>
          <w:highlight w:val="none"/>
        </w:rPr>
        <w:t>根据《规划环境影响评价技术导则 总纲》的有关要求，将对比分析本规划与各相关政策法规与上位规划在资源保护与利用、环境保护、生态建设要求等方面的符合性，对比分析本规划与同层规划在环境目标、资源利用、环境容量与承载力等方面的协调性。经分析，本规划与相关政策法规、规划的相符性总体情况见表2</w:t>
      </w:r>
      <w:r>
        <w:rPr>
          <w:rFonts w:hint="eastAsia"/>
          <w:color w:val="auto"/>
          <w:highlight w:val="none"/>
          <w:lang w:val="en-US" w:eastAsia="zh-CN"/>
        </w:rPr>
        <w:t>.2-1</w:t>
      </w:r>
      <w:r>
        <w:rPr>
          <w:rFonts w:hint="eastAsia"/>
          <w:color w:val="auto"/>
          <w:highlight w:val="none"/>
        </w:rPr>
        <w:t>。</w:t>
      </w:r>
    </w:p>
    <w:p>
      <w:pPr>
        <w:pStyle w:val="6"/>
        <w:bidi w:val="0"/>
        <w:rPr>
          <w:rFonts w:hint="eastAsia"/>
          <w:color w:val="auto"/>
          <w:highlight w:val="none"/>
        </w:rPr>
      </w:pPr>
    </w:p>
    <w:p>
      <w:pPr>
        <w:pStyle w:val="6"/>
        <w:bidi w:val="0"/>
        <w:rPr>
          <w:rFonts w:hint="eastAsia"/>
          <w:color w:val="auto"/>
          <w:highlight w:val="none"/>
        </w:rPr>
      </w:pPr>
    </w:p>
    <w:p>
      <w:pPr>
        <w:pStyle w:val="27"/>
        <w:bidi w:val="0"/>
        <w:rPr>
          <w:rFonts w:hint="eastAsia"/>
          <w:color w:val="auto"/>
          <w:highlight w:val="none"/>
        </w:rPr>
      </w:pPr>
      <w:r>
        <w:rPr>
          <w:rFonts w:hint="eastAsia"/>
          <w:color w:val="auto"/>
          <w:highlight w:val="none"/>
        </w:rPr>
        <w:t>表2</w:t>
      </w:r>
      <w:r>
        <w:rPr>
          <w:rFonts w:hint="eastAsia"/>
          <w:color w:val="auto"/>
          <w:highlight w:val="none"/>
          <w:lang w:val="en-US" w:eastAsia="zh-CN"/>
        </w:rPr>
        <w:t>.2-1</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相关政策、规划一览表及相符性汇总表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7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noWrap w:val="0"/>
            <w:vAlign w:val="center"/>
          </w:tcPr>
          <w:p>
            <w:pPr>
              <w:pStyle w:val="29"/>
              <w:keepNext w:val="0"/>
              <w:keepLines w:val="0"/>
              <w:suppressLineNumbers w:val="0"/>
              <w:bidi w:val="0"/>
              <w:spacing w:before="0" w:beforeAutospacing="0" w:after="0" w:afterAutospacing="0"/>
              <w:ind w:left="0" w:right="0"/>
              <w:rPr>
                <w:rFonts w:hint="default"/>
                <w:b/>
                <w:bCs/>
              </w:rPr>
            </w:pPr>
            <w:r>
              <w:rPr>
                <w:rFonts w:hint="eastAsia"/>
                <w:b/>
                <w:bCs/>
              </w:rPr>
              <w:t>规划分类</w:t>
            </w:r>
          </w:p>
        </w:tc>
        <w:tc>
          <w:tcPr>
            <w:tcW w:w="4197" w:type="pct"/>
            <w:noWrap w:val="0"/>
            <w:vAlign w:val="center"/>
          </w:tcPr>
          <w:p>
            <w:pPr>
              <w:pStyle w:val="29"/>
              <w:keepNext w:val="0"/>
              <w:keepLines w:val="0"/>
              <w:suppressLineNumbers w:val="0"/>
              <w:bidi w:val="0"/>
              <w:spacing w:before="0" w:beforeAutospacing="0" w:after="0" w:afterAutospacing="0"/>
              <w:ind w:left="0" w:right="0"/>
              <w:rPr>
                <w:rFonts w:hint="default"/>
                <w:b/>
                <w:bCs/>
              </w:rPr>
            </w:pPr>
            <w:r>
              <w:rPr>
                <w:rFonts w:hint="eastAsia"/>
                <w:b/>
                <w:bCs/>
              </w:rPr>
              <w:t>相关政策、规划名称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restar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相关法律、法规</w:t>
            </w:r>
          </w:p>
        </w:tc>
        <w:tc>
          <w:tcPr>
            <w:tcW w:w="4197"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《中华人民共和国旅游法》（2013年10月1日起施行）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《中华人民共和国湿地保护法》（2022年6月1日起施行）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《湿地保护管理规定》（2017年12月5日国家林业局令第48号）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《中华人民共和国自然保护区条例》（2017年10月7日修订）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《中华人民共和国文物保护法》（2017年11月4日）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《国家级森林公园管理办法》（2016年9月22日国家林业局令第42号修改）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《基本农田保护条例》（2011年1月8日修订）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《西藏自治区环境保护条例》（2003年9月1日起施行）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《西藏自治区湿地保护条例》（2011年3月1日起施行）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restar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相关规划</w:t>
            </w: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《“十四五”旅游业发展规划》（国发〔2021〕32号）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《西藏自治区国民经济和社会发展第十四个五年规划和二〇三五年远景目标纲要》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《林芝市国民经济和社会发展第十四个五年规划和二〇三五年远景目标纲要》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《西藏自治区生态功能区划》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《西藏自治区主体功能区规划》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《西藏自治区“十四五”时期旅游综合发展规划》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《西藏自治区“十四五”时期生态环境保护规划》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《西藏雅鲁藏布大峡谷国家级自然保护区总体规划（2011~2020）》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《西藏察隅慈巴沟国家级自然保护区总体规划（2011~2020）》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《西藏工布自然保护区总体规划（2011~2020》）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《西藏雅尼国家湿地公园总体规划（2009~2018）》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《西藏林芝嘎朗国家湿地公园总体规划（2009~2018）》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《西藏自治区朱拉河国家湿地公园总体规划（2012~2020）》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《西藏比日神山国家森林公园总体规划（2013～2020）》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《西藏色季拉国家森林公园总体规划（2013～2022）》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《西藏巴松湖国家森林公园总体规划（2014~2023）》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restar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三线一单</w:t>
            </w:r>
          </w:p>
        </w:tc>
        <w:tc>
          <w:tcPr>
            <w:tcW w:w="4197"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《西藏自治区“三线一单”生态环境分区管控方案》（藏政发〔2020〕11号）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pct"/>
            <w:vMerge w:val="continue"/>
            <w:noWrap w:val="0"/>
            <w:vAlign w:val="center"/>
          </w:tcPr>
          <w:p>
            <w:pPr>
              <w:pStyle w:val="29"/>
              <w:keepNext w:val="0"/>
              <w:keepLines w:val="0"/>
              <w:suppressLineNumbers w:val="0"/>
              <w:bidi w:val="0"/>
              <w:spacing w:before="0" w:beforeAutospacing="0" w:after="0" w:afterAutospacing="0"/>
              <w:ind w:left="0" w:right="0"/>
              <w:rPr>
                <w:rFonts w:hint="default"/>
              </w:rPr>
            </w:pPr>
          </w:p>
        </w:tc>
        <w:tc>
          <w:tcPr>
            <w:tcW w:w="4197"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《林芝市“三线一单”生态环境分区管控实施意见》</w:t>
            </w:r>
          </w:p>
        </w:tc>
      </w:tr>
    </w:tbl>
    <w:p>
      <w:pPr>
        <w:pStyle w:val="5"/>
        <w:bidi w:val="0"/>
        <w:rPr>
          <w:rFonts w:hint="eastAsia"/>
          <w:color w:val="auto"/>
          <w:highlight w:val="none"/>
        </w:rPr>
      </w:pPr>
      <w:bookmarkStart w:id="69" w:name="_Toc12474"/>
      <w:r>
        <w:rPr>
          <w:rFonts w:hint="eastAsia"/>
          <w:color w:val="auto"/>
          <w:highlight w:val="none"/>
        </w:rPr>
        <w:t>2.2.2与相关法律、法规的符合性分析</w:t>
      </w:r>
      <w:bookmarkEnd w:id="69"/>
    </w:p>
    <w:p>
      <w:pPr>
        <w:pStyle w:val="2"/>
        <w:bidi w:val="0"/>
        <w:rPr>
          <w:rFonts w:hint="eastAsia"/>
          <w:color w:val="auto"/>
          <w:highlight w:val="none"/>
        </w:rPr>
      </w:pPr>
      <w:r>
        <w:rPr>
          <w:rFonts w:hint="eastAsia"/>
          <w:color w:val="auto"/>
          <w:highlight w:val="none"/>
        </w:rPr>
        <w:t>2.2.2.1与相关法律、法规的符合性分析</w:t>
      </w:r>
    </w:p>
    <w:p>
      <w:pPr>
        <w:pStyle w:val="6"/>
        <w:numPr>
          <w:ilvl w:val="0"/>
          <w:numId w:val="3"/>
        </w:numPr>
        <w:bidi w:val="0"/>
        <w:rPr>
          <w:rFonts w:hint="eastAsia"/>
          <w:b/>
          <w:bCs/>
          <w:color w:val="auto"/>
          <w:highlight w:val="none"/>
        </w:rPr>
      </w:pPr>
      <w:r>
        <w:rPr>
          <w:rFonts w:hint="eastAsia"/>
          <w:b/>
          <w:bCs/>
          <w:color w:val="auto"/>
          <w:highlight w:val="none"/>
        </w:rPr>
        <w:t>国家法律法规</w:t>
      </w:r>
    </w:p>
    <w:p>
      <w:pPr>
        <w:pStyle w:val="6"/>
        <w:bidi w:val="0"/>
        <w:rPr>
          <w:b/>
          <w:bCs/>
          <w:color w:val="auto"/>
          <w:highlight w:val="none"/>
        </w:rPr>
      </w:pPr>
      <w:r>
        <w:rPr>
          <w:rFonts w:hint="eastAsia"/>
          <w:b/>
          <w:bCs/>
          <w:color w:val="auto"/>
          <w:highlight w:val="none"/>
        </w:rPr>
        <w:t xml:space="preserve">1、与《中华人民共和国旅游法》符合性分析 </w:t>
      </w:r>
    </w:p>
    <w:p>
      <w:pPr>
        <w:pStyle w:val="6"/>
        <w:bidi w:val="0"/>
        <w:rPr>
          <w:rFonts w:hint="eastAsia"/>
          <w:color w:val="auto"/>
          <w:highlight w:val="none"/>
          <w:lang w:val="en-US" w:eastAsia="zh-CN"/>
        </w:rPr>
      </w:pPr>
      <w:r>
        <w:rPr>
          <w:rFonts w:hint="eastAsia"/>
          <w:color w:val="auto"/>
          <w:highlight w:val="none"/>
          <w:lang w:val="en-US" w:eastAsia="zh-CN"/>
        </w:rPr>
        <w:t>（1）相关内容</w:t>
      </w:r>
    </w:p>
    <w:p>
      <w:pPr>
        <w:pStyle w:val="6"/>
        <w:bidi w:val="0"/>
        <w:rPr>
          <w:rFonts w:hint="eastAsia"/>
          <w:color w:val="auto"/>
          <w:highlight w:val="none"/>
          <w:lang w:val="en-US" w:eastAsia="zh-CN"/>
        </w:rPr>
      </w:pPr>
      <w:r>
        <w:rPr>
          <w:rFonts w:hint="eastAsia"/>
          <w:color w:val="auto"/>
          <w:highlight w:val="none"/>
          <w:lang w:val="en-US" w:eastAsia="zh-CN"/>
        </w:rPr>
        <w:t>第十七条 国务院和县级以上地方人民政府应当将旅游业发展纳入国民经济和社会发展规划。</w:t>
      </w:r>
    </w:p>
    <w:p>
      <w:pPr>
        <w:pStyle w:val="6"/>
        <w:bidi w:val="0"/>
        <w:rPr>
          <w:rFonts w:hint="eastAsia"/>
          <w:color w:val="auto"/>
          <w:highlight w:val="none"/>
          <w:lang w:val="en-US" w:eastAsia="zh-CN"/>
        </w:rPr>
      </w:pPr>
      <w:r>
        <w:rPr>
          <w:rFonts w:hint="eastAsia"/>
          <w:color w:val="auto"/>
          <w:highlight w:val="none"/>
          <w:lang w:val="en-US" w:eastAsia="zh-CN"/>
        </w:rPr>
        <w:t>第二十一条 对自然资源和文物等人文资源进行旅游利用，必须严格遵守有关法律、法规的规定，符合资源、生态保护和文物安全的要求，尊重和维护当地传统文化和习俗，维护资源的区域整体性、文化代表性和地域特殊性。</w:t>
      </w:r>
    </w:p>
    <w:p>
      <w:pPr>
        <w:pStyle w:val="6"/>
        <w:bidi w:val="0"/>
        <w:rPr>
          <w:rFonts w:hint="eastAsia"/>
          <w:color w:val="auto"/>
          <w:highlight w:val="none"/>
          <w:lang w:val="en-US" w:eastAsia="zh-CN"/>
        </w:rPr>
      </w:pPr>
      <w:r>
        <w:rPr>
          <w:rFonts w:hint="eastAsia"/>
          <w:color w:val="auto"/>
          <w:highlight w:val="none"/>
          <w:lang w:val="en-US" w:eastAsia="zh-CN"/>
        </w:rPr>
        <w:t>第二十四条 国务院和县级以上地方人民政府应当根据实际情况安排资金，加强旅游基础设施建设、旅游公共服务和旅游形象推广</w:t>
      </w:r>
    </w:p>
    <w:p>
      <w:pPr>
        <w:pStyle w:val="6"/>
        <w:bidi w:val="0"/>
        <w:rPr>
          <w:rFonts w:hint="default"/>
          <w:color w:val="auto"/>
          <w:highlight w:val="none"/>
          <w:lang w:val="en-US" w:eastAsia="zh-CN"/>
        </w:rPr>
      </w:pPr>
      <w:r>
        <w:rPr>
          <w:rFonts w:hint="eastAsia"/>
          <w:color w:val="auto"/>
          <w:highlight w:val="none"/>
          <w:lang w:val="en-US" w:eastAsia="zh-CN"/>
        </w:rPr>
        <w:t>（2）符合性分析</w:t>
      </w:r>
    </w:p>
    <w:p>
      <w:pPr>
        <w:pStyle w:val="6"/>
        <w:bidi w:val="0"/>
        <w:rPr>
          <w:rFonts w:hint="default" w:eastAsia="宋体"/>
          <w:color w:val="auto"/>
          <w:highlight w:val="none"/>
          <w:lang w:val="en-US" w:eastAsia="zh-CN"/>
        </w:rPr>
      </w:pPr>
      <w:r>
        <w:rPr>
          <w:rFonts w:hint="eastAsia"/>
          <w:color w:val="auto"/>
          <w:highlight w:val="none"/>
          <w:lang w:val="en-US" w:eastAsia="zh-CN"/>
        </w:rPr>
        <w:t>“《林芝市全域旅游发展规划（2018~2025年）》”规划</w:t>
      </w:r>
      <w:r>
        <w:rPr>
          <w:rFonts w:hint="default"/>
          <w:color w:val="auto"/>
          <w:highlight w:val="none"/>
          <w:lang w:val="en-US" w:eastAsia="zh-CN"/>
        </w:rPr>
        <w:t>发展定位</w:t>
      </w:r>
      <w:r>
        <w:rPr>
          <w:rFonts w:hint="eastAsia"/>
          <w:color w:val="auto"/>
          <w:highlight w:val="none"/>
          <w:lang w:val="en-US" w:eastAsia="zh-CN"/>
        </w:rPr>
        <w:t>为</w:t>
      </w:r>
      <w:r>
        <w:rPr>
          <w:rFonts w:hint="default"/>
          <w:color w:val="auto"/>
          <w:highlight w:val="none"/>
          <w:lang w:val="en-US" w:eastAsia="zh-CN"/>
        </w:rPr>
        <w:t>世界级高原生态旅游度假目的地、世界级公路旅游目的地</w:t>
      </w:r>
      <w:r>
        <w:rPr>
          <w:rFonts w:hint="eastAsia"/>
          <w:color w:val="auto"/>
          <w:highlight w:val="none"/>
          <w:lang w:val="en-US" w:eastAsia="zh-CN"/>
        </w:rPr>
        <w:t>。</w:t>
      </w:r>
      <w:r>
        <w:rPr>
          <w:rFonts w:hint="eastAsia"/>
          <w:color w:val="auto"/>
          <w:highlight w:val="none"/>
        </w:rPr>
        <w:t>近期搭建全域旅游发展平台和目的地服务体系，成为国家全域旅游示范区。中期融合创新、全域拓展，实现旅游基础及服务设施全域覆盖，旅游产业竞争力稳步提升。远期提升品质，逐步跨越，晋身世界级高原生态旅游度假目的地和世界级公路旅游目的地。</w:t>
      </w:r>
      <w:r>
        <w:rPr>
          <w:rFonts w:hint="eastAsia"/>
          <w:color w:val="auto"/>
          <w:highlight w:val="none"/>
          <w:lang w:val="en-US" w:eastAsia="zh-CN"/>
        </w:rPr>
        <w:t>《林芝市全域旅游发展规划（2018~2025年）》规划由林芝市旅游发展局及相关主管部门组织实施，使用国家财政资金和地方自筹资金投资建设，对加强林芝市旅游基础设施建设、旅游公共服务和旅游形象推广具有积极推进作用。规划与《中华人民共和国旅游法》相关内容符合。</w:t>
      </w:r>
    </w:p>
    <w:p>
      <w:pPr>
        <w:pStyle w:val="6"/>
        <w:numPr>
          <w:ilvl w:val="0"/>
          <w:numId w:val="4"/>
        </w:numPr>
        <w:bidi w:val="0"/>
        <w:rPr>
          <w:rFonts w:hint="eastAsia"/>
          <w:b/>
          <w:bCs/>
          <w:color w:val="auto"/>
          <w:highlight w:val="none"/>
          <w:lang w:val="en-US" w:eastAsia="zh-CN"/>
        </w:rPr>
      </w:pPr>
      <w:r>
        <w:rPr>
          <w:rFonts w:hint="eastAsia"/>
          <w:b/>
          <w:bCs/>
          <w:color w:val="auto"/>
          <w:highlight w:val="none"/>
          <w:lang w:val="en-US" w:eastAsia="zh-CN"/>
        </w:rPr>
        <w:t>与《中华人民共和国湿地保护法》、《湿地保护管理规定》（2017年12月5日国家林业局令第48号）符合性分析</w:t>
      </w:r>
    </w:p>
    <w:p>
      <w:pPr>
        <w:pStyle w:val="6"/>
        <w:bidi w:val="0"/>
        <w:rPr>
          <w:rFonts w:hint="default"/>
          <w:color w:val="auto"/>
          <w:highlight w:val="none"/>
          <w:lang w:val="en-US" w:eastAsia="zh-CN"/>
        </w:rPr>
      </w:pPr>
      <w:r>
        <w:rPr>
          <w:rFonts w:hint="eastAsia"/>
          <w:color w:val="auto"/>
          <w:highlight w:val="none"/>
          <w:lang w:val="en-US" w:eastAsia="zh-CN"/>
        </w:rPr>
        <w:t>项目与国家湿地保护相关法律、法规</w:t>
      </w:r>
      <w:r>
        <w:rPr>
          <w:rFonts w:hint="eastAsia"/>
          <w:b/>
          <w:bCs/>
          <w:color w:val="auto"/>
          <w:highlight w:val="none"/>
          <w:lang w:val="en-US" w:eastAsia="zh-CN"/>
        </w:rPr>
        <w:t>符合性分析见表2.2-2。</w:t>
      </w:r>
    </w:p>
    <w:p>
      <w:pPr>
        <w:pStyle w:val="27"/>
        <w:bidi w:val="0"/>
        <w:rPr>
          <w:rFonts w:hint="eastAsia"/>
          <w:color w:val="auto"/>
          <w:highlight w:val="none"/>
          <w:lang w:val="en-US" w:eastAsia="zh-CN"/>
        </w:rPr>
      </w:pPr>
      <w:r>
        <w:rPr>
          <w:rFonts w:hint="eastAsia"/>
          <w:color w:val="auto"/>
          <w:highlight w:val="none"/>
          <w:lang w:val="en-US" w:eastAsia="zh-CN"/>
        </w:rPr>
        <w:t>表2.2-2  项目与国家湿地保护相关法律、法规</w:t>
      </w:r>
      <w:r>
        <w:rPr>
          <w:rFonts w:hint="eastAsia"/>
          <w:b/>
          <w:bCs/>
          <w:color w:val="auto"/>
          <w:highlight w:val="none"/>
          <w:lang w:val="en-US" w:eastAsia="zh-CN"/>
        </w:rPr>
        <w:t>符合性分析</w:t>
      </w:r>
      <w:r>
        <w:rPr>
          <w:rFonts w:hint="eastAsia"/>
          <w:color w:val="auto"/>
          <w:highlight w:val="none"/>
          <w:lang w:val="en-US" w:eastAsia="zh-CN"/>
        </w:rPr>
        <w:t>符合性分析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4086"/>
        <w:gridCol w:w="3091"/>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tcPr>
          <w:p>
            <w:pPr>
              <w:pStyle w:val="29"/>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序号</w:t>
            </w:r>
          </w:p>
        </w:tc>
        <w:tc>
          <w:tcPr>
            <w:tcW w:w="4086" w:type="dxa"/>
            <w:vAlign w:val="center"/>
          </w:tcPr>
          <w:p>
            <w:pPr>
              <w:pStyle w:val="29"/>
              <w:keepNext w:val="0"/>
              <w:keepLines w:val="0"/>
              <w:suppressLineNumbers w:val="0"/>
              <w:bidi w:val="0"/>
              <w:spacing w:before="0" w:beforeAutospacing="0" w:after="0" w:afterAutospacing="0"/>
              <w:ind w:left="0" w:right="0"/>
              <w:jc w:val="center"/>
              <w:rPr>
                <w:rFonts w:hint="eastAsia"/>
                <w:b/>
                <w:bCs/>
                <w:color w:val="auto"/>
                <w:highlight w:val="none"/>
                <w:lang w:val="en-US" w:eastAsia="zh-CN"/>
              </w:rPr>
            </w:pPr>
            <w:r>
              <w:rPr>
                <w:rFonts w:hint="eastAsia"/>
                <w:b/>
                <w:bCs/>
                <w:color w:val="auto"/>
                <w:highlight w:val="none"/>
                <w:lang w:val="en-US" w:eastAsia="zh-CN"/>
              </w:rPr>
              <w:t>相关内容</w:t>
            </w:r>
          </w:p>
        </w:tc>
        <w:tc>
          <w:tcPr>
            <w:tcW w:w="3091" w:type="dxa"/>
            <w:vAlign w:val="center"/>
          </w:tcPr>
          <w:p>
            <w:pPr>
              <w:pStyle w:val="29"/>
              <w:keepNext w:val="0"/>
              <w:keepLines w:val="0"/>
              <w:suppressLineNumbers w:val="0"/>
              <w:bidi w:val="0"/>
              <w:spacing w:before="0" w:beforeAutospacing="0" w:after="0" w:afterAutospacing="0"/>
              <w:ind w:left="0" w:right="0"/>
              <w:jc w:val="center"/>
              <w:rPr>
                <w:rFonts w:hint="default"/>
                <w:b/>
                <w:bCs/>
                <w:color w:val="auto"/>
                <w:highlight w:val="none"/>
                <w:lang w:val="en-US" w:eastAsia="zh-CN"/>
              </w:rPr>
            </w:pPr>
            <w:r>
              <w:rPr>
                <w:rFonts w:hint="eastAsia"/>
                <w:b/>
                <w:bCs/>
                <w:color w:val="auto"/>
                <w:highlight w:val="none"/>
                <w:lang w:val="en-US" w:eastAsia="zh-CN"/>
              </w:rPr>
              <w:t>本规划</w:t>
            </w:r>
          </w:p>
        </w:tc>
        <w:tc>
          <w:tcPr>
            <w:tcW w:w="732" w:type="dxa"/>
          </w:tcPr>
          <w:p>
            <w:pPr>
              <w:pStyle w:val="29"/>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tcPr>
          <w:p>
            <w:pPr>
              <w:pStyle w:val="29"/>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一</w:t>
            </w:r>
          </w:p>
        </w:tc>
        <w:tc>
          <w:tcPr>
            <w:tcW w:w="7909" w:type="dxa"/>
            <w:gridSpan w:val="3"/>
          </w:tcPr>
          <w:p>
            <w:pPr>
              <w:pStyle w:val="29"/>
              <w:keepNext w:val="0"/>
              <w:keepLines w:val="0"/>
              <w:suppressLineNumbers w:val="0"/>
              <w:bidi w:val="0"/>
              <w:spacing w:before="0" w:beforeAutospacing="0" w:after="0" w:afterAutospacing="0"/>
              <w:ind w:left="0" w:right="0"/>
              <w:jc w:val="both"/>
              <w:rPr>
                <w:rFonts w:hint="eastAsia"/>
                <w:b/>
                <w:bCs/>
                <w:color w:val="auto"/>
                <w:highlight w:val="none"/>
                <w:lang w:val="en-US" w:eastAsia="zh-CN"/>
              </w:rPr>
            </w:pPr>
            <w:r>
              <w:rPr>
                <w:rFonts w:hint="eastAsia"/>
                <w:b/>
                <w:bCs/>
                <w:color w:val="auto"/>
                <w:highlight w:val="none"/>
                <w:lang w:val="en-US" w:eastAsia="zh-CN"/>
              </w:rPr>
              <w:t>《中华人民共和国湿地保护法》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w:t>
            </w:r>
          </w:p>
        </w:tc>
        <w:tc>
          <w:tcPr>
            <w:tcW w:w="4086" w:type="dxa"/>
          </w:tcPr>
          <w:p>
            <w:pPr>
              <w:pStyle w:val="29"/>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第十九条：禁止占用国家重要湿地，国家重大项目、防灾减灾项目、重要水利及保护设施项目、湿地保护项目等除外。建设项目选址、选线应当避让湿地，无法避让的应当尽量减少占用，并采取必要措施减轻对湿地生态功能的不利影响。建设项目规划选址、选线审批或者核准时，涉及国家重要湿地的，应当征求国务院林业草原主管部门的意见；涉及省级重要湿地或者一般湿地的，应当按照管理权限，征求县级以上地方人民政府授权的部门的意见。</w:t>
            </w:r>
          </w:p>
        </w:tc>
        <w:tc>
          <w:tcPr>
            <w:tcW w:w="3091" w:type="dxa"/>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0000FF"/>
              </w:rPr>
              <w:t>本次规划项目中涉及湿地的项目主要有雅尼国家湿地公园、嘎朗国家湿地公园、朱拉河国家湿地公园，规划建设项目位于湿地公园的体验区、合理利用区、宣教展示区。不占用重要湿地，同时规划实施过程中应进一步落实，禁止占用重要湿地。</w:t>
            </w:r>
          </w:p>
        </w:tc>
        <w:tc>
          <w:tcPr>
            <w:tcW w:w="732" w:type="dxa"/>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w:t>
            </w:r>
          </w:p>
        </w:tc>
        <w:tc>
          <w:tcPr>
            <w:tcW w:w="4086" w:type="dxa"/>
          </w:tcPr>
          <w:p>
            <w:pPr>
              <w:pStyle w:val="29"/>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第二十五条：在湿地范围内从事旅游、种植、畜牧、水产养殖、航运等利用活动，应当避免改变湿地的自然状况，并采取措施减轻对湿地生态功能的不利影响。</w:t>
            </w:r>
          </w:p>
        </w:tc>
        <w:tc>
          <w:tcPr>
            <w:tcW w:w="3091" w:type="dxa"/>
          </w:tcPr>
          <w:p>
            <w:pPr>
              <w:pStyle w:val="29"/>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rPr>
              <w:t>从本次规划项目内容来看，涉及湿地的旅游项目主要内容为完善基础设施建设、建设湿地栈道，在后续规划项目实施过程中涉及湿地的生态旅游，加强管理，并制定减轻湿地生态功能不利影响的措施。</w:t>
            </w:r>
            <w:r>
              <w:rPr>
                <w:rFonts w:hint="eastAsia"/>
                <w:color w:val="auto"/>
                <w:highlight w:val="none"/>
                <w:lang w:val="en-US" w:eastAsia="zh-CN"/>
              </w:rPr>
              <w:t>。</w:t>
            </w:r>
          </w:p>
        </w:tc>
        <w:tc>
          <w:tcPr>
            <w:tcW w:w="732" w:type="dxa"/>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w:t>
            </w:r>
          </w:p>
        </w:tc>
        <w:tc>
          <w:tcPr>
            <w:tcW w:w="4086" w:type="dxa"/>
          </w:tcPr>
          <w:p>
            <w:pPr>
              <w:pStyle w:val="29"/>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第二十八条：禁止下列破坏湿地及其生态功能的行为：（一）开（围）垦、排干自然湿地，永久性截断自然湿地水源；（二）擅自填埋自然湿地，擅自采砂、采矿、取土；（三）排放不符合水污染物排放标准的工业废水、生活污水及其他污染湿地的废水、污水，倾倒、堆放、丢弃、遗撒固体废物；（四）过度放牧或者滥采野生植物，过度捕捞或者灭绝式捕捞，过度施肥、投药、投放饵料等污染湿地的种植养殖行为；（五）其他破坏湿地及其生态功能的行为。</w:t>
            </w:r>
          </w:p>
        </w:tc>
        <w:tc>
          <w:tcPr>
            <w:tcW w:w="3091" w:type="dxa"/>
          </w:tcPr>
          <w:p>
            <w:pPr>
              <w:pStyle w:val="29"/>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遵照管理要求，不得开展上述禁止行为。</w:t>
            </w:r>
          </w:p>
          <w:p>
            <w:pPr>
              <w:pStyle w:val="29"/>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在规划实施期间，还应加大对游客宣传，尽量防止在游览期间出现上述行为，发现上述行为时，及时制止并交相关管理机关进行处理处罚。</w:t>
            </w:r>
          </w:p>
        </w:tc>
        <w:tc>
          <w:tcPr>
            <w:tcW w:w="732" w:type="dxa"/>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tcPr>
          <w:p>
            <w:pPr>
              <w:pStyle w:val="29"/>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二</w:t>
            </w:r>
          </w:p>
        </w:tc>
        <w:tc>
          <w:tcPr>
            <w:tcW w:w="7909" w:type="dxa"/>
            <w:gridSpan w:val="3"/>
          </w:tcPr>
          <w:p>
            <w:pPr>
              <w:pStyle w:val="29"/>
              <w:keepNext w:val="0"/>
              <w:keepLines w:val="0"/>
              <w:suppressLineNumbers w:val="0"/>
              <w:bidi w:val="0"/>
              <w:spacing w:before="0" w:beforeAutospacing="0" w:after="0" w:afterAutospacing="0"/>
              <w:ind w:left="0" w:right="0"/>
              <w:jc w:val="both"/>
              <w:rPr>
                <w:rFonts w:hint="eastAsia"/>
                <w:b/>
                <w:bCs/>
                <w:color w:val="auto"/>
                <w:highlight w:val="none"/>
                <w:lang w:val="en-US" w:eastAsia="zh-CN"/>
              </w:rPr>
            </w:pPr>
            <w:r>
              <w:rPr>
                <w:rFonts w:hint="eastAsia"/>
                <w:b/>
                <w:bCs/>
                <w:color w:val="auto"/>
                <w:highlight w:val="none"/>
                <w:lang w:val="en-US" w:eastAsia="zh-CN"/>
              </w:rPr>
              <w:t>《湿地保护管理规定》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w:t>
            </w:r>
          </w:p>
        </w:tc>
        <w:tc>
          <w:tcPr>
            <w:tcW w:w="4086" w:type="dxa"/>
          </w:tcPr>
          <w:p>
            <w:pPr>
              <w:pStyle w:val="29"/>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 xml:space="preserve">第二十九条 </w:t>
            </w:r>
            <w:r>
              <w:rPr>
                <w:rFonts w:hint="eastAsia"/>
                <w:color w:val="auto"/>
                <w:highlight w:val="none"/>
              </w:rPr>
              <w:t>除法律法规有特别规定的以外，在湿地内禁止从事下列活动：（一）开（围）垦湿地，放牧、捕捞；（二）填埋、排干湿地或者擅自改变湿地用途；（三）取用或者截断湿地水源；（四）挖砂、取土、开矿；（五）排放生活污水、工业废水；（六）破坏野生动物栖息地、鱼类洄游通道，采挖野生植物或者猎捕野生动物；（七）引进外来物种；（八）其他破坏湿地及其生态功能的活动。</w:t>
            </w:r>
          </w:p>
        </w:tc>
        <w:tc>
          <w:tcPr>
            <w:tcW w:w="3091" w:type="dxa"/>
            <w:vAlign w:val="top"/>
          </w:tcPr>
          <w:p>
            <w:pPr>
              <w:pStyle w:val="29"/>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遵照管理要求，不得开展上述禁止行为。</w:t>
            </w:r>
          </w:p>
          <w:p>
            <w:pPr>
              <w:pStyle w:val="29"/>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在规划实施期间，还应加大对游客宣传，尽量防止在游览期间出现上述行为，发现上述行为时，及时制止并交相关管理机关进行处理处罚。</w:t>
            </w:r>
          </w:p>
        </w:tc>
        <w:tc>
          <w:tcPr>
            <w:tcW w:w="732" w:type="dxa"/>
            <w:vAlign w:val="top"/>
          </w:tcPr>
          <w:p>
            <w:pPr>
              <w:pStyle w:val="29"/>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遵守</w:t>
            </w:r>
          </w:p>
        </w:tc>
      </w:tr>
    </w:tbl>
    <w:p>
      <w:pPr>
        <w:pStyle w:val="6"/>
        <w:bidi w:val="0"/>
        <w:rPr>
          <w:rFonts w:hint="eastAsia"/>
          <w:b/>
          <w:bCs/>
          <w:color w:val="auto"/>
          <w:highlight w:val="none"/>
          <w:lang w:val="en-US" w:eastAsia="zh-CN"/>
        </w:rPr>
      </w:pPr>
      <w:r>
        <w:rPr>
          <w:rFonts w:hint="eastAsia"/>
          <w:b/>
          <w:bCs/>
          <w:color w:val="auto"/>
          <w:highlight w:val="none"/>
          <w:lang w:val="en-US" w:eastAsia="zh-CN"/>
        </w:rPr>
        <w:t>3、与《中华人民共和国文物保护法》符合性分析</w:t>
      </w:r>
    </w:p>
    <w:p>
      <w:pPr>
        <w:pStyle w:val="6"/>
        <w:bidi w:val="0"/>
        <w:rPr>
          <w:rFonts w:hint="default"/>
          <w:color w:val="auto"/>
          <w:highlight w:val="none"/>
          <w:lang w:val="en-US" w:eastAsia="zh-CN"/>
        </w:rPr>
      </w:pPr>
      <w:r>
        <w:rPr>
          <w:rFonts w:hint="eastAsia"/>
          <w:color w:val="auto"/>
          <w:highlight w:val="none"/>
          <w:lang w:val="en-US" w:eastAsia="zh-CN"/>
        </w:rPr>
        <w:t>（1）相关内容</w:t>
      </w:r>
    </w:p>
    <w:p>
      <w:pPr>
        <w:pStyle w:val="6"/>
        <w:bidi w:val="0"/>
        <w:rPr>
          <w:rFonts w:hint="eastAsia"/>
          <w:color w:val="auto"/>
          <w:highlight w:val="none"/>
          <w:lang w:val="en-US" w:eastAsia="zh-CN"/>
        </w:rPr>
      </w:pPr>
      <w:r>
        <w:rPr>
          <w:rFonts w:hint="eastAsia"/>
          <w:color w:val="auto"/>
          <w:highlight w:val="none"/>
          <w:lang w:val="en-US" w:eastAsia="zh-CN"/>
        </w:rPr>
        <w:t>第二十条：建设工程选址，应当尽可能避开不可移动文物；因特殊情况不能避开的，对文物保护单位应当尽可能实施原址保护。实施原址保护的，建设单位应当事先确定保护措施，根据文物保护单位的级别报相应的文物行政部门批准，并将保护措施列入可行性研究报告或者设计任务书。</w:t>
      </w:r>
    </w:p>
    <w:p>
      <w:pPr>
        <w:pStyle w:val="6"/>
        <w:bidi w:val="0"/>
        <w:rPr>
          <w:rFonts w:hint="default"/>
          <w:color w:val="auto"/>
          <w:highlight w:val="none"/>
          <w:lang w:val="en-US" w:eastAsia="zh-CN"/>
        </w:rPr>
      </w:pPr>
      <w:r>
        <w:rPr>
          <w:rFonts w:hint="eastAsia"/>
          <w:color w:val="auto"/>
          <w:highlight w:val="none"/>
          <w:lang w:val="en-US" w:eastAsia="zh-CN"/>
        </w:rPr>
        <w:t>（2）符合性分析</w:t>
      </w:r>
    </w:p>
    <w:p>
      <w:pPr>
        <w:pStyle w:val="6"/>
        <w:ind w:firstLine="480"/>
        <w:rPr>
          <w:rFonts w:hint="eastAsia"/>
          <w:color w:val="0000FF"/>
        </w:rPr>
      </w:pPr>
      <w:r>
        <w:rPr>
          <w:rFonts w:hint="eastAsia"/>
          <w:color w:val="70AD47" w:themeColor="accent6"/>
          <w:highlight w:val="none"/>
          <w14:textFill>
            <w14:solidFill>
              <w14:schemeClr w14:val="accent6"/>
            </w14:solidFill>
          </w14:textFill>
        </w:rPr>
        <w:t>林芝市全域旅游发展规划中仁青崩寺、太昭古城、唐蕃古道、易贡将军楼</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秀巴古堡景区等旅游项目</w:t>
      </w:r>
      <w:r>
        <w:rPr>
          <w:rFonts w:hint="eastAsia"/>
          <w:color w:val="70AD47" w:themeColor="accent6"/>
          <w14:textFill>
            <w14:solidFill>
              <w14:schemeClr w14:val="accent6"/>
            </w14:solidFill>
          </w14:textFill>
        </w:rPr>
        <w:t>开发依托现有的不可移动文物。从规划建设内容上看主要是修缮庄园、完善基础设施建设，是在保护文物不受影响的情况下，展开以文物为参观对象的旅游活动，并不断完善周边的保护设施。本次</w:t>
      </w:r>
      <w:r>
        <w:rPr>
          <w:rFonts w:hint="eastAsia"/>
          <w:color w:val="0000FF"/>
        </w:rPr>
        <w:t>规划与《中华人民共和国文物保护法》的相关内容相符合。</w:t>
      </w:r>
    </w:p>
    <w:p>
      <w:pPr>
        <w:pStyle w:val="6"/>
        <w:bidi w:val="0"/>
        <w:rPr>
          <w:rFonts w:hint="eastAsia" w:eastAsia="宋体"/>
          <w:b/>
          <w:bCs/>
          <w:color w:val="auto"/>
          <w:highlight w:val="none"/>
          <w:lang w:val="en-US" w:eastAsia="zh-CN"/>
        </w:rPr>
      </w:pPr>
      <w:r>
        <w:rPr>
          <w:rFonts w:hint="eastAsia"/>
          <w:b/>
          <w:bCs/>
          <w:color w:val="auto"/>
          <w:highlight w:val="none"/>
          <w:lang w:val="en-US" w:eastAsia="zh-CN"/>
        </w:rPr>
        <w:t>4、与《中华人民共和国自然保护区条例》符合性分析</w:t>
      </w:r>
    </w:p>
    <w:p>
      <w:pPr>
        <w:pStyle w:val="6"/>
        <w:bidi w:val="0"/>
        <w:rPr>
          <w:rFonts w:hint="default"/>
          <w:b w:val="0"/>
          <w:bCs w:val="0"/>
          <w:color w:val="auto"/>
          <w:highlight w:val="none"/>
          <w:lang w:val="en-US" w:eastAsia="zh-CN"/>
        </w:rPr>
      </w:pPr>
      <w:r>
        <w:rPr>
          <w:rFonts w:hint="eastAsia"/>
          <w:b w:val="0"/>
          <w:bCs w:val="0"/>
          <w:color w:val="auto"/>
          <w:highlight w:val="none"/>
          <w:lang w:val="en-US" w:eastAsia="zh-CN"/>
        </w:rPr>
        <w:t>（1）相关条例</w:t>
      </w:r>
    </w:p>
    <w:p>
      <w:pPr>
        <w:pStyle w:val="6"/>
        <w:ind w:firstLine="480"/>
        <w:rPr>
          <w:rFonts w:hint="eastAsia"/>
        </w:rPr>
      </w:pPr>
      <w:r>
        <w:rPr>
          <w:rFonts w:hint="eastAsia"/>
        </w:rPr>
        <w:t>第十八条：自然保护区可以分为核心区、缓冲区和实验区。自然保护区内保存完好的天然状态的生态系统以及珍稀、濒危动植物的集中分布地，应当划为核心区，禁止任何单位和个人进入；除依照本条例第二十七条的规定经批准外，也不允许进入从事科学研究活动；核心区外围可以划定一定面积的缓冲区，只准进入从事科学研究观测活动；缓冲区外围划为实验区，可以进入从事科学试验、教学实习、参观考察、旅游以及驯化、繁殖珍稀、濒危野生动植物等活动。</w:t>
      </w:r>
    </w:p>
    <w:p>
      <w:pPr>
        <w:pStyle w:val="6"/>
        <w:ind w:firstLine="480"/>
        <w:rPr>
          <w:rFonts w:hint="eastAsia"/>
        </w:rPr>
      </w:pPr>
      <w:r>
        <w:rPr>
          <w:rFonts w:hint="eastAsia"/>
        </w:rPr>
        <w:t>第二十六条：禁止在自然保护区内进行砍伐、放牧、狩猎、捕捞、采药、开垦、烧荒、开矿、采石、挖沙等活动；但是，法律、行政法规另有规定的除外。</w:t>
      </w:r>
    </w:p>
    <w:p>
      <w:pPr>
        <w:pStyle w:val="6"/>
        <w:ind w:firstLine="480"/>
        <w:rPr>
          <w:rFonts w:hint="eastAsia"/>
        </w:rPr>
      </w:pPr>
      <w:r>
        <w:rPr>
          <w:rFonts w:hint="eastAsia"/>
        </w:rPr>
        <w:t>第二十八条：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p>
      <w:pPr>
        <w:pStyle w:val="6"/>
        <w:ind w:firstLine="480"/>
        <w:rPr>
          <w:rFonts w:hint="eastAsia"/>
        </w:rPr>
      </w:pPr>
      <w:r>
        <w:rPr>
          <w:rFonts w:hint="eastAsia"/>
        </w:rPr>
        <w:t>第二十九条：在自然保护区的实验区内开展参观、旅游活动的，由自然保护区管理机构编制方案，方案应当符合自然保护区管理目标。在自然保护区组织参观、旅游活动的，应当严格按照前款规定的方案进行，并加强管理；进入自然保护区参观、旅游的单位和个人，应当服从自然保护区管理机构的管理。严禁开设与自然保护区保护方向不一致的参观、旅游项目。</w:t>
      </w:r>
    </w:p>
    <w:p>
      <w:pPr>
        <w:pStyle w:val="6"/>
        <w:ind w:firstLine="480"/>
        <w:rPr>
          <w:rFonts w:hint="eastAsia"/>
          <w:color w:val="FF0000"/>
        </w:rPr>
      </w:pPr>
      <w:r>
        <w:t>第三十二条：</w:t>
      </w:r>
      <w:r>
        <w:rPr>
          <w:rFonts w:hint="eastAsia"/>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限期治理。限期治理决定由法律、法规规定的机关作出，被限期治理的企业事业单位必须按期完成治理任务。</w:t>
      </w:r>
    </w:p>
    <w:p>
      <w:pPr>
        <w:pStyle w:val="6"/>
        <w:numPr>
          <w:ilvl w:val="0"/>
          <w:numId w:val="5"/>
        </w:numPr>
        <w:bidi w:val="0"/>
        <w:rPr>
          <w:rFonts w:hint="eastAsia"/>
          <w:b w:val="0"/>
          <w:bCs w:val="0"/>
          <w:color w:val="auto"/>
          <w:highlight w:val="none"/>
          <w:lang w:val="en-US" w:eastAsia="zh-CN"/>
        </w:rPr>
      </w:pPr>
      <w:r>
        <w:rPr>
          <w:rFonts w:hint="eastAsia"/>
          <w:b w:val="0"/>
          <w:bCs w:val="0"/>
          <w:color w:val="auto"/>
          <w:highlight w:val="none"/>
          <w:lang w:val="en-US" w:eastAsia="zh-CN"/>
        </w:rPr>
        <w:t>符合性分析</w:t>
      </w:r>
    </w:p>
    <w:p>
      <w:pPr>
        <w:pStyle w:val="6"/>
        <w:ind w:firstLine="480"/>
        <w:rPr>
          <w:color w:val="70AD47" w:themeColor="accent6"/>
          <w14:textFill>
            <w14:solidFill>
              <w14:schemeClr w14:val="accent6"/>
            </w14:solidFill>
          </w14:textFill>
        </w:rPr>
      </w:pPr>
      <w:r>
        <w:rPr>
          <w:rFonts w:hint="eastAsia"/>
          <w:color w:val="70AD47" w:themeColor="accent6"/>
          <w14:textFill>
            <w14:solidFill>
              <w14:schemeClr w14:val="accent6"/>
            </w14:solidFill>
          </w14:textFill>
        </w:rPr>
        <w:t>由于本次规划的建设项目大部分处于概念阶段，具体建设范围及建设内容未确定，本次环评初步筛选可能涉及自然保护区的建设项目，见表2.2-3。</w:t>
      </w:r>
    </w:p>
    <w:p>
      <w:pPr>
        <w:pStyle w:val="27"/>
        <w:rPr>
          <w:color w:val="70AD47" w:themeColor="accent6"/>
          <w14:textFill>
            <w14:solidFill>
              <w14:schemeClr w14:val="accent6"/>
            </w14:solidFill>
          </w14:textFill>
        </w:rPr>
      </w:pPr>
      <w:r>
        <w:rPr>
          <w:rFonts w:hint="eastAsia"/>
          <w:color w:val="70AD47" w:themeColor="accent6"/>
          <w14:textFill>
            <w14:solidFill>
              <w14:schemeClr w14:val="accent6"/>
            </w14:solidFill>
          </w14:textFill>
        </w:rPr>
        <w:t>表2.2-3  自然保护区内项目规划情况一览表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noWrap w:val="0"/>
            <w:vAlign w:val="center"/>
          </w:tcPr>
          <w:p>
            <w:pPr>
              <w:pStyle w:val="29"/>
              <w:keepNext w:val="0"/>
              <w:keepLines w:val="0"/>
              <w:suppressLineNumbers w:val="0"/>
              <w:spacing w:before="0" w:beforeAutospacing="0" w:after="0" w:afterAutospacing="0"/>
              <w:ind w:left="0" w:right="0"/>
              <w:rPr>
                <w:rFonts w:hint="default"/>
                <w:b/>
                <w:bCs/>
                <w:color w:val="70AD47" w:themeColor="accent6"/>
                <w14:textFill>
                  <w14:solidFill>
                    <w14:schemeClr w14:val="accent6"/>
                  </w14:solidFill>
                </w14:textFill>
              </w:rPr>
            </w:pPr>
            <w:r>
              <w:rPr>
                <w:rFonts w:hint="eastAsia"/>
                <w:b/>
                <w:bCs/>
                <w:color w:val="70AD47" w:themeColor="accent6"/>
                <w14:textFill>
                  <w14:solidFill>
                    <w14:schemeClr w14:val="accent6"/>
                  </w14:solidFill>
                </w14:textFill>
              </w:rPr>
              <w:t>自然保护区名称</w:t>
            </w:r>
          </w:p>
        </w:tc>
        <w:tc>
          <w:tcPr>
            <w:tcW w:w="6175" w:type="dxa"/>
            <w:noWrap w:val="0"/>
            <w:vAlign w:val="center"/>
          </w:tcPr>
          <w:p>
            <w:pPr>
              <w:pStyle w:val="29"/>
              <w:keepNext w:val="0"/>
              <w:keepLines w:val="0"/>
              <w:suppressLineNumbers w:val="0"/>
              <w:spacing w:before="0" w:beforeAutospacing="0" w:after="0" w:afterAutospacing="0"/>
              <w:ind w:left="0" w:right="0"/>
              <w:rPr>
                <w:rFonts w:hint="eastAsia"/>
                <w:b/>
                <w:bCs/>
                <w:color w:val="70AD47" w:themeColor="accent6"/>
                <w14:textFill>
                  <w14:solidFill>
                    <w14:schemeClr w14:val="accent6"/>
                  </w14:solidFill>
                </w14:textFill>
              </w:rPr>
            </w:pPr>
            <w:r>
              <w:rPr>
                <w:rFonts w:hint="eastAsia"/>
                <w:b/>
                <w:bCs/>
                <w:color w:val="70AD47" w:themeColor="accent6"/>
                <w14:textFill>
                  <w14:solidFill>
                    <w14:schemeClr w14:val="accent6"/>
                  </w14:solidFill>
                </w14:textFill>
              </w:rPr>
              <w:t>景点名称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noWrap w:val="0"/>
            <w:vAlign w:val="center"/>
          </w:tcPr>
          <w:p>
            <w:pPr>
              <w:pStyle w:val="29"/>
              <w:keepNext w:val="0"/>
              <w:keepLines w:val="0"/>
              <w:suppressLineNumbers w:val="0"/>
              <w:spacing w:before="0" w:beforeAutospacing="0" w:after="0" w:afterAutospacing="0"/>
              <w:ind w:left="0" w:right="0"/>
              <w:rPr>
                <w:rFonts w:hint="eastAsia"/>
                <w:color w:val="70AD47" w:themeColor="accent6"/>
                <w:highlight w:val="none"/>
                <w14:textFill>
                  <w14:solidFill>
                    <w14:schemeClr w14:val="accent6"/>
                  </w14:solidFill>
                </w14:textFill>
              </w:rPr>
            </w:pPr>
            <w:r>
              <w:rPr>
                <w:rFonts w:hint="eastAsia"/>
                <w:color w:val="70AD47" w:themeColor="accent6"/>
                <w:highlight w:val="none"/>
                <w14:textFill>
                  <w14:solidFill>
                    <w14:schemeClr w14:val="accent6"/>
                  </w14:solidFill>
                </w14:textFill>
              </w:rPr>
              <w:t>西藏雅鲁藏布大峡谷国家自然保护区</w:t>
            </w:r>
          </w:p>
        </w:tc>
        <w:tc>
          <w:tcPr>
            <w:tcW w:w="6175" w:type="dxa"/>
            <w:noWrap w:val="0"/>
            <w:vAlign w:val="center"/>
          </w:tcPr>
          <w:p>
            <w:pPr>
              <w:pStyle w:val="29"/>
              <w:keepNext w:val="0"/>
              <w:keepLines w:val="0"/>
              <w:suppressLineNumbers w:val="0"/>
              <w:spacing w:before="0" w:beforeAutospacing="0" w:after="0" w:afterAutospacing="0"/>
              <w:ind w:left="0" w:right="0"/>
              <w:rPr>
                <w:rFonts w:hint="eastAsia"/>
                <w:color w:val="70AD47" w:themeColor="accent6"/>
                <w:highlight w:val="none"/>
                <w14:textFill>
                  <w14:solidFill>
                    <w14:schemeClr w14:val="accent6"/>
                  </w14:solidFill>
                </w14:textFill>
              </w:rPr>
            </w:pPr>
            <w:r>
              <w:rPr>
                <w:rFonts w:hint="eastAsia"/>
                <w:color w:val="70AD47" w:themeColor="accent6"/>
                <w:highlight w:val="none"/>
                <w14:textFill>
                  <w14:solidFill>
                    <w14:schemeClr w14:val="accent6"/>
                  </w14:solidFill>
                </w14:textFill>
              </w:rPr>
              <w:t>工布花谷</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喇嘛岭寺</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珠曲登寺</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雅鲁藏布大峡谷景区</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派镇</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丹娘乡</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羌纳乡</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南伊沟景区（米林）</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扎贡沟景区（米林）</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南伊洛巴民族乡（米林）</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才召民俗村、琼林珞巴民族村</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岗云杉林</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易贡国家地质公园</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易贡湖</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易贡茶场</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铁山</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德兴民俗村</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仁青崩寺</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莲花阁</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布裙湖风景区</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派墨徒步路线</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背崩徒步站</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背崩村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6" w:type="dxa"/>
            <w:noWrap w:val="0"/>
            <w:vAlign w:val="center"/>
          </w:tcPr>
          <w:p>
            <w:pPr>
              <w:pStyle w:val="29"/>
              <w:keepNext w:val="0"/>
              <w:keepLines w:val="0"/>
              <w:suppressLineNumbers w:val="0"/>
              <w:spacing w:before="0" w:beforeAutospacing="0" w:after="0" w:afterAutospacing="0"/>
              <w:ind w:left="0" w:right="0"/>
              <w:rPr>
                <w:rFonts w:hint="eastAsia"/>
                <w:color w:val="70AD47" w:themeColor="accent6"/>
                <w:highlight w:val="none"/>
                <w14:textFill>
                  <w14:solidFill>
                    <w14:schemeClr w14:val="accent6"/>
                  </w14:solidFill>
                </w14:textFill>
              </w:rPr>
            </w:pPr>
            <w:r>
              <w:rPr>
                <w:rFonts w:hint="eastAsia"/>
                <w:color w:val="70AD47" w:themeColor="accent6"/>
                <w:highlight w:val="none"/>
                <w14:textFill>
                  <w14:solidFill>
                    <w14:schemeClr w14:val="accent6"/>
                  </w14:solidFill>
                </w14:textFill>
              </w:rPr>
              <w:t>西藏察隅慈巴沟国家级自然保护区</w:t>
            </w:r>
          </w:p>
        </w:tc>
        <w:tc>
          <w:tcPr>
            <w:tcW w:w="6175" w:type="dxa"/>
            <w:noWrap w:val="0"/>
            <w:vAlign w:val="center"/>
          </w:tcPr>
          <w:p>
            <w:pPr>
              <w:pStyle w:val="29"/>
              <w:keepNext w:val="0"/>
              <w:keepLines w:val="0"/>
              <w:suppressLineNumbers w:val="0"/>
              <w:spacing w:before="0" w:beforeAutospacing="0" w:after="0" w:afterAutospacing="0"/>
              <w:ind w:left="0" w:right="0"/>
              <w:rPr>
                <w:rFonts w:hint="eastAsia"/>
                <w:color w:val="70AD47" w:themeColor="accent6"/>
                <w:highlight w:val="none"/>
                <w14:textFill>
                  <w14:solidFill>
                    <w14:schemeClr w14:val="accent6"/>
                  </w14:solidFill>
                </w14:textFill>
              </w:rPr>
            </w:pPr>
            <w:r>
              <w:rPr>
                <w:rFonts w:hint="eastAsia"/>
                <w:color w:val="70AD47" w:themeColor="accent6"/>
                <w:highlight w:val="none"/>
                <w14:textFill>
                  <w14:solidFill>
                    <w14:schemeClr w14:val="accent6"/>
                  </w14:solidFill>
                </w14:textFill>
              </w:rPr>
              <w:t>慈巴沟旅游区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noWrap w:val="0"/>
            <w:vAlign w:val="center"/>
          </w:tcPr>
          <w:p>
            <w:pPr>
              <w:pStyle w:val="29"/>
              <w:keepNext w:val="0"/>
              <w:keepLines w:val="0"/>
              <w:suppressLineNumbers w:val="0"/>
              <w:spacing w:before="0" w:beforeAutospacing="0" w:after="0" w:afterAutospacing="0"/>
              <w:ind w:left="0" w:right="0"/>
              <w:rPr>
                <w:rFonts w:hint="eastAsia"/>
                <w:color w:val="70AD47" w:themeColor="accent6"/>
                <w:highlight w:val="none"/>
                <w14:textFill>
                  <w14:solidFill>
                    <w14:schemeClr w14:val="accent6"/>
                  </w14:solidFill>
                </w14:textFill>
              </w:rPr>
            </w:pPr>
            <w:r>
              <w:rPr>
                <w:rFonts w:hint="eastAsia"/>
                <w:color w:val="70AD47" w:themeColor="accent6"/>
                <w:highlight w:val="none"/>
                <w14:textFill>
                  <w14:solidFill>
                    <w14:schemeClr w14:val="accent6"/>
                  </w14:solidFill>
                </w14:textFill>
              </w:rPr>
              <w:t>西藏工布自然保护区</w:t>
            </w:r>
          </w:p>
        </w:tc>
        <w:tc>
          <w:tcPr>
            <w:tcW w:w="6175" w:type="dxa"/>
            <w:noWrap w:val="0"/>
            <w:vAlign w:val="center"/>
          </w:tcPr>
          <w:p>
            <w:pPr>
              <w:pStyle w:val="29"/>
              <w:keepNext w:val="0"/>
              <w:keepLines w:val="0"/>
              <w:suppressLineNumbers w:val="0"/>
              <w:spacing w:before="0" w:beforeAutospacing="0" w:after="0" w:afterAutospacing="0"/>
              <w:ind w:left="0" w:right="0"/>
              <w:rPr>
                <w:rFonts w:hint="eastAsia"/>
                <w:color w:val="70AD47" w:themeColor="accent6"/>
                <w:highlight w:val="none"/>
                <w14:textFill>
                  <w14:solidFill>
                    <w14:schemeClr w14:val="accent6"/>
                  </w14:solidFill>
                </w14:textFill>
              </w:rPr>
            </w:pPr>
            <w:r>
              <w:rPr>
                <w:rFonts w:hint="eastAsia"/>
                <w:color w:val="70AD47" w:themeColor="accent6"/>
                <w:highlight w:val="none"/>
                <w14:textFill>
                  <w14:solidFill>
                    <w14:schemeClr w14:val="accent6"/>
                  </w14:solidFill>
                </w14:textFill>
              </w:rPr>
              <w:t>南伊沟景区</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扎贡沟景区</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南伊洛巴民族乡</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才召民俗村、琼林珞巴民族村</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游客中心</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湖区</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措高村</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结巴村</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巴河镇农业观光园杂拉沟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noWrap w:val="0"/>
            <w:vAlign w:val="center"/>
          </w:tcPr>
          <w:p>
            <w:pPr>
              <w:pStyle w:val="29"/>
              <w:keepNext w:val="0"/>
              <w:keepLines w:val="0"/>
              <w:suppressLineNumbers w:val="0"/>
              <w:spacing w:before="0" w:beforeAutospacing="0" w:after="0" w:afterAutospacing="0"/>
              <w:ind w:left="0" w:right="0"/>
              <w:rPr>
                <w:rFonts w:hint="eastAsia"/>
                <w:color w:val="70AD47" w:themeColor="accent6"/>
                <w:highlight w:val="none"/>
                <w14:textFill>
                  <w14:solidFill>
                    <w14:schemeClr w14:val="accent6"/>
                  </w14:solidFill>
                </w14:textFill>
              </w:rPr>
            </w:pPr>
            <w:r>
              <w:rPr>
                <w:rFonts w:hint="eastAsia"/>
                <w:color w:val="70AD47" w:themeColor="accent6"/>
                <w:highlight w:val="none"/>
                <w14:textFill>
                  <w14:solidFill>
                    <w14:schemeClr w14:val="accent6"/>
                  </w14:solidFill>
                </w14:textFill>
              </w:rPr>
              <w:t>林芝巴结巨柏自然保护区</w:t>
            </w:r>
          </w:p>
        </w:tc>
        <w:tc>
          <w:tcPr>
            <w:tcW w:w="6175" w:type="dxa"/>
            <w:noWrap w:val="0"/>
            <w:vAlign w:val="center"/>
          </w:tcPr>
          <w:p>
            <w:pPr>
              <w:pStyle w:val="29"/>
              <w:keepNext w:val="0"/>
              <w:keepLines w:val="0"/>
              <w:suppressLineNumbers w:val="0"/>
              <w:spacing w:before="0" w:beforeAutospacing="0" w:after="0" w:afterAutospacing="0"/>
              <w:ind w:left="0" w:right="0"/>
              <w:rPr>
                <w:rFonts w:hint="eastAsia"/>
                <w:color w:val="70AD47" w:themeColor="accent6"/>
                <w:highlight w:val="none"/>
                <w14:textFill>
                  <w14:solidFill>
                    <w14:schemeClr w14:val="accent6"/>
                  </w14:solidFill>
                </w14:textFill>
              </w:rPr>
            </w:pPr>
            <w:r>
              <w:rPr>
                <w:rFonts w:hint="eastAsia"/>
                <w:color w:val="70AD47" w:themeColor="accent6"/>
                <w:highlight w:val="none"/>
                <w14:textFill>
                  <w14:solidFill>
                    <w14:schemeClr w14:val="accent6"/>
                  </w14:solidFill>
                </w14:textFill>
              </w:rPr>
              <w:t>世界柏树王园林景区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noWrap w:val="0"/>
            <w:vAlign w:val="center"/>
          </w:tcPr>
          <w:p>
            <w:pPr>
              <w:pStyle w:val="29"/>
              <w:keepNext w:val="0"/>
              <w:keepLines w:val="0"/>
              <w:suppressLineNumbers w:val="0"/>
              <w:spacing w:before="0" w:beforeAutospacing="0" w:after="0" w:afterAutospacing="0"/>
              <w:ind w:left="0" w:right="0"/>
              <w:rPr>
                <w:rFonts w:hint="eastAsia"/>
                <w:color w:val="70AD47" w:themeColor="accent6"/>
                <w:highlight w:val="none"/>
                <w14:textFill>
                  <w14:solidFill>
                    <w14:schemeClr w14:val="accent6"/>
                  </w14:solidFill>
                </w14:textFill>
              </w:rPr>
            </w:pPr>
            <w:r>
              <w:rPr>
                <w:rFonts w:hint="eastAsia"/>
                <w:color w:val="70AD47" w:themeColor="accent6"/>
                <w:highlight w:val="none"/>
                <w14:textFill>
                  <w14:solidFill>
                    <w14:schemeClr w14:val="accent6"/>
                  </w14:solidFill>
                </w14:textFill>
              </w:rPr>
              <w:t>西藏白朗沟白唇鹿自然保护区</w:t>
            </w:r>
          </w:p>
        </w:tc>
        <w:tc>
          <w:tcPr>
            <w:tcW w:w="6175" w:type="dxa"/>
            <w:noWrap w:val="0"/>
            <w:vAlign w:val="center"/>
          </w:tcPr>
          <w:p>
            <w:pPr>
              <w:pStyle w:val="29"/>
              <w:keepNext w:val="0"/>
              <w:keepLines w:val="0"/>
              <w:suppressLineNumbers w:val="0"/>
              <w:spacing w:before="0" w:beforeAutospacing="0" w:after="0" w:afterAutospacing="0"/>
              <w:ind w:left="0" w:right="0"/>
              <w:rPr>
                <w:rFonts w:hint="eastAsia"/>
                <w:color w:val="70AD47" w:themeColor="accent6"/>
                <w:highlight w:val="none"/>
                <w14:textFill>
                  <w14:solidFill>
                    <w14:schemeClr w14:val="accent6"/>
                  </w14:solidFill>
                </w14:textFill>
              </w:rPr>
            </w:pPr>
            <w:r>
              <w:rPr>
                <w:rFonts w:hint="eastAsia"/>
                <w:color w:val="70AD47" w:themeColor="accent6"/>
                <w:highlight w:val="none"/>
                <w14:textFill>
                  <w14:solidFill>
                    <w14:schemeClr w14:val="accent6"/>
                  </w14:solidFill>
                </w14:textFill>
              </w:rPr>
              <w:t>工布江达白唇鹿自然保护区</w:t>
            </w:r>
          </w:p>
        </w:tc>
      </w:tr>
    </w:tbl>
    <w:p>
      <w:pPr>
        <w:pStyle w:val="6"/>
        <w:ind w:firstLine="480"/>
        <w:rPr>
          <w:rFonts w:hint="eastAsia"/>
        </w:rPr>
      </w:pPr>
      <w:r>
        <w:rPr>
          <w:rFonts w:hint="eastAsia"/>
        </w:rPr>
        <w:t>①从目前景区发展现状来看，波密县岗云杉林景区部分观景台、栈道涉西藏雅鲁藏布大峡谷国家自然保护区核心区，与《中华人民共和国自然保护区条例》“第十八条：自然保护区可以分为核心区、缓冲区和实验区。自然保护区内保存完好的天然状态的生态系统以及珍稀、濒危动植物的集中分布地，应当划为核心区，禁止任何单位和个人进入；第二十八条：禁止在自然保护区的缓冲区开展旅游和生产经营活动。”相冲突。目前，西藏自治区人民政府、林芝市政府、波密县政府正在督促其进行整改，现已将位于核心区、缓冲区的景区全部关闭，禁止游客进入。</w:t>
      </w:r>
    </w:p>
    <w:p>
      <w:pPr>
        <w:pStyle w:val="6"/>
        <w:ind w:firstLine="480"/>
      </w:pPr>
      <w:r>
        <w:rPr>
          <w:rFonts w:hint="eastAsia"/>
        </w:rPr>
        <w:t>②由于林芝巴结巨柏自然保护区该保护区未进行分区，根据《中华人民共和国自然保护区管理条例》中的“第三十条、自然保护区的内部未分区的，依照核心区和缓冲区的规定管理”。该保护区应全部划为核心区和缓冲区的要求进行管理。根据调查，世界柏树王园林景区成立于2004年，在此之前当地政府已于1990年在林芝巴结巨柏自然保护区内建设了简易的栈道和观景平台，后陆续对现有的设施进行升级改造。2014年巴宜区政府对景区游客中心、停车场、广场等外围接待设施进行了新建，该项目不涉及林芝巴结巨柏自然保护区。根据叠图分析，景区内的栈道和观景平台全部位于缓冲区内，并作为景区的核心区对游客进行开放，这与《中华人民共和国自然保护区条例》中“第十八条：自然保护区可以分为核心区、缓冲区和实验区。自然保护区内保存完好的天然状态的生态系统以及珍稀、濒危动植物的集中分布地，应当划为核心区，禁止任何单位和个人进入；除依照本条例第二十七条的规定经批准外，也不允许进入从事科学研究活动；核心区外围可以划定一定面积的缓冲区，只准进入从事科学研究观测活动。第二十八条：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要求相冲突。本次规划基于世界柏树王园林景区游客中心、停车场、广场等外围接待设施进行完善，不涉及保护区核心区及缓冲区。</w:t>
      </w:r>
    </w:p>
    <w:p>
      <w:pPr>
        <w:pStyle w:val="6"/>
        <w:ind w:firstLine="480"/>
      </w:pPr>
      <w:r>
        <w:rPr>
          <w:rFonts w:hint="eastAsia"/>
        </w:rPr>
        <w:t>3、经过初步叠图分析，除岗云杉林景区、世界柏树王园林景区涉及自然保护区核心区及缓冲区外，其余规划项目只涉及自然保护区试验区，与《中华人民共和国自然保护区条例》（2017年10月7日修订）相符合。</w:t>
      </w:r>
    </w:p>
    <w:p>
      <w:pPr>
        <w:pStyle w:val="6"/>
        <w:ind w:firstLine="480"/>
        <w:rPr>
          <w:rFonts w:hint="eastAsia"/>
          <w:color w:val="auto"/>
        </w:rPr>
      </w:pPr>
      <w:r>
        <w:rPr>
          <w:rFonts w:hint="eastAsia"/>
          <w:color w:val="auto"/>
        </w:rPr>
        <w:t>综上，世界柏树王园林景区及波密县岗云杉林景区经过整改后与《中华人民共和国自然保护区条例》（2017年10月7日修订）相符，由于本次规划大部分项目处于概念阶段，未有具体的规划用地范围、建设内容，规划项目存在不确定性，环评要求规划后续实施过程中应进一步落实是以上规划项目是否涉及自然保护区核心区和缓冲区，并遵照相关管理要求进行调整，不得占用核心区及缓冲区。建设项目应严格遵守《中华人民共和国自然保护区条例》相关要求不得对自然保护区造成破坏及生态环境污染，不得降低自然保护区环境质量。</w:t>
      </w:r>
    </w:p>
    <w:p>
      <w:pPr>
        <w:pStyle w:val="6"/>
        <w:bidi w:val="0"/>
        <w:rPr>
          <w:rFonts w:hint="eastAsia" w:eastAsia="宋体"/>
          <w:b/>
          <w:bCs/>
          <w:color w:val="auto"/>
          <w:highlight w:val="none"/>
          <w:lang w:val="en-US" w:eastAsia="zh-CN"/>
        </w:rPr>
      </w:pPr>
      <w:r>
        <w:rPr>
          <w:rFonts w:hint="eastAsia"/>
          <w:b/>
          <w:bCs/>
          <w:color w:val="auto"/>
          <w:highlight w:val="none"/>
          <w:lang w:val="en-US" w:eastAsia="zh-CN"/>
        </w:rPr>
        <w:t>5、</w:t>
      </w:r>
      <w:r>
        <w:rPr>
          <w:rFonts w:hint="eastAsia"/>
          <w:b/>
          <w:bCs/>
          <w:color w:val="auto"/>
          <w:highlight w:val="none"/>
        </w:rPr>
        <w:t>与</w:t>
      </w:r>
      <w:r>
        <w:rPr>
          <w:rFonts w:hint="eastAsia"/>
          <w:b/>
          <w:bCs/>
          <w:color w:val="auto"/>
          <w:highlight w:val="none"/>
          <w:lang w:eastAsia="zh-CN"/>
        </w:rPr>
        <w:t>《地质遗迹保护管理规定》（1995年5月4日地质矿产部令第21号）</w:t>
      </w:r>
    </w:p>
    <w:p>
      <w:pPr>
        <w:pStyle w:val="6"/>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相关内容</w:t>
      </w:r>
    </w:p>
    <w:p>
      <w:pPr>
        <w:pStyle w:val="6"/>
        <w:bidi w:val="0"/>
        <w:rPr>
          <w:rFonts w:hint="eastAsia"/>
          <w:color w:val="auto"/>
          <w:highlight w:val="none"/>
        </w:rPr>
      </w:pPr>
      <w:r>
        <w:rPr>
          <w:rFonts w:hint="eastAsia"/>
          <w:color w:val="auto"/>
          <w:highlight w:val="none"/>
        </w:rPr>
        <w:t>第十七条 任何单位和个人不得在保护区内及可能对地质遗迹造成影响的一定范围内进行采石、取土、开矿、放牧、砍伐以及其它对保护对象有损害的活动。未经管理机构批准，不得在保护区范围内采集标本和化石。</w:t>
      </w:r>
    </w:p>
    <w:p>
      <w:pPr>
        <w:pStyle w:val="6"/>
        <w:bidi w:val="0"/>
        <w:rPr>
          <w:rFonts w:hint="eastAsia"/>
          <w:color w:val="auto"/>
          <w:highlight w:val="none"/>
        </w:rPr>
      </w:pPr>
      <w:r>
        <w:rPr>
          <w:rFonts w:hint="eastAsia"/>
          <w:color w:val="auto"/>
          <w:highlight w:val="none"/>
        </w:rPr>
        <w:t>第十八条 不得在保护区内修建与地质遗迹保护无关的厂房或其他建筑设施；对已建成并可能对地质遗迹造成污染或破坏的设施，应限期治理或停业外迁。</w:t>
      </w:r>
    </w:p>
    <w:p>
      <w:pPr>
        <w:pStyle w:val="6"/>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符合性分析</w:t>
      </w:r>
    </w:p>
    <w:p>
      <w:pPr>
        <w:pStyle w:val="6"/>
        <w:bidi w:val="0"/>
        <w:rPr>
          <w:rFonts w:hint="eastAsia" w:eastAsia="宋体"/>
          <w:color w:val="auto"/>
          <w:highlight w:val="none"/>
          <w:lang w:val="en-US" w:eastAsia="zh-CN"/>
        </w:rPr>
      </w:pPr>
      <w:r>
        <w:rPr>
          <w:rFonts w:hint="eastAsia"/>
          <w:color w:val="auto"/>
          <w:highlight w:val="none"/>
          <w:lang w:eastAsia="zh-CN"/>
        </w:rPr>
        <w:t>“</w:t>
      </w:r>
      <w:r>
        <w:rPr>
          <w:rFonts w:hint="eastAsia"/>
          <w:color w:val="auto"/>
          <w:highlight w:val="none"/>
        </w:rPr>
        <w:t>林芝市全域旅游发展规划（2018</w:t>
      </w:r>
      <w:r>
        <w:rPr>
          <w:rFonts w:hint="eastAsia"/>
          <w:color w:val="auto"/>
          <w:highlight w:val="none"/>
          <w:lang w:val="en-US" w:eastAsia="zh-CN"/>
        </w:rPr>
        <w:t>~</w:t>
      </w:r>
      <w:r>
        <w:rPr>
          <w:rFonts w:hint="eastAsia"/>
          <w:color w:val="auto"/>
          <w:highlight w:val="none"/>
        </w:rPr>
        <w:t>2025年）</w:t>
      </w:r>
      <w:r>
        <w:rPr>
          <w:rFonts w:hint="eastAsia"/>
          <w:color w:val="auto"/>
          <w:highlight w:val="none"/>
          <w:lang w:eastAsia="zh-CN"/>
        </w:rPr>
        <w:t>”</w:t>
      </w:r>
      <w:r>
        <w:rPr>
          <w:rFonts w:hint="eastAsia"/>
          <w:color w:val="auto"/>
          <w:highlight w:val="none"/>
        </w:rPr>
        <w:t>中</w:t>
      </w:r>
      <w:r>
        <w:rPr>
          <w:rFonts w:hint="eastAsia"/>
          <w:color w:val="auto"/>
          <w:highlight w:val="none"/>
          <w:lang w:val="en-US" w:eastAsia="zh-CN"/>
        </w:rPr>
        <w:t>易贡国家级地质公园项目</w:t>
      </w:r>
      <w:r>
        <w:rPr>
          <w:rFonts w:hint="eastAsia"/>
          <w:color w:val="auto"/>
          <w:highlight w:val="none"/>
        </w:rPr>
        <w:t>不涉及特级、一级和二级地质遗迹保护区，</w:t>
      </w:r>
      <w:r>
        <w:rPr>
          <w:rFonts w:hint="eastAsia"/>
          <w:color w:val="auto"/>
          <w:highlight w:val="none"/>
          <w:lang w:val="en-US" w:eastAsia="zh-CN"/>
        </w:rPr>
        <w:t>本次规划针对</w:t>
      </w:r>
      <w:r>
        <w:rPr>
          <w:rFonts w:hint="eastAsia"/>
          <w:color w:val="auto"/>
          <w:highlight w:val="none"/>
        </w:rPr>
        <w:t>旅游基础设施建设，不涉及在地质公园内采石、取土、开矿、放牧、砍伐以及其它对保护对象有损害的活动，也不属于采集标本和化石的活动</w:t>
      </w:r>
      <w:r>
        <w:rPr>
          <w:rFonts w:hint="eastAsia"/>
          <w:color w:val="auto"/>
          <w:highlight w:val="none"/>
          <w:lang w:eastAsia="zh-CN"/>
        </w:rPr>
        <w:t>。</w:t>
      </w:r>
      <w:r>
        <w:rPr>
          <w:rFonts w:hint="eastAsia"/>
          <w:color w:val="auto"/>
          <w:highlight w:val="none"/>
          <w:lang w:val="en-US" w:eastAsia="zh-CN"/>
        </w:rPr>
        <w:t>同时规划要求具体旅游</w:t>
      </w:r>
      <w:r>
        <w:rPr>
          <w:rFonts w:hint="eastAsia"/>
          <w:color w:val="auto"/>
          <w:highlight w:val="none"/>
        </w:rPr>
        <w:t>项目建设及运营过程中经加强环境保护措施，不会对地质遗迹造成污染或破</w:t>
      </w:r>
      <w:r>
        <w:rPr>
          <w:rFonts w:hint="eastAsia"/>
          <w:color w:val="auto"/>
          <w:highlight w:val="none"/>
          <w:lang w:val="en-US" w:eastAsia="zh-CN"/>
        </w:rPr>
        <w:t>坏。本次规划符合《地质遗迹保护管理规定》的要求。</w:t>
      </w:r>
    </w:p>
    <w:p>
      <w:pPr>
        <w:pStyle w:val="6"/>
        <w:bidi w:val="0"/>
        <w:rPr>
          <w:rFonts w:hint="eastAsia"/>
          <w:b/>
          <w:bCs/>
          <w:color w:val="auto"/>
          <w:highlight w:val="none"/>
        </w:rPr>
      </w:pPr>
      <w:r>
        <w:rPr>
          <w:rFonts w:hint="eastAsia"/>
          <w:b/>
          <w:bCs/>
          <w:color w:val="auto"/>
          <w:highlight w:val="none"/>
          <w:lang w:val="en-US" w:eastAsia="zh-CN"/>
        </w:rPr>
        <w:t>6、</w:t>
      </w:r>
      <w:r>
        <w:rPr>
          <w:rFonts w:hint="eastAsia"/>
          <w:b/>
          <w:bCs/>
          <w:color w:val="auto"/>
          <w:highlight w:val="none"/>
        </w:rPr>
        <w:t>与《国家级森林公园管理办法》符合性分析</w:t>
      </w:r>
    </w:p>
    <w:p>
      <w:pPr>
        <w:pStyle w:val="6"/>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相关内容</w:t>
      </w:r>
    </w:p>
    <w:p>
      <w:pPr>
        <w:pStyle w:val="6"/>
        <w:bidi w:val="0"/>
        <w:rPr>
          <w:rFonts w:hint="eastAsia"/>
          <w:b w:val="0"/>
          <w:bCs w:val="0"/>
          <w:color w:val="auto"/>
          <w:highlight w:val="none"/>
        </w:rPr>
      </w:pPr>
      <w:r>
        <w:rPr>
          <w:rFonts w:hint="eastAsia"/>
          <w:b w:val="0"/>
          <w:bCs w:val="0"/>
          <w:color w:val="auto"/>
          <w:highlight w:val="none"/>
        </w:rPr>
        <w:t>第十三条：国家级森林公园内的建设项目应当符合总体规划的要求，其选址、规模、风格和色彩等应当与周边景观与环境相协调，相应的废水、废物处理和防火设施应当同时设计、同时施工、同时使用。国家级森林公园内已建或者在建的建设项目不符合总体规划要求的，应当按照总体规划逐步进行改造、拆除或者迁出。在国家级森林公园内进行建设活动的，应当采取措施保护景观和环境；施工结束后，应当及时整理场地，美化绿化环境。</w:t>
      </w:r>
    </w:p>
    <w:p>
      <w:pPr>
        <w:pStyle w:val="6"/>
        <w:bidi w:val="0"/>
        <w:rPr>
          <w:rFonts w:hint="eastAsia"/>
          <w:b w:val="0"/>
          <w:bCs w:val="0"/>
          <w:color w:val="auto"/>
          <w:highlight w:val="none"/>
        </w:rPr>
      </w:pPr>
      <w:r>
        <w:rPr>
          <w:rFonts w:hint="eastAsia"/>
          <w:b w:val="0"/>
          <w:bCs w:val="0"/>
          <w:color w:val="auto"/>
          <w:highlight w:val="none"/>
        </w:rPr>
        <w:t>第十五条：严格控制建设项目使用国家级森林公园林地，但是因保护森林及其他风景资源、建设森林防火设施和林业生态文化示范基地、保障游客安全等直接为林业生产服务的工程设施除外。建设项目确需使用国家级森林公园林地的，应当避免或者减少对森林景观、生态以及旅游活动的影响，并依法办理林地占用、征收审核审批手续。建设项目可能对森林公园景观和生态造成较大影响或者导致森林风景资源质量明显降低的，应当在取得国家级森林公园撤销或者改变经营范围的行政许可后，依法办理林地占用、征收审核审批手续。</w:t>
      </w:r>
    </w:p>
    <w:p>
      <w:pPr>
        <w:pStyle w:val="6"/>
        <w:bidi w:val="0"/>
        <w:rPr>
          <w:rFonts w:hint="eastAsia"/>
          <w:b w:val="0"/>
          <w:bCs w:val="0"/>
          <w:color w:val="auto"/>
          <w:highlight w:val="none"/>
        </w:rPr>
      </w:pPr>
      <w:r>
        <w:rPr>
          <w:rFonts w:hint="eastAsia"/>
          <w:b w:val="0"/>
          <w:bCs w:val="0"/>
          <w:color w:val="auto"/>
          <w:highlight w:val="none"/>
        </w:rPr>
        <w:t>第十八条在国家级森林公园内禁止从事下列活动：（一）擅自采折、采挖花草、树木、药材等植物；（二）非法猎捕、杀害野生动物；（三）刻划、污损树木、岩石和文物古迹及葬坟；（四）损毁或者擅自移动园内设施；（五）未经处理直接排放生活污水和超标准的废水、废气，乱倒垃圾、废渣、废物及其他污染物；（六）在非指定的吸烟区吸烟和在非指定区域野外用火、焚烧香蜡纸烛、燃放烟花爆竹；（七）擅自摆摊设点、兜售物品；（八）擅自围、填、堵、截自然水系；（九）法律、法规、规章禁止的其他活动。</w:t>
      </w:r>
    </w:p>
    <w:p>
      <w:pPr>
        <w:pStyle w:val="6"/>
        <w:ind w:firstLine="480"/>
      </w:pPr>
      <w:r>
        <w:rPr>
          <w:rFonts w:hint="eastAsia"/>
        </w:rPr>
        <w:t>（2）符合性分析</w:t>
      </w:r>
    </w:p>
    <w:p>
      <w:pPr>
        <w:pStyle w:val="6"/>
        <w:ind w:firstLine="480"/>
        <w:rPr>
          <w:rFonts w:hint="eastAsia"/>
          <w:color w:val="2A26F7"/>
        </w:rPr>
      </w:pPr>
      <w:r>
        <w:rPr>
          <w:rFonts w:hint="eastAsia"/>
          <w:color w:val="2A26F7"/>
        </w:rPr>
        <w:t>由于本次规划的建设项目大部分处于概念阶段，具体建设范围及建设内容未确定，本次环评初步筛选可能涉及森林公园的建设项目，见表2.2-4。</w:t>
      </w:r>
    </w:p>
    <w:p>
      <w:pPr>
        <w:pStyle w:val="27"/>
        <w:rPr>
          <w:color w:val="2A26F7"/>
        </w:rPr>
      </w:pPr>
      <w:r>
        <w:rPr>
          <w:rFonts w:hint="eastAsia"/>
          <w:color w:val="2A26F7"/>
        </w:rPr>
        <w:t>表2.2-4  国家级森林公园内项目规划情况一览表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6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noWrap w:val="0"/>
            <w:vAlign w:val="center"/>
          </w:tcPr>
          <w:p>
            <w:pPr>
              <w:pStyle w:val="29"/>
              <w:keepNext w:val="0"/>
              <w:keepLines w:val="0"/>
              <w:suppressLineNumbers w:val="0"/>
              <w:spacing w:before="0" w:beforeAutospacing="0" w:after="0" w:afterAutospacing="0"/>
              <w:ind w:left="0" w:right="0"/>
              <w:rPr>
                <w:rFonts w:hint="default"/>
                <w:b/>
                <w:bCs/>
                <w:color w:val="2A26F7"/>
              </w:rPr>
            </w:pPr>
            <w:r>
              <w:rPr>
                <w:rFonts w:hint="eastAsia"/>
                <w:b/>
                <w:bCs/>
                <w:color w:val="2A26F7"/>
              </w:rPr>
              <w:t>自然保护区名称</w:t>
            </w:r>
          </w:p>
        </w:tc>
        <w:tc>
          <w:tcPr>
            <w:tcW w:w="6286" w:type="dxa"/>
            <w:noWrap w:val="0"/>
            <w:vAlign w:val="center"/>
          </w:tcPr>
          <w:p>
            <w:pPr>
              <w:pStyle w:val="29"/>
              <w:keepNext w:val="0"/>
              <w:keepLines w:val="0"/>
              <w:suppressLineNumbers w:val="0"/>
              <w:spacing w:before="0" w:beforeAutospacing="0" w:after="0" w:afterAutospacing="0"/>
              <w:ind w:left="0" w:right="0"/>
              <w:rPr>
                <w:rFonts w:hint="eastAsia"/>
                <w:b/>
                <w:bCs/>
                <w:color w:val="2A26F7"/>
              </w:rPr>
            </w:pPr>
            <w:r>
              <w:rPr>
                <w:rFonts w:hint="eastAsia"/>
                <w:b/>
                <w:bCs/>
                <w:color w:val="2A26F7"/>
              </w:rPr>
              <w:t>景点名称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noWrap w:val="0"/>
            <w:vAlign w:val="center"/>
          </w:tcPr>
          <w:p>
            <w:pPr>
              <w:pStyle w:val="29"/>
              <w:keepNext w:val="0"/>
              <w:keepLines w:val="0"/>
              <w:suppressLineNumbers w:val="0"/>
              <w:spacing w:before="0" w:beforeAutospacing="0" w:after="0" w:afterAutospacing="0"/>
              <w:ind w:left="0" w:right="0"/>
              <w:rPr>
                <w:rFonts w:hint="eastAsia"/>
                <w:color w:val="2A26F7"/>
              </w:rPr>
            </w:pPr>
            <w:r>
              <w:rPr>
                <w:rFonts w:hint="eastAsia"/>
                <w:color w:val="2A26F7"/>
              </w:rPr>
              <w:t>西藏比日神山国家森林公园</w:t>
            </w:r>
          </w:p>
        </w:tc>
        <w:tc>
          <w:tcPr>
            <w:tcW w:w="6286" w:type="dxa"/>
            <w:noWrap w:val="0"/>
            <w:vAlign w:val="center"/>
          </w:tcPr>
          <w:p>
            <w:pPr>
              <w:pStyle w:val="29"/>
              <w:keepNext w:val="0"/>
              <w:keepLines w:val="0"/>
              <w:suppressLineNumbers w:val="0"/>
              <w:spacing w:before="0" w:beforeAutospacing="0" w:after="0" w:afterAutospacing="0"/>
              <w:ind w:left="0" w:right="0"/>
              <w:rPr>
                <w:rFonts w:hint="eastAsia"/>
                <w:color w:val="70AD47" w:themeColor="accent6"/>
                <w:highlight w:val="none"/>
                <w14:textFill>
                  <w14:solidFill>
                    <w14:schemeClr w14:val="accent6"/>
                  </w14:solidFill>
                </w14:textFill>
              </w:rPr>
            </w:pPr>
            <w:r>
              <w:rPr>
                <w:rFonts w:hint="eastAsia"/>
                <w:color w:val="70AD47" w:themeColor="accent6"/>
                <w:highlight w:val="none"/>
                <w14:textFill>
                  <w14:solidFill>
                    <w14:schemeClr w14:val="accent6"/>
                  </w14:solidFill>
                </w14:textFill>
              </w:rPr>
              <w:t>措木及日景区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6" w:type="dxa"/>
            <w:noWrap w:val="0"/>
            <w:vAlign w:val="center"/>
          </w:tcPr>
          <w:p>
            <w:pPr>
              <w:pStyle w:val="29"/>
              <w:keepNext w:val="0"/>
              <w:keepLines w:val="0"/>
              <w:suppressLineNumbers w:val="0"/>
              <w:spacing w:before="0" w:beforeAutospacing="0" w:after="0" w:afterAutospacing="0"/>
              <w:ind w:left="0" w:right="0"/>
              <w:rPr>
                <w:rFonts w:hint="eastAsia"/>
                <w:color w:val="2A26F7"/>
              </w:rPr>
            </w:pPr>
            <w:r>
              <w:rPr>
                <w:rFonts w:hint="eastAsia"/>
                <w:color w:val="2A26F7"/>
              </w:rPr>
              <w:t>西藏色季拉国家森林公园</w:t>
            </w:r>
          </w:p>
        </w:tc>
        <w:tc>
          <w:tcPr>
            <w:tcW w:w="6286" w:type="dxa"/>
            <w:noWrap w:val="0"/>
            <w:vAlign w:val="center"/>
          </w:tcPr>
          <w:p>
            <w:pPr>
              <w:pStyle w:val="29"/>
              <w:keepNext w:val="0"/>
              <w:keepLines w:val="0"/>
              <w:suppressLineNumbers w:val="0"/>
              <w:spacing w:before="0" w:beforeAutospacing="0" w:after="0" w:afterAutospacing="0"/>
              <w:ind w:left="0" w:right="0"/>
              <w:rPr>
                <w:rFonts w:hint="eastAsia"/>
                <w:color w:val="70AD47" w:themeColor="accent6"/>
                <w:highlight w:val="none"/>
                <w14:textFill>
                  <w14:solidFill>
                    <w14:schemeClr w14:val="accent6"/>
                  </w14:solidFill>
                </w14:textFill>
              </w:rPr>
            </w:pPr>
            <w:r>
              <w:rPr>
                <w:rFonts w:hint="eastAsia"/>
                <w:color w:val="70AD47" w:themeColor="accent6"/>
                <w:highlight w:val="none"/>
                <w14:textFill>
                  <w14:solidFill>
                    <w14:schemeClr w14:val="accent6"/>
                  </w14:solidFill>
                </w14:textFill>
              </w:rPr>
              <w:t>鲁朗小镇</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扎西岗村</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鲁朗林海</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鲁朗花海牧场</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雅伊沟</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苯日景区</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派镇</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丹娘乡</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羌纳乡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noWrap w:val="0"/>
            <w:vAlign w:val="center"/>
          </w:tcPr>
          <w:p>
            <w:pPr>
              <w:pStyle w:val="29"/>
              <w:keepNext w:val="0"/>
              <w:keepLines w:val="0"/>
              <w:suppressLineNumbers w:val="0"/>
              <w:spacing w:before="0" w:beforeAutospacing="0" w:after="0" w:afterAutospacing="0"/>
              <w:ind w:left="0" w:right="0"/>
              <w:rPr>
                <w:rFonts w:hint="eastAsia"/>
                <w:color w:val="2A26F7"/>
              </w:rPr>
            </w:pPr>
            <w:r>
              <w:rPr>
                <w:rFonts w:hint="eastAsia"/>
                <w:color w:val="2A26F7"/>
              </w:rPr>
              <w:t>巴松湖国家森林公园</w:t>
            </w:r>
          </w:p>
        </w:tc>
        <w:tc>
          <w:tcPr>
            <w:tcW w:w="6286" w:type="dxa"/>
            <w:noWrap w:val="0"/>
            <w:vAlign w:val="center"/>
          </w:tcPr>
          <w:p>
            <w:pPr>
              <w:pStyle w:val="29"/>
              <w:keepNext w:val="0"/>
              <w:keepLines w:val="0"/>
              <w:suppressLineNumbers w:val="0"/>
              <w:spacing w:before="0" w:beforeAutospacing="0" w:after="0" w:afterAutospacing="0"/>
              <w:ind w:left="0" w:right="0"/>
              <w:rPr>
                <w:rFonts w:hint="eastAsia"/>
                <w:color w:val="70AD47" w:themeColor="accent6"/>
                <w:highlight w:val="none"/>
                <w14:textFill>
                  <w14:solidFill>
                    <w14:schemeClr w14:val="accent6"/>
                  </w14:solidFill>
                </w14:textFill>
              </w:rPr>
            </w:pPr>
            <w:r>
              <w:rPr>
                <w:rFonts w:hint="eastAsia"/>
                <w:color w:val="70AD47" w:themeColor="accent6"/>
                <w:highlight w:val="none"/>
                <w14:textFill>
                  <w14:solidFill>
                    <w14:schemeClr w14:val="accent6"/>
                  </w14:solidFill>
                </w14:textFill>
              </w:rPr>
              <w:t>巴松措景区</w:t>
            </w:r>
            <w:r>
              <w:rPr>
                <w:rFonts w:hint="eastAsia"/>
                <w:color w:val="70AD47" w:themeColor="accent6"/>
                <w:highlight w:val="none"/>
                <w:lang w:eastAsia="zh-CN"/>
                <w14:textFill>
                  <w14:solidFill>
                    <w14:schemeClr w14:val="accent6"/>
                  </w14:solidFill>
                </w14:textFill>
              </w:rPr>
              <w:t>、巴河镇农业观光园、杂拉沟、朱拉河湿地公园</w:t>
            </w:r>
          </w:p>
        </w:tc>
      </w:tr>
    </w:tbl>
    <w:p>
      <w:pPr>
        <w:pStyle w:val="6"/>
        <w:ind w:firstLine="480"/>
        <w:rPr>
          <w:rFonts w:hint="eastAsia"/>
          <w:color w:val="2A26F7"/>
        </w:rPr>
      </w:pPr>
      <w:r>
        <w:rPr>
          <w:rFonts w:hint="eastAsia"/>
          <w:color w:val="2A26F7"/>
        </w:rPr>
        <w:t>本次规划遵循管理要求，严格控制建设项目使用国家级森林公园林地，在规划实施过程中应进一步落实，严格遵守相关管理要求，禁止上述行为出现，减少对森林公园生态系统的影响。在规划实施期间，加大对游客宣传，尽量防止在游览期间出现上述行为。出现上述行为时，及时交相关管理机构进行处理处罚。本规划与《国家级森林公园管理办法》相符合。</w:t>
      </w:r>
    </w:p>
    <w:p>
      <w:pPr>
        <w:pStyle w:val="6"/>
        <w:bidi w:val="0"/>
        <w:rPr>
          <w:rFonts w:hint="default" w:eastAsia="宋体"/>
          <w:b/>
          <w:bCs/>
          <w:color w:val="auto"/>
          <w:highlight w:val="none"/>
          <w:lang w:val="en-US" w:eastAsia="zh-CN"/>
        </w:rPr>
      </w:pPr>
      <w:r>
        <w:rPr>
          <w:rFonts w:hint="eastAsia"/>
          <w:b/>
          <w:bCs/>
          <w:color w:val="auto"/>
          <w:highlight w:val="none"/>
          <w:lang w:val="en-US" w:eastAsia="zh-CN"/>
        </w:rPr>
        <w:t>7、与《基本农田保护条例》符合性分析</w:t>
      </w:r>
    </w:p>
    <w:p>
      <w:pPr>
        <w:pStyle w:val="6"/>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相关内容</w:t>
      </w:r>
    </w:p>
    <w:p>
      <w:pPr>
        <w:pStyle w:val="6"/>
        <w:bidi w:val="0"/>
        <w:rPr>
          <w:rFonts w:hint="eastAsia"/>
          <w:color w:val="auto"/>
          <w:highlight w:val="none"/>
        </w:rPr>
      </w:pPr>
      <w:r>
        <w:rPr>
          <w:rFonts w:hint="eastAsia"/>
          <w:color w:val="auto"/>
          <w:highlight w:val="none"/>
        </w:rPr>
        <w:t>第十四条</w:t>
      </w:r>
      <w:r>
        <w:rPr>
          <w:rFonts w:hint="eastAsia"/>
          <w:color w:val="auto"/>
          <w:highlight w:val="none"/>
          <w:lang w:val="en-US" w:eastAsia="zh-CN"/>
        </w:rPr>
        <w:t xml:space="preserve"> </w:t>
      </w:r>
      <w:r>
        <w:rPr>
          <w:rFonts w:hint="eastAsia"/>
          <w:color w:val="auto"/>
          <w:highlight w:val="none"/>
        </w:rPr>
        <w:t>地方各级人民政府应当采取措施，确保土地利用总体规划确定的本行政区域内基本农田的数量不减少。第十五条</w:t>
      </w:r>
      <w:r>
        <w:rPr>
          <w:rFonts w:hint="eastAsia"/>
          <w:color w:val="auto"/>
          <w:highlight w:val="none"/>
          <w:lang w:val="en-US" w:eastAsia="zh-CN"/>
        </w:rPr>
        <w:t xml:space="preserve"> </w:t>
      </w:r>
      <w:r>
        <w:rPr>
          <w:rFonts w:hint="eastAsia"/>
          <w:color w:val="auto"/>
          <w:highlight w:val="none"/>
        </w:rPr>
        <w:t>基本农田保护区经依法划定后，任何单位和个人不得改变或者占用。国家能源、交通、水利、军事设施等重点建设项目选址确实无法避开基本农田保护区，需要占用基本农田，涉及农用地转用或者征用土地的，必须经国务院批准。第十七条</w:t>
      </w:r>
      <w:r>
        <w:rPr>
          <w:rFonts w:hint="eastAsia"/>
          <w:color w:val="auto"/>
          <w:highlight w:val="none"/>
          <w:lang w:val="en-US" w:eastAsia="zh-CN"/>
        </w:rPr>
        <w:t xml:space="preserve"> </w:t>
      </w:r>
      <w:r>
        <w:rPr>
          <w:rFonts w:hint="eastAsia"/>
          <w:color w:val="auto"/>
          <w:highlight w:val="none"/>
        </w:rPr>
        <w:t>禁止任何单位和个人在基本农田保护区内建窑、建房、建坟、挖砂、采石、采矿、取土、堆放固体废弃物或者进行其他破坏基本农田的活动。禁止任何单位和个人占用基本农田发展林果业和挖塘养鱼。第十八条</w:t>
      </w:r>
      <w:r>
        <w:rPr>
          <w:rFonts w:hint="eastAsia"/>
          <w:color w:val="auto"/>
          <w:highlight w:val="none"/>
          <w:lang w:val="en-US" w:eastAsia="zh-CN"/>
        </w:rPr>
        <w:t xml:space="preserve"> </w:t>
      </w:r>
      <w:r>
        <w:rPr>
          <w:rFonts w:hint="eastAsia"/>
          <w:color w:val="auto"/>
          <w:highlight w:val="none"/>
        </w:rPr>
        <w:t>禁止任何单位和个人闲置、荒芜基本农田。</w:t>
      </w:r>
    </w:p>
    <w:p>
      <w:pPr>
        <w:pStyle w:val="6"/>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符合性分析</w:t>
      </w:r>
    </w:p>
    <w:p>
      <w:pPr>
        <w:pStyle w:val="6"/>
        <w:bidi w:val="0"/>
        <w:rPr>
          <w:rFonts w:hint="eastAsia"/>
          <w:b w:val="0"/>
          <w:bCs w:val="0"/>
          <w:color w:val="auto"/>
          <w:highlight w:val="none"/>
        </w:rPr>
      </w:pPr>
      <w:r>
        <w:rPr>
          <w:rFonts w:hint="eastAsia"/>
          <w:color w:val="auto"/>
          <w:lang w:val="en-US" w:eastAsia="zh-CN"/>
        </w:rPr>
        <w:t>《林芝市全域旅游发展规划（2018-2025年）》</w:t>
      </w:r>
      <w:r>
        <w:rPr>
          <w:rFonts w:hint="eastAsia"/>
          <w:color w:val="auto"/>
          <w:highlight w:val="none"/>
        </w:rPr>
        <w:t>中，含有规划的旅游项目类型有农业参观、体验类，道路等基础设施建设类项目。项目的选址已考虑避让基本农田，保护基本农田数量不减少。并且不改变土地的性质，采用当地提供的有机肥料，保持土壤肥力</w:t>
      </w:r>
      <w:r>
        <w:rPr>
          <w:rFonts w:hint="eastAsia"/>
          <w:color w:val="auto"/>
          <w:highlight w:val="none"/>
          <w:lang w:eastAsia="zh-CN"/>
        </w:rPr>
        <w:t>。</w:t>
      </w:r>
      <w:r>
        <w:rPr>
          <w:rFonts w:hint="eastAsia"/>
          <w:b w:val="0"/>
          <w:bCs w:val="0"/>
          <w:color w:val="auto"/>
          <w:highlight w:val="none"/>
        </w:rPr>
        <w:t>本规划与《</w:t>
      </w:r>
      <w:r>
        <w:rPr>
          <w:rFonts w:hint="eastAsia"/>
          <w:b w:val="0"/>
          <w:bCs w:val="0"/>
          <w:color w:val="auto"/>
          <w:highlight w:val="none"/>
          <w:lang w:val="en-US" w:eastAsia="zh-CN"/>
        </w:rPr>
        <w:t>基本农田保护条例</w:t>
      </w:r>
      <w:r>
        <w:rPr>
          <w:rFonts w:hint="eastAsia"/>
          <w:b w:val="0"/>
          <w:bCs w:val="0"/>
          <w:color w:val="auto"/>
          <w:highlight w:val="none"/>
        </w:rPr>
        <w:t>》符合。</w:t>
      </w:r>
    </w:p>
    <w:p>
      <w:pPr>
        <w:pStyle w:val="6"/>
        <w:bidi w:val="0"/>
        <w:rPr>
          <w:b/>
          <w:bCs/>
          <w:color w:val="auto"/>
          <w:highlight w:val="none"/>
        </w:rPr>
      </w:pPr>
      <w:r>
        <w:rPr>
          <w:rFonts w:hint="eastAsia"/>
          <w:b/>
          <w:bCs/>
          <w:color w:val="auto"/>
          <w:highlight w:val="none"/>
        </w:rPr>
        <w:t>二、地方法律法规</w:t>
      </w:r>
    </w:p>
    <w:p>
      <w:pPr>
        <w:pStyle w:val="6"/>
        <w:bidi w:val="0"/>
        <w:rPr>
          <w:b/>
          <w:bCs/>
          <w:color w:val="auto"/>
          <w:highlight w:val="none"/>
        </w:rPr>
      </w:pPr>
      <w:r>
        <w:rPr>
          <w:rFonts w:hint="eastAsia"/>
          <w:b/>
          <w:bCs/>
          <w:color w:val="auto"/>
          <w:highlight w:val="none"/>
          <w:lang w:val="en-US" w:eastAsia="zh-CN"/>
        </w:rPr>
        <w:t>1</w:t>
      </w:r>
      <w:r>
        <w:rPr>
          <w:rFonts w:hint="eastAsia"/>
          <w:b/>
          <w:bCs/>
          <w:color w:val="auto"/>
          <w:highlight w:val="none"/>
        </w:rPr>
        <w:t>、</w:t>
      </w:r>
      <w:r>
        <w:rPr>
          <w:rFonts w:hint="eastAsia"/>
          <w:b/>
          <w:bCs/>
          <w:color w:val="auto"/>
          <w:highlight w:val="none"/>
          <w:lang w:val="en-US" w:eastAsia="zh-CN"/>
        </w:rPr>
        <w:t>与</w:t>
      </w:r>
      <w:r>
        <w:rPr>
          <w:rFonts w:hint="eastAsia"/>
          <w:b/>
          <w:bCs/>
          <w:color w:val="auto"/>
          <w:highlight w:val="none"/>
        </w:rPr>
        <w:t>《西藏自治区环境保护条例》</w:t>
      </w:r>
      <w:r>
        <w:rPr>
          <w:rFonts w:hint="eastAsia"/>
          <w:b/>
          <w:bCs/>
          <w:color w:val="auto"/>
          <w:highlight w:val="none"/>
          <w:lang w:eastAsia="zh-CN"/>
        </w:rPr>
        <w:t>（</w:t>
      </w:r>
      <w:r>
        <w:rPr>
          <w:rFonts w:hint="eastAsia"/>
          <w:b/>
          <w:bCs/>
          <w:color w:val="auto"/>
          <w:highlight w:val="none"/>
        </w:rPr>
        <w:t>2003年9月1日起施行</w:t>
      </w:r>
      <w:r>
        <w:rPr>
          <w:rFonts w:hint="eastAsia"/>
          <w:b/>
          <w:bCs/>
          <w:color w:val="auto"/>
          <w:highlight w:val="none"/>
          <w:lang w:eastAsia="zh-CN"/>
        </w:rPr>
        <w:t>）</w:t>
      </w:r>
      <w:r>
        <w:rPr>
          <w:rFonts w:hint="eastAsia"/>
          <w:b/>
          <w:bCs/>
          <w:color w:val="auto"/>
          <w:highlight w:val="none"/>
          <w:lang w:val="en-US" w:eastAsia="zh-CN"/>
        </w:rPr>
        <w:t>符合性分析</w:t>
      </w:r>
    </w:p>
    <w:p>
      <w:pPr>
        <w:pStyle w:val="12"/>
        <w:adjustRightInd w:val="0"/>
        <w:spacing w:before="0" w:after="0" w:line="360" w:lineRule="auto"/>
        <w:ind w:right="0"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（1）相关内容</w:t>
      </w:r>
    </w:p>
    <w:p>
      <w:pPr>
        <w:pStyle w:val="6"/>
        <w:bidi w:val="0"/>
        <w:rPr>
          <w:rFonts w:hint="eastAsia"/>
          <w:color w:val="auto"/>
          <w:highlight w:val="none"/>
        </w:rPr>
      </w:pPr>
      <w:r>
        <w:rPr>
          <w:rFonts w:hint="eastAsia"/>
          <w:color w:val="auto"/>
          <w:highlight w:val="none"/>
        </w:rPr>
        <w:t>第九条</w:t>
      </w:r>
      <w:r>
        <w:rPr>
          <w:rFonts w:hint="eastAsia"/>
          <w:color w:val="auto"/>
          <w:highlight w:val="none"/>
          <w:lang w:val="en-US" w:eastAsia="zh-CN"/>
        </w:rPr>
        <w:t xml:space="preserve"> </w:t>
      </w:r>
      <w:r>
        <w:rPr>
          <w:rFonts w:hint="eastAsia"/>
          <w:color w:val="auto"/>
          <w:highlight w:val="none"/>
        </w:rPr>
        <w:t>县级以上人民政府应当根据本行政区域生态环境现状，制定生态环境建设和保护规划，加强对重要生态功能区、生态良好区以及重点资源开发区的监督管理。开发利用自然资源，应当及时采取措施防止环境污染和生态破坏。造成生态环境污染和破坏的单位或个人，应当承担整治和恢复责任。第十一条</w:t>
      </w:r>
      <w:r>
        <w:rPr>
          <w:rFonts w:hint="eastAsia"/>
          <w:color w:val="auto"/>
          <w:highlight w:val="none"/>
          <w:lang w:val="en-US" w:eastAsia="zh-CN"/>
        </w:rPr>
        <w:t xml:space="preserve"> </w:t>
      </w:r>
      <w:r>
        <w:rPr>
          <w:rFonts w:hint="eastAsia"/>
          <w:color w:val="auto"/>
          <w:highlight w:val="none"/>
        </w:rPr>
        <w:t>在风景名胜区、自然保护区、城市规划确定的居民区和饮用水源地、重要生态功能保护区、湿地等其他需要特别保护的区域内，禁止新建可能污染和破坏环境的建设项目。对已建的产生污染和破坏环境的项目应当限期治理或责令其停业、停产、转产或关闭。在国家和自治区划定的风景名胜区、自然保护区和其他需要特别保护的区域内开发旅游项目，新建旅游设施，应当提交环境影响报告书（表），经所在地县级以上人民政府环境保护行政主管部门批准后方可建设。第十三条严禁在自然保护区的核心区、缓冲区进行旅游开发。在自然保护区实验区进行的旅游开发，应确保旅游设施建设与自然景观相协调。从事旅游经营服务项目的单位、个人和旅游者，应当保护旅游资源不受污染、破坏。旅游景区（点）的污水、废气、噪声和生活垃圾必须实现达标排放和科学处置。</w:t>
      </w:r>
    </w:p>
    <w:p>
      <w:pPr>
        <w:pStyle w:val="6"/>
        <w:bidi w:val="0"/>
        <w:rPr>
          <w:rFonts w:hint="eastAsia"/>
          <w:color w:val="auto"/>
          <w:highlight w:val="none"/>
        </w:rPr>
      </w:pPr>
      <w:r>
        <w:rPr>
          <w:rFonts w:hint="eastAsia"/>
          <w:color w:val="auto"/>
          <w:highlight w:val="none"/>
        </w:rPr>
        <w:t>（2）符合性分析</w:t>
      </w:r>
    </w:p>
    <w:p>
      <w:pPr>
        <w:pStyle w:val="6"/>
        <w:bidi w:val="0"/>
        <w:rPr>
          <w:rFonts w:hint="eastAsia"/>
          <w:color w:val="auto"/>
          <w:highlight w:val="none"/>
        </w:rPr>
      </w:pPr>
      <w:r>
        <w:rPr>
          <w:rFonts w:hint="eastAsia"/>
          <w:color w:val="auto"/>
          <w:highlight w:val="none"/>
        </w:rPr>
        <w:t>“</w:t>
      </w:r>
      <w:r>
        <w:rPr>
          <w:rFonts w:hint="eastAsia"/>
          <w:color w:val="auto"/>
          <w:highlight w:val="none"/>
          <w:lang w:val="en-US" w:eastAsia="zh-CN"/>
        </w:rPr>
        <w:t>林芝市全域旅游发展规划（2018~2025年）</w:t>
      </w:r>
      <w:r>
        <w:rPr>
          <w:rFonts w:hint="eastAsia"/>
          <w:color w:val="auto"/>
          <w:highlight w:val="none"/>
        </w:rPr>
        <w:t>”</w:t>
      </w:r>
      <w:r>
        <w:rPr>
          <w:rFonts w:hint="default"/>
          <w:color w:val="auto"/>
          <w:highlight w:val="none"/>
          <w:lang w:val="en-US" w:eastAsia="zh-CN"/>
        </w:rPr>
        <w:t>发展定位</w:t>
      </w:r>
      <w:r>
        <w:rPr>
          <w:rFonts w:hint="eastAsia"/>
          <w:color w:val="auto"/>
          <w:highlight w:val="none"/>
          <w:lang w:val="en-US" w:eastAsia="zh-CN"/>
        </w:rPr>
        <w:t>为</w:t>
      </w:r>
      <w:r>
        <w:rPr>
          <w:rFonts w:hint="default"/>
          <w:color w:val="auto"/>
          <w:highlight w:val="none"/>
          <w:lang w:val="en-US" w:eastAsia="zh-CN"/>
        </w:rPr>
        <w:t>世界级高原生态旅游度假目的地、世界级公路旅游目的地</w:t>
      </w:r>
      <w:r>
        <w:rPr>
          <w:rFonts w:hint="eastAsia"/>
          <w:color w:val="auto"/>
          <w:highlight w:val="none"/>
          <w:lang w:val="en-US" w:eastAsia="zh-CN"/>
        </w:rPr>
        <w:t>。</w:t>
      </w:r>
      <w:r>
        <w:rPr>
          <w:rFonts w:hint="eastAsia"/>
          <w:color w:val="auto"/>
          <w:highlight w:val="none"/>
        </w:rPr>
        <w:t>近期搭建全域旅游发展平台和目的地服务体系，成为国家全域旅游示范区</w:t>
      </w:r>
      <w:r>
        <w:rPr>
          <w:rFonts w:hint="eastAsia"/>
          <w:color w:val="auto"/>
          <w:highlight w:val="none"/>
          <w:lang w:eastAsia="zh-CN"/>
        </w:rPr>
        <w:t>；</w:t>
      </w:r>
      <w:r>
        <w:rPr>
          <w:rFonts w:hint="eastAsia"/>
          <w:color w:val="auto"/>
          <w:highlight w:val="none"/>
        </w:rPr>
        <w:t>中期</w:t>
      </w:r>
      <w:r>
        <w:rPr>
          <w:rFonts w:hint="eastAsia"/>
          <w:color w:val="auto"/>
          <w:highlight w:val="none"/>
          <w:lang w:val="en-US" w:eastAsia="zh-CN"/>
        </w:rPr>
        <w:t>目标为</w:t>
      </w:r>
      <w:r>
        <w:rPr>
          <w:rFonts w:hint="eastAsia"/>
          <w:color w:val="auto"/>
          <w:highlight w:val="none"/>
        </w:rPr>
        <w:t>融合创新、全域拓展，实现旅游基础及服务设施全域覆盖，旅游产业竞争力稳步提升</w:t>
      </w:r>
      <w:r>
        <w:rPr>
          <w:rFonts w:hint="eastAsia"/>
          <w:color w:val="auto"/>
          <w:highlight w:val="none"/>
          <w:lang w:eastAsia="zh-CN"/>
        </w:rPr>
        <w:t>；</w:t>
      </w:r>
      <w:r>
        <w:rPr>
          <w:rFonts w:hint="eastAsia"/>
          <w:color w:val="auto"/>
          <w:highlight w:val="none"/>
          <w:lang w:val="en-US" w:eastAsia="zh-CN"/>
        </w:rPr>
        <w:t>至</w:t>
      </w:r>
      <w:r>
        <w:rPr>
          <w:rFonts w:hint="eastAsia"/>
          <w:color w:val="auto"/>
          <w:highlight w:val="none"/>
        </w:rPr>
        <w:t>远期提升</w:t>
      </w:r>
      <w:r>
        <w:rPr>
          <w:rFonts w:hint="eastAsia"/>
          <w:color w:val="auto"/>
          <w:highlight w:val="none"/>
          <w:lang w:val="en-US" w:eastAsia="zh-CN"/>
        </w:rPr>
        <w:t>旅游</w:t>
      </w:r>
      <w:r>
        <w:rPr>
          <w:rFonts w:hint="eastAsia"/>
          <w:color w:val="auto"/>
          <w:highlight w:val="none"/>
        </w:rPr>
        <w:t>品质，逐步跨越，晋身世界级高原生态旅游度假目的地和世界级公路旅游目的地。</w:t>
      </w:r>
    </w:p>
    <w:p>
      <w:pPr>
        <w:pStyle w:val="6"/>
        <w:bidi w:val="0"/>
        <w:rPr>
          <w:rFonts w:hint="default" w:eastAsia="宋体"/>
          <w:color w:val="auto"/>
          <w:highlight w:val="none"/>
          <w:lang w:val="en-US" w:eastAsia="zh-CN"/>
        </w:rPr>
      </w:pPr>
      <w:r>
        <w:rPr>
          <w:rFonts w:hint="eastAsia"/>
          <w:color w:val="auto"/>
          <w:highlight w:val="none"/>
          <w:lang w:val="en-US" w:eastAsia="zh-CN"/>
        </w:rPr>
        <w:t>通过</w:t>
      </w:r>
      <w:r>
        <w:rPr>
          <w:rFonts w:hint="eastAsia"/>
          <w:color w:val="auto"/>
          <w:highlight w:val="none"/>
        </w:rPr>
        <w:t>“</w:t>
      </w:r>
      <w:r>
        <w:rPr>
          <w:rFonts w:hint="eastAsia"/>
          <w:color w:val="auto"/>
          <w:highlight w:val="none"/>
          <w:lang w:val="en-US" w:eastAsia="zh-CN"/>
        </w:rPr>
        <w:t>林芝市全域旅游发展规划（2018~2025年）</w:t>
      </w:r>
      <w:r>
        <w:rPr>
          <w:rFonts w:hint="eastAsia"/>
          <w:color w:val="auto"/>
          <w:highlight w:val="none"/>
        </w:rPr>
        <w:t>”</w:t>
      </w:r>
      <w:r>
        <w:rPr>
          <w:rFonts w:hint="eastAsia"/>
          <w:color w:val="auto"/>
          <w:highlight w:val="none"/>
          <w:lang w:val="en-US" w:eastAsia="zh-CN"/>
        </w:rPr>
        <w:t>的实施，妥善、有效地解决环境制约因素，采取环境污染控制和减缓对策措施，并采纳规划调整建议，规划实施产生的环境影响可以大为减缓，可以取得较高的经济效益、社会效益和环境效益。规划与《西藏自治区环境保护条例》相关内容符合。</w:t>
      </w:r>
    </w:p>
    <w:p>
      <w:pPr>
        <w:pStyle w:val="6"/>
        <w:bidi w:val="0"/>
        <w:rPr>
          <w:rFonts w:hint="default" w:eastAsia="宋体"/>
          <w:b/>
          <w:bCs/>
          <w:color w:val="auto"/>
          <w:highlight w:val="none"/>
          <w:lang w:val="en-US" w:eastAsia="zh-CN"/>
        </w:rPr>
      </w:pPr>
      <w:r>
        <w:rPr>
          <w:rFonts w:hint="eastAsia"/>
          <w:b/>
          <w:bCs/>
          <w:color w:val="auto"/>
          <w:highlight w:val="none"/>
          <w:lang w:val="en-US" w:eastAsia="zh-CN"/>
        </w:rPr>
        <w:t>2、与《西藏自治区湿地保护条例》（2011年3月1日起施行）符合性分析</w:t>
      </w:r>
    </w:p>
    <w:p>
      <w:pPr>
        <w:pStyle w:val="12"/>
        <w:adjustRightInd w:val="0"/>
        <w:spacing w:before="0" w:after="0" w:line="360" w:lineRule="auto"/>
        <w:ind w:right="0"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（1）相关内容</w:t>
      </w:r>
    </w:p>
    <w:p>
      <w:pPr>
        <w:pStyle w:val="12"/>
        <w:adjustRightInd w:val="0"/>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lang w:val="en-US" w:eastAsia="zh-CN"/>
        </w:rPr>
        <w:t xml:space="preserve">第二十一条 </w:t>
      </w:r>
      <w:r>
        <w:rPr>
          <w:rFonts w:hint="eastAsia"/>
          <w:color w:val="auto"/>
          <w:sz w:val="24"/>
          <w:szCs w:val="24"/>
          <w:highlight w:val="none"/>
        </w:rPr>
        <w:t>禁止在湿地保护范围内从事下列活动：（一）擅自排放湿地水资源，开垦湿地；（二）违法排放有毒有害物质或者倾倒固体废弃物；（三）违法捡拾鸟卵或者破坏鸟卵；（四）破坏水禽等鸟类的栖息繁衍场所和生存条件；（五）擅自采砂、采石、采矿；（六）除抢险救灾外，截断湿地水系与外围水系的联系；（七）其他破坏湿地的行为。</w:t>
      </w:r>
    </w:p>
    <w:p>
      <w:pPr>
        <w:pStyle w:val="12"/>
        <w:adjustRightInd w:val="0"/>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lang w:val="en-US" w:eastAsia="zh-CN"/>
        </w:rPr>
        <w:t xml:space="preserve">第二十二条 </w:t>
      </w:r>
      <w:r>
        <w:rPr>
          <w:rFonts w:hint="eastAsia"/>
          <w:color w:val="auto"/>
          <w:sz w:val="24"/>
          <w:szCs w:val="24"/>
          <w:highlight w:val="none"/>
        </w:rPr>
        <w:t>利用湿地资源应当符合湿地保护规划，不得破坏湿地生态系统基本功能，不得超出湿地资源的承载能力，不得对野生动植物物种造成破坏性损害，维护湿地资源的可持续利用。</w:t>
      </w:r>
    </w:p>
    <w:p>
      <w:pPr>
        <w:pStyle w:val="6"/>
        <w:bidi w:val="0"/>
        <w:rPr>
          <w:color w:val="auto"/>
          <w:highlight w:val="none"/>
        </w:rPr>
      </w:pPr>
      <w:r>
        <w:rPr>
          <w:rFonts w:hint="eastAsia"/>
          <w:color w:val="auto"/>
          <w:highlight w:val="none"/>
        </w:rPr>
        <w:t>第二十六条</w:t>
      </w:r>
      <w:r>
        <w:rPr>
          <w:rFonts w:hint="eastAsia"/>
          <w:color w:val="auto"/>
          <w:highlight w:val="none"/>
          <w:lang w:val="en-US" w:eastAsia="zh-CN"/>
        </w:rPr>
        <w:t xml:space="preserve"> </w:t>
      </w:r>
      <w:r>
        <w:rPr>
          <w:rFonts w:hint="eastAsia"/>
          <w:color w:val="auto"/>
          <w:highlight w:val="none"/>
        </w:rPr>
        <w:t>在湿地保护范围内从事捕捞、养殖或者生态旅游活动的，应当制定湿地保护方案。有关部门在办理审批手续时，应当首先征求县级以上人民政府林业主管部门意见。在湿地保护范围内从事捕捞、养殖或者生态旅游活动的，应当按照湿地保护方案进行。</w:t>
      </w:r>
    </w:p>
    <w:p>
      <w:pPr>
        <w:pStyle w:val="6"/>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符合性分析</w:t>
      </w:r>
    </w:p>
    <w:p>
      <w:pPr>
        <w:pStyle w:val="6"/>
        <w:ind w:firstLine="480"/>
        <w:rPr>
          <w:rFonts w:hint="eastAsia"/>
          <w:color w:val="2A26F7"/>
        </w:rPr>
      </w:pPr>
      <w:r>
        <w:rPr>
          <w:rFonts w:hint="eastAsia"/>
          <w:color w:val="2A26F7"/>
        </w:rPr>
        <w:t>本次规划项目中涉及湿地的项目主要有雅尼国家湿地公园、嘎朗国家湿地公园、朱拉河国家湿地公园，规划建设项目位于湿地公园的体验区、合理利用区、宣教展示区，不占用湿地保育区。从规划建设内容上看，主要提供湿地旅游信息咨询、车辆出租、餐饮、住宿、望远镜出租等旅游服务，建设科普教育基地，对整个保护区的情况以及保护区内的珍稀动植物、湿地资源进行综合展示。项目后续实施需要遵照《西藏自治区湿地保护条例》要求，不得开展上述禁止行为，不会开（围）垦湿地、不改变湿地用途、以保护野生动物栖息地为主。通过加强管理，制定湿地保护方案等措施进一步维护湿地资源的可持续利用。本规划与《西藏自治区湿地保护条例》（2011年3月1日起施行）相符合。</w:t>
      </w:r>
    </w:p>
    <w:p>
      <w:pPr>
        <w:pStyle w:val="6"/>
        <w:bidi w:val="0"/>
        <w:rPr>
          <w:rFonts w:hint="default"/>
          <w:b/>
          <w:bCs/>
          <w:color w:val="auto"/>
          <w:highlight w:val="none"/>
          <w:lang w:val="en-US" w:eastAsia="zh-CN"/>
        </w:rPr>
      </w:pPr>
      <w:r>
        <w:rPr>
          <w:rFonts w:hint="eastAsia"/>
          <w:b/>
          <w:bCs/>
          <w:color w:val="auto"/>
          <w:highlight w:val="none"/>
          <w:lang w:val="en-US" w:eastAsia="zh-CN"/>
        </w:rPr>
        <w:t>3、与</w:t>
      </w:r>
      <w:r>
        <w:rPr>
          <w:rFonts w:hint="default"/>
          <w:b/>
          <w:bCs/>
          <w:color w:val="auto"/>
          <w:highlight w:val="none"/>
          <w:lang w:val="en-US" w:eastAsia="zh-CN"/>
        </w:rPr>
        <w:t>《西藏自治区饮用水水源环境保护管理办法》</w:t>
      </w:r>
      <w:r>
        <w:rPr>
          <w:rFonts w:hint="eastAsia"/>
          <w:b/>
          <w:bCs/>
          <w:color w:val="auto"/>
          <w:highlight w:val="none"/>
          <w:lang w:val="en-US" w:eastAsia="zh-CN"/>
        </w:rPr>
        <w:t>符合性分析</w:t>
      </w:r>
    </w:p>
    <w:p>
      <w:pPr>
        <w:pStyle w:val="6"/>
        <w:bidi w:val="0"/>
        <w:rPr>
          <w:rFonts w:hint="default"/>
          <w:color w:val="auto"/>
          <w:highlight w:val="none"/>
          <w:lang w:val="en-US" w:eastAsia="zh-CN"/>
        </w:rPr>
      </w:pPr>
      <w:r>
        <w:rPr>
          <w:rFonts w:hint="eastAsia"/>
          <w:color w:val="auto"/>
          <w:highlight w:val="none"/>
          <w:lang w:val="en-US" w:eastAsia="zh-CN"/>
        </w:rPr>
        <w:t>（1）相关内容</w:t>
      </w:r>
    </w:p>
    <w:p>
      <w:pPr>
        <w:pStyle w:val="6"/>
        <w:bidi w:val="0"/>
        <w:rPr>
          <w:rFonts w:hint="default"/>
          <w:color w:val="auto"/>
          <w:highlight w:val="none"/>
          <w:lang w:val="en-US" w:eastAsia="zh-CN"/>
        </w:rPr>
      </w:pPr>
      <w:r>
        <w:rPr>
          <w:rFonts w:hint="default"/>
          <w:color w:val="auto"/>
          <w:highlight w:val="none"/>
          <w:lang w:val="en-US" w:eastAsia="zh-CN"/>
        </w:rPr>
        <w:t>第十六条 地表水饮用水水源保护区内禁止从事下列活动：（一）破坏水环境生态平衡的活动以及破坏水源涵养林、护岸林或者与水源保护相关的植被；（二）倾倒工业废渣、生活垃圾、粪便及其他废弃物；（三）装载有毒有害物质、油类、粪便而无防渗、防溢、防漏设施的车辆通过保护区；（四）使用剧毒和高残留农药；（五）使用炸药、毒药捕杀水生动物。</w:t>
      </w:r>
    </w:p>
    <w:p>
      <w:pPr>
        <w:pStyle w:val="6"/>
        <w:bidi w:val="0"/>
        <w:rPr>
          <w:rFonts w:hint="default"/>
          <w:color w:val="auto"/>
          <w:highlight w:val="none"/>
          <w:lang w:val="en-US" w:eastAsia="zh-CN"/>
        </w:rPr>
      </w:pPr>
      <w:r>
        <w:rPr>
          <w:rFonts w:hint="default"/>
          <w:color w:val="auto"/>
          <w:highlight w:val="none"/>
          <w:lang w:val="en-US" w:eastAsia="zh-CN"/>
        </w:rPr>
        <w:t>第十七条 地表水饮用水水源一级保护区内除严格禁止第十六条规定的活动之外，还应禁止从事下列活动：（一）向水体排放污水；（二）新建、改建、扩建与供水设施和保护水源无关的建设项目；（三）放养禽畜和网箱养殖的活动；（四）集中堆放工业废渣、生活垃圾、粪便和其他废弃物；（五）勘探、开采矿产资源；（六）其他可能污染水源的活动。。</w:t>
      </w:r>
    </w:p>
    <w:p>
      <w:pPr>
        <w:pStyle w:val="6"/>
        <w:bidi w:val="0"/>
        <w:rPr>
          <w:rFonts w:hint="default"/>
          <w:color w:val="auto"/>
          <w:highlight w:val="none"/>
          <w:lang w:val="en-US" w:eastAsia="zh-CN"/>
        </w:rPr>
      </w:pPr>
      <w:r>
        <w:rPr>
          <w:rFonts w:hint="default"/>
          <w:color w:val="auto"/>
          <w:highlight w:val="none"/>
          <w:lang w:val="en-US" w:eastAsia="zh-CN"/>
        </w:rPr>
        <w:t>第十八条 地表水饮用水水源二级保护区内，必须遵守下列规定：（一）不得新建、扩建严重污染水域的建设项目，改建和技术改造项目必须削减污染物排放量；（二）已有的排污口必须严格控制污染物排放总量，符合当地规定的污染物排放标准</w:t>
      </w:r>
      <w:r>
        <w:rPr>
          <w:rFonts w:hint="eastAsia"/>
          <w:color w:val="auto"/>
          <w:highlight w:val="none"/>
          <w:lang w:val="en-US" w:eastAsia="zh-CN"/>
        </w:rPr>
        <w:t>，</w:t>
      </w:r>
      <w:r>
        <w:rPr>
          <w:rFonts w:hint="default"/>
          <w:color w:val="auto"/>
          <w:highlight w:val="none"/>
          <w:lang w:val="en-US" w:eastAsia="zh-CN"/>
        </w:rPr>
        <w:t>固体废弃物必须及时运出保护区，确保保护区内水质符合《地表水环境质量标准》III类标准；（三）按控制规模从事网箱养殖；（四）建设项目需征得环境保护行政主管部门同意。</w:t>
      </w:r>
    </w:p>
    <w:p>
      <w:pPr>
        <w:pStyle w:val="6"/>
        <w:bidi w:val="0"/>
        <w:rPr>
          <w:rFonts w:hint="default"/>
          <w:color w:val="auto"/>
          <w:highlight w:val="none"/>
          <w:lang w:val="en-US" w:eastAsia="zh-CN"/>
        </w:rPr>
      </w:pPr>
      <w:r>
        <w:rPr>
          <w:rFonts w:hint="default"/>
          <w:color w:val="auto"/>
          <w:highlight w:val="none"/>
          <w:lang w:val="en-US" w:eastAsia="zh-CN"/>
        </w:rPr>
        <w:t>第十九条 地表水饮用水水源准保护区内，不得新建、扩建和改建造纸、印染、化工、制革、电镀、屠宰、选矿等严重污染水源的项目。向水体排放污水，严格实行浓度和总量双控制。</w:t>
      </w:r>
    </w:p>
    <w:p>
      <w:pPr>
        <w:pStyle w:val="6"/>
        <w:bidi w:val="0"/>
        <w:rPr>
          <w:rFonts w:hint="default"/>
          <w:color w:val="auto"/>
          <w:highlight w:val="none"/>
          <w:lang w:val="en-US" w:eastAsia="zh-CN"/>
        </w:rPr>
      </w:pPr>
      <w:r>
        <w:rPr>
          <w:rFonts w:hint="default"/>
          <w:color w:val="auto"/>
          <w:highlight w:val="none"/>
          <w:lang w:val="en-US" w:eastAsia="zh-CN"/>
        </w:rPr>
        <w:t>第二十一条 地下水饮用水水源保护区内禁止从事下列活动：（一）破坏水源涵养林和水源保护相关的植被；（二）利用渗坑、渗井、裂隙、溶洞等排放污水和其他废弃物；（三）利用透水层空隙、裂隙、溶洞和废弃矿坑储存油类、放射性物质、有毒有害化工物品、农药等；（四）设置垃圾、粪便和易溶、有毒有害废弃物集中堆放场或运输站。地质钻探过程中，需采取防护措施，防止污染地下水源。</w:t>
      </w:r>
    </w:p>
    <w:p>
      <w:pPr>
        <w:pStyle w:val="6"/>
        <w:bidi w:val="0"/>
        <w:rPr>
          <w:rFonts w:hint="default"/>
          <w:color w:val="auto"/>
          <w:highlight w:val="none"/>
          <w:lang w:val="en-US" w:eastAsia="zh-CN"/>
        </w:rPr>
      </w:pPr>
      <w:r>
        <w:rPr>
          <w:rFonts w:hint="default"/>
          <w:color w:val="auto"/>
          <w:highlight w:val="none"/>
          <w:lang w:val="en-US" w:eastAsia="zh-CN"/>
        </w:rPr>
        <w:t>第二十二条  地下水饮用水水源一级保护区内，除应严格禁止第二十一条规定的活动之外，还应禁止从事下列活动：（一）新建、改建、扩建与取水设施和保护水源无关的建设项目；（二）农牧业生产；（三）倾倒、堆放工业废渣及城市垃圾、粪便和其他废弃物；（四）布设输送污水的渠道、管道及输油管道。</w:t>
      </w:r>
    </w:p>
    <w:p>
      <w:pPr>
        <w:pStyle w:val="6"/>
        <w:bidi w:val="0"/>
        <w:rPr>
          <w:rFonts w:hint="default"/>
          <w:color w:val="auto"/>
          <w:highlight w:val="none"/>
          <w:lang w:val="en-US" w:eastAsia="zh-CN"/>
        </w:rPr>
      </w:pPr>
      <w:r>
        <w:rPr>
          <w:rFonts w:hint="default"/>
          <w:color w:val="auto"/>
          <w:highlight w:val="none"/>
          <w:lang w:val="en-US" w:eastAsia="zh-CN"/>
        </w:rPr>
        <w:t>第二十三条  地下水饮用水水源二级保护区内，必须遵守下列规定：（一）不得新建造纸、印染、化工、制革、电镀、屠宰、选矿等严重污染水源的项目；（二）不得擅自凿井取水；（三）不得集中堆放工业废渣、生活垃圾、粪便和其他废弃物。</w:t>
      </w:r>
    </w:p>
    <w:p>
      <w:pPr>
        <w:pStyle w:val="6"/>
        <w:bidi w:val="0"/>
        <w:rPr>
          <w:rFonts w:hint="default"/>
          <w:color w:val="auto"/>
          <w:highlight w:val="none"/>
          <w:lang w:val="en-US" w:eastAsia="zh-CN"/>
        </w:rPr>
      </w:pPr>
      <w:r>
        <w:rPr>
          <w:rFonts w:hint="default"/>
          <w:color w:val="auto"/>
          <w:highlight w:val="none"/>
          <w:lang w:val="en-US" w:eastAsia="zh-CN"/>
        </w:rPr>
        <w:t>第二十四条  地下水饮用水水源准保护区内必须遵守以下规定：（一）人工回灌水的水质不得低于国家规定的《地表水环境质量标准》III类标准；（二）农田灌溉水质应当符合国家农田灌溉水质标准。</w:t>
      </w:r>
    </w:p>
    <w:p>
      <w:pPr>
        <w:pStyle w:val="6"/>
        <w:bidi w:val="0"/>
        <w:rPr>
          <w:rFonts w:hint="default"/>
          <w:color w:val="auto"/>
          <w:highlight w:val="none"/>
          <w:lang w:val="en-US" w:eastAsia="zh-CN"/>
        </w:rPr>
      </w:pPr>
      <w:r>
        <w:rPr>
          <w:rFonts w:hint="default"/>
          <w:color w:val="auto"/>
          <w:highlight w:val="none"/>
          <w:lang w:val="en-US" w:eastAsia="zh-CN"/>
        </w:rPr>
        <w:t>第二十五条  地下水饮用水水源一、二级保护区内，对已建成的污染严重的建设项目应当责令转产或搬迁。</w:t>
      </w:r>
    </w:p>
    <w:p>
      <w:pPr>
        <w:pStyle w:val="6"/>
        <w:bidi w:val="0"/>
        <w:rPr>
          <w:rFonts w:hint="default"/>
          <w:color w:val="auto"/>
          <w:highlight w:val="none"/>
          <w:lang w:val="en-US" w:eastAsia="zh-CN"/>
        </w:rPr>
      </w:pPr>
      <w:r>
        <w:rPr>
          <w:rFonts w:hint="eastAsia"/>
          <w:color w:val="auto"/>
          <w:highlight w:val="none"/>
          <w:lang w:val="en-US" w:eastAsia="zh-CN"/>
        </w:rPr>
        <w:t>（2）符合性分析</w:t>
      </w:r>
    </w:p>
    <w:p>
      <w:pPr>
        <w:pStyle w:val="6"/>
        <w:bidi w:val="0"/>
        <w:rPr>
          <w:rFonts w:hint="default"/>
          <w:color w:val="auto"/>
          <w:highlight w:val="none"/>
          <w:lang w:val="en-US" w:eastAsia="zh-CN"/>
        </w:rPr>
      </w:pPr>
      <w:r>
        <w:rPr>
          <w:rFonts w:hint="default"/>
          <w:color w:val="auto"/>
          <w:highlight w:val="none"/>
          <w:lang w:val="en-US" w:eastAsia="zh-CN"/>
        </w:rPr>
        <w:t>规划实施期间遵照管理要求，不涉及上述禁止行为。</w:t>
      </w:r>
      <w:r>
        <w:rPr>
          <w:rFonts w:hint="eastAsia"/>
          <w:color w:val="auto"/>
          <w:highlight w:val="none"/>
          <w:lang w:val="en-US" w:eastAsia="zh-CN"/>
        </w:rPr>
        <w:t>同时加</w:t>
      </w:r>
      <w:r>
        <w:rPr>
          <w:rFonts w:hint="default"/>
          <w:color w:val="auto"/>
          <w:highlight w:val="none"/>
          <w:lang w:val="en-US" w:eastAsia="zh-CN"/>
        </w:rPr>
        <w:t>大对游客宣传，尽量防止在游览期间出现上述行为。出现上述行为时，及时交相关管理机构进行处理处罚。环评要求，所有景区内废水均通过收集处理后达标排放，尾水经过深度处理后尽量回用。</w:t>
      </w:r>
      <w:r>
        <w:rPr>
          <w:rFonts w:hint="eastAsia"/>
          <w:color w:val="auto"/>
          <w:highlight w:val="none"/>
          <w:lang w:val="en-US" w:eastAsia="zh-CN"/>
        </w:rPr>
        <w:t>规划</w:t>
      </w:r>
      <w:r>
        <w:rPr>
          <w:rFonts w:hint="default"/>
          <w:color w:val="auto"/>
          <w:highlight w:val="none"/>
          <w:lang w:val="en-US" w:eastAsia="zh-CN"/>
        </w:rPr>
        <w:t>与《西藏自治区饮用水水源环境保护管理办法》</w:t>
      </w:r>
      <w:r>
        <w:rPr>
          <w:rFonts w:hint="eastAsia"/>
          <w:color w:val="auto"/>
          <w:highlight w:val="none"/>
          <w:lang w:val="en-US" w:eastAsia="zh-CN"/>
        </w:rPr>
        <w:t>相</w:t>
      </w:r>
      <w:r>
        <w:rPr>
          <w:rFonts w:hint="default"/>
          <w:color w:val="auto"/>
          <w:highlight w:val="none"/>
          <w:lang w:val="en-US" w:eastAsia="zh-CN"/>
        </w:rPr>
        <w:t>符合</w:t>
      </w:r>
      <w:r>
        <w:rPr>
          <w:rFonts w:hint="eastAsia"/>
          <w:color w:val="auto"/>
          <w:highlight w:val="none"/>
          <w:lang w:val="en-US" w:eastAsia="zh-CN"/>
        </w:rPr>
        <w:t>。</w:t>
      </w:r>
    </w:p>
    <w:p>
      <w:pPr>
        <w:pStyle w:val="5"/>
        <w:bidi w:val="0"/>
        <w:rPr>
          <w:rFonts w:hint="eastAsia"/>
          <w:color w:val="auto"/>
          <w:highlight w:val="none"/>
        </w:rPr>
      </w:pPr>
      <w:bookmarkStart w:id="70" w:name="_Toc10262"/>
      <w:r>
        <w:rPr>
          <w:rFonts w:hint="eastAsia"/>
          <w:color w:val="auto"/>
          <w:highlight w:val="none"/>
        </w:rPr>
        <w:t>2.2.3与上层位规划的符合性分析</w:t>
      </w:r>
      <w:bookmarkEnd w:id="70"/>
    </w:p>
    <w:p>
      <w:pPr>
        <w:pStyle w:val="2"/>
        <w:bidi w:val="0"/>
        <w:rPr>
          <w:rFonts w:hint="eastAsia"/>
          <w:color w:val="auto"/>
          <w:highlight w:val="none"/>
          <w:lang w:val="en-US" w:eastAsia="zh-CN"/>
        </w:rPr>
      </w:pPr>
      <w:r>
        <w:rPr>
          <w:rFonts w:hint="eastAsia"/>
          <w:color w:val="auto"/>
          <w:highlight w:val="none"/>
          <w:lang w:val="en-US" w:eastAsia="zh-CN"/>
        </w:rPr>
        <w:t>2.2.3.1与《“十四五”旅游业发展规划》符合性分析</w:t>
      </w:r>
    </w:p>
    <w:p>
      <w:pPr>
        <w:pStyle w:val="6"/>
        <w:ind w:firstLine="482"/>
        <w:rPr>
          <w:b/>
          <w:bCs/>
        </w:rPr>
      </w:pPr>
      <w:r>
        <w:rPr>
          <w:rFonts w:hint="eastAsia"/>
          <w:b/>
          <w:bCs/>
        </w:rPr>
        <w:t>1、《</w:t>
      </w:r>
      <w:r>
        <w:rPr>
          <w:rFonts w:hint="eastAsia"/>
          <w:b/>
          <w:bCs/>
          <w:color w:val="auto"/>
          <w:highlight w:val="none"/>
          <w:lang w:val="en-US" w:eastAsia="zh-CN"/>
        </w:rPr>
        <w:t>“十四五”旅游业发展规划</w:t>
      </w:r>
      <w:r>
        <w:rPr>
          <w:rFonts w:hint="eastAsia"/>
          <w:b/>
          <w:bCs/>
        </w:rPr>
        <w:t>》相关内容</w:t>
      </w:r>
    </w:p>
    <w:p>
      <w:pPr>
        <w:pStyle w:val="6"/>
        <w:bidi w:val="0"/>
        <w:rPr>
          <w:rFonts w:hint="eastAsia"/>
          <w:color w:val="auto"/>
          <w:highlight w:val="none"/>
        </w:rPr>
      </w:pPr>
      <w:r>
        <w:rPr>
          <w:rFonts w:hint="eastAsia"/>
          <w:color w:val="auto"/>
          <w:highlight w:val="none"/>
        </w:rPr>
        <w:t>2022年1月20日国务院发布《“十四五”旅游业发展规划》（以下简称《规划》规划，《规划》）指出，“十四五”时期要以习近平新时代中国特色社会主义思想为指导，坚持稳中求进工作总基调，以推动旅游业高质量发展为主题，以深化旅游业供给侧结构性改革为主线，注重需求侧管理，以改革创新为根本动力，以满足人民日益增长的美好生活需要为根本目的，坚持系统观念，统筹发展和安全、统筹保护和利用，立足构建新发展格局，在疫情防控常态化条件下创新提升国内旅游，在国际疫情得到有效控制前提下分步有序促进入境旅游、稳步发展出境旅游，着力推动文化和旅游深度融合，着力完善现代旅游业体系，加快旅游强国建设，努力实现旅游业更高质量、更有效率、更加公平、更可持续、更为安全的发展。</w:t>
      </w:r>
    </w:p>
    <w:p>
      <w:pPr>
        <w:pStyle w:val="6"/>
        <w:bidi w:val="0"/>
        <w:rPr>
          <w:rFonts w:hint="eastAsia"/>
          <w:color w:val="auto"/>
          <w:highlight w:val="none"/>
        </w:rPr>
      </w:pPr>
      <w:r>
        <w:rPr>
          <w:rFonts w:hint="eastAsia"/>
          <w:color w:val="auto"/>
          <w:highlight w:val="none"/>
        </w:rPr>
        <w:t>《规划》明确“以文塑旅、以旅彰文，系统观念、筑牢防线，旅游为民、旅游带动，创新驱动、优质发展，生态优先、科学利用”的原则。到2025年，旅游业发展水平不断提升，现代旅游业体系更加健全，旅游有效供给、优质供给、弹性供给更为丰富，大众旅游消费需求得到更好满足。国内旅游蓬勃发展，出入境旅游有序推进，旅游业国际影响力、竞争力明显增强，旅游强国建设取得重大进展。文化和旅游深度融合，建设一批富有文化底蕴的世界级旅游景区和度假区，打造一批文化特色鲜明的国家级旅游休闲城市和街区，红色旅游、乡村旅游等加快发展。</w:t>
      </w:r>
    </w:p>
    <w:p>
      <w:pPr>
        <w:pStyle w:val="6"/>
        <w:bidi w:val="0"/>
        <w:rPr>
          <w:rFonts w:hint="eastAsia"/>
          <w:color w:val="auto"/>
          <w:highlight w:val="none"/>
        </w:rPr>
      </w:pPr>
      <w:r>
        <w:rPr>
          <w:rFonts w:hint="eastAsia"/>
          <w:color w:val="auto"/>
          <w:highlight w:val="none"/>
        </w:rPr>
        <w:t>《规划》提出七项重点任务。一是坚持创新驱动发展，深化“互联网+旅游”，推进智慧旅游发展；二是优化旅游空间布局，促进城乡、区域协调发展，建设一批旅游城市和特色旅游目的地；三是构建科学保护利用体系，保护传承好人文资源，保护利用好自然资源；四是完善旅游产品供给体系，激发旅游市场主体活力，推动“旅游+”和“+旅游”，形成多产业融合发展新局面；五是拓展大众旅游消费体系，提升旅游消费服务，更好满足人民群众多层次、多样化需求；六是建立现代旅游治理体系，加强旅游信用体系建设，推进文明旅游；七是完善旅游开放合作体系，加强政策储备，持续推进旅游交流合作。</w:t>
      </w:r>
    </w:p>
    <w:p>
      <w:pPr>
        <w:pStyle w:val="6"/>
        <w:bidi w:val="0"/>
        <w:rPr>
          <w:rFonts w:hint="eastAsia"/>
          <w:color w:val="auto"/>
          <w:highlight w:val="none"/>
        </w:rPr>
      </w:pPr>
      <w:r>
        <w:rPr>
          <w:rFonts w:hint="eastAsia"/>
          <w:color w:val="auto"/>
          <w:highlight w:val="none"/>
        </w:rPr>
        <w:t>《规划》从加强组织领导、强化政策支撑、加强旅游理论和人才支撑等方面保障实施，要求各地区结合本地区实际制定旅游业发展规划或具体实施方案，明确工作分工，落实工作责任。各部门要按照职责分工，加强协调配合，明确具体举措和工作进度，抓紧推进。</w:t>
      </w:r>
    </w:p>
    <w:p>
      <w:pPr>
        <w:pStyle w:val="6"/>
        <w:bidi w:val="0"/>
        <w:rPr>
          <w:rFonts w:hint="eastAsia"/>
          <w:color w:val="auto"/>
          <w:highlight w:val="none"/>
        </w:rPr>
      </w:pPr>
      <w:r>
        <w:rPr>
          <w:rFonts w:hint="eastAsia"/>
          <w:color w:val="auto"/>
          <w:highlight w:val="none"/>
        </w:rPr>
        <w:t>《规划》发展目标：到2025年，旅游业发展水平不断提升，现代旅游业系统更加健全，旅游有效供给、优质供给、弹性供给更为丰富，大众旅游消费需求得到更好满足。疫情防控基础更加牢固，科学精准防控要求在旅游业得到全面落实。国内旅游蓬勃发展，出入境旅游有序推进，旅游业国际影响力、竞争力明显增强，旅游强国建设取得重大进展。文化和旅游深度融合，建设一批富有文化底蕴的世界级旅游景区和度假区，打造一批文化特色鲜明的国家级旅游休闲城市和街区，红色旅游、乡村旅游等加快发展。旅游创新能力显著提升，旅游无障碍环境建设和服务进一步加强，智慧旅游特征明显，产业链现代化水平明显提高，市场主体活力显著增强，旅游业在服务国家经济社会发展、满足人民文化需求、增强人民精神力量、促进社会文明程度提升等方面作用更加凸显。</w:t>
      </w:r>
    </w:p>
    <w:p>
      <w:pPr>
        <w:pStyle w:val="6"/>
        <w:ind w:firstLine="482"/>
        <w:rPr>
          <w:b/>
          <w:bCs/>
        </w:rPr>
      </w:pPr>
      <w:r>
        <w:rPr>
          <w:rFonts w:hint="eastAsia"/>
          <w:b/>
          <w:bCs/>
        </w:rPr>
        <w:t>2、符合性分析</w:t>
      </w:r>
    </w:p>
    <w:p>
      <w:pPr>
        <w:pStyle w:val="6"/>
        <w:bidi w:val="0"/>
        <w:rPr>
          <w:rFonts w:hint="eastAsia"/>
          <w:color w:val="1A15F1"/>
          <w:highlight w:val="none"/>
        </w:rPr>
      </w:pPr>
      <w:r>
        <w:rPr>
          <w:rFonts w:hint="eastAsia"/>
          <w:color w:val="auto"/>
          <w:lang w:val="en-US" w:eastAsia="zh-CN"/>
        </w:rPr>
        <w:t>“</w:t>
      </w:r>
      <w:r>
        <w:rPr>
          <w:rFonts w:hint="eastAsia"/>
          <w:color w:val="1A15F1"/>
          <w:lang w:val="en-US" w:eastAsia="zh-CN"/>
        </w:rPr>
        <w:t>林芝市全域旅游发展规划（2018-2025年）”</w:t>
      </w:r>
      <w:r>
        <w:rPr>
          <w:rFonts w:hint="eastAsia"/>
          <w:color w:val="1A15F1"/>
          <w:highlight w:val="none"/>
        </w:rPr>
        <w:t>规划</w:t>
      </w:r>
      <w:r>
        <w:rPr>
          <w:rFonts w:hint="eastAsia"/>
          <w:color w:val="1A15F1"/>
          <w:highlight w:val="none"/>
          <w:lang w:val="en-US" w:eastAsia="zh-CN"/>
        </w:rPr>
        <w:t>目标</w:t>
      </w:r>
      <w:r>
        <w:rPr>
          <w:rFonts w:hint="eastAsia"/>
          <w:color w:val="1A15F1"/>
          <w:highlight w:val="none"/>
        </w:rPr>
        <w:t>中期2021-2023年：融合创新、全域拓展，实现旅游基础及服务设施全域覆盖，旅游产业竞争力稳步提升。远期（2024-2025年）：提升品质，逐步跨越，晋身世界级高原生态旅游度假目的地和世界级公路旅游目的地。</w:t>
      </w:r>
    </w:p>
    <w:p>
      <w:pPr>
        <w:pStyle w:val="6"/>
        <w:bidi w:val="0"/>
        <w:rPr>
          <w:rFonts w:hint="eastAsia"/>
          <w:color w:val="1A15F1"/>
          <w:highlight w:val="none"/>
          <w:lang w:val="en-US" w:eastAsia="zh-CN"/>
        </w:rPr>
      </w:pPr>
      <w:r>
        <w:rPr>
          <w:rFonts w:hint="eastAsia"/>
          <w:b w:val="0"/>
          <w:bCs w:val="0"/>
          <w:color w:val="1A15F1"/>
          <w:lang w:val="en-US" w:eastAsia="zh-CN"/>
        </w:rPr>
        <w:t>“林芝市全域旅游发展规划（2018-2025年）”是对</w:t>
      </w:r>
      <w:r>
        <w:rPr>
          <w:rFonts w:hint="eastAsia"/>
          <w:b w:val="0"/>
          <w:bCs w:val="0"/>
          <w:color w:val="1A15F1"/>
          <w:highlight w:val="none"/>
        </w:rPr>
        <w:t>《</w:t>
      </w:r>
      <w:r>
        <w:rPr>
          <w:rFonts w:hint="eastAsia"/>
          <w:b w:val="0"/>
          <w:bCs w:val="0"/>
          <w:color w:val="1A15F1"/>
          <w:highlight w:val="none"/>
          <w:lang w:val="en-US" w:eastAsia="zh-CN"/>
        </w:rPr>
        <w:t>“十四五”旅游业发展规划</w:t>
      </w:r>
      <w:r>
        <w:rPr>
          <w:rFonts w:hint="eastAsia"/>
          <w:b w:val="0"/>
          <w:bCs w:val="0"/>
          <w:color w:val="1A15F1"/>
          <w:highlight w:val="none"/>
        </w:rPr>
        <w:t>》目标及所提出的规划内容在</w:t>
      </w:r>
      <w:r>
        <w:rPr>
          <w:rFonts w:hint="eastAsia"/>
          <w:color w:val="1A15F1"/>
          <w:highlight w:val="none"/>
          <w:lang w:val="en-US" w:eastAsia="zh-CN"/>
        </w:rPr>
        <w:t>市级</w:t>
      </w:r>
      <w:r>
        <w:rPr>
          <w:rFonts w:hint="eastAsia"/>
          <w:color w:val="1A15F1"/>
          <w:highlight w:val="none"/>
        </w:rPr>
        <w:t>层面的落实，</w:t>
      </w:r>
      <w:r>
        <w:rPr>
          <w:rFonts w:hint="eastAsia"/>
          <w:color w:val="1A15F1"/>
          <w:highlight w:val="none"/>
          <w:lang w:val="en-US" w:eastAsia="zh-CN"/>
        </w:rPr>
        <w:t>本次规划</w:t>
      </w:r>
      <w:r>
        <w:rPr>
          <w:rFonts w:hint="eastAsia"/>
          <w:color w:val="1A15F1"/>
          <w:highlight w:val="none"/>
        </w:rPr>
        <w:t>远期</w:t>
      </w:r>
      <w:r>
        <w:rPr>
          <w:rFonts w:hint="eastAsia"/>
          <w:color w:val="1A15F1"/>
          <w:highlight w:val="none"/>
          <w:lang w:val="en-US" w:eastAsia="zh-CN"/>
        </w:rPr>
        <w:t>目标为</w:t>
      </w:r>
      <w:r>
        <w:rPr>
          <w:rFonts w:hint="eastAsia"/>
          <w:color w:val="1A15F1"/>
          <w:highlight w:val="none"/>
        </w:rPr>
        <w:t>提升品质，逐步跨越，晋身世界级高原生态旅游度假目的地和世界级公路旅游目的地。</w:t>
      </w:r>
      <w:r>
        <w:rPr>
          <w:rFonts w:hint="eastAsia"/>
          <w:color w:val="1A15F1"/>
          <w:highlight w:val="none"/>
          <w:lang w:val="en-US" w:eastAsia="zh-CN"/>
        </w:rPr>
        <w:t>规划林芝市</w:t>
      </w:r>
      <w:r>
        <w:rPr>
          <w:rFonts w:hint="default"/>
          <w:color w:val="1A15F1"/>
          <w:highlight w:val="none"/>
          <w:lang w:val="en-US" w:eastAsia="zh-CN"/>
        </w:rPr>
        <w:t>旅游景区从封闭的旅游自循环向开放的发展方式转变，形成全产业链式发展，</w:t>
      </w:r>
      <w:r>
        <w:rPr>
          <w:rFonts w:hint="eastAsia"/>
          <w:color w:val="1A15F1"/>
          <w:highlight w:val="none"/>
          <w:lang w:val="en-US" w:eastAsia="zh-CN"/>
        </w:rPr>
        <w:t>规划产品体系包括农牧业+旅游融合、林业+旅游融合、文化产业+旅游融合、康养产业+旅游融合、体育产业+旅游融合、科研教育产业+旅游融合、商贸流通业+旅游。</w:t>
      </w:r>
      <w:r>
        <w:rPr>
          <w:rFonts w:hint="eastAsia"/>
          <w:b w:val="0"/>
          <w:bCs w:val="0"/>
          <w:color w:val="1A15F1"/>
          <w:lang w:val="en-US" w:eastAsia="zh-CN"/>
        </w:rPr>
        <w:t>“林芝市全域旅游发展规划（2018-2025年）”</w:t>
      </w:r>
      <w:r>
        <w:rPr>
          <w:rFonts w:hint="eastAsia"/>
          <w:color w:val="1A15F1"/>
          <w:highlight w:val="none"/>
          <w:lang w:val="en-US" w:eastAsia="zh-CN"/>
        </w:rPr>
        <w:t>产品体系属于《“十四五”旅游业发展规划》中</w:t>
      </w:r>
      <w:r>
        <w:rPr>
          <w:rFonts w:hint="eastAsia"/>
          <w:color w:val="1A15F1"/>
          <w:highlight w:val="none"/>
        </w:rPr>
        <w:t>七项重点任务</w:t>
      </w:r>
      <w:r>
        <w:rPr>
          <w:rFonts w:hint="eastAsia"/>
          <w:color w:val="1A15F1"/>
          <w:highlight w:val="none"/>
          <w:lang w:val="en-US" w:eastAsia="zh-CN"/>
        </w:rPr>
        <w:t>中第4项，</w:t>
      </w:r>
      <w:r>
        <w:rPr>
          <w:rFonts w:hint="eastAsia"/>
          <w:color w:val="1A15F1"/>
          <w:highlight w:val="none"/>
        </w:rPr>
        <w:t>完善旅游产品供给体系，激发旅游市场主体活力，推动“旅游+”和“+旅游”，形成多产业融合发展新局面。</w:t>
      </w:r>
    </w:p>
    <w:p>
      <w:pPr>
        <w:pStyle w:val="6"/>
        <w:bidi w:val="0"/>
        <w:rPr>
          <w:rFonts w:hint="eastAsia"/>
          <w:color w:val="1A15F1"/>
          <w:highlight w:val="none"/>
        </w:rPr>
      </w:pPr>
      <w:r>
        <w:rPr>
          <w:rFonts w:hint="eastAsia"/>
          <w:color w:val="1A15F1"/>
          <w:highlight w:val="none"/>
        </w:rPr>
        <w:t>本次规划</w:t>
      </w:r>
      <w:r>
        <w:rPr>
          <w:rFonts w:hint="eastAsia"/>
          <w:color w:val="1A15F1"/>
          <w:highlight w:val="none"/>
          <w:lang w:val="en-US" w:eastAsia="zh-CN"/>
        </w:rPr>
        <w:t>与</w:t>
      </w:r>
      <w:r>
        <w:rPr>
          <w:rFonts w:hint="eastAsia"/>
          <w:color w:val="1A15F1"/>
          <w:highlight w:val="none"/>
        </w:rPr>
        <w:t>《</w:t>
      </w:r>
      <w:r>
        <w:rPr>
          <w:rFonts w:hint="eastAsia"/>
          <w:color w:val="1A15F1"/>
          <w:highlight w:val="none"/>
          <w:lang w:val="en-US" w:eastAsia="zh-CN"/>
        </w:rPr>
        <w:t>“十四五”旅游业发展规划</w:t>
      </w:r>
      <w:r>
        <w:rPr>
          <w:rFonts w:hint="eastAsia"/>
          <w:color w:val="1A15F1"/>
          <w:highlight w:val="none"/>
        </w:rPr>
        <w:t>》</w:t>
      </w:r>
      <w:r>
        <w:rPr>
          <w:rFonts w:hint="eastAsia"/>
          <w:color w:val="1A15F1"/>
          <w:highlight w:val="none"/>
          <w:lang w:val="en-US" w:eastAsia="zh-CN"/>
        </w:rPr>
        <w:t>相符合</w:t>
      </w:r>
      <w:r>
        <w:rPr>
          <w:rFonts w:hint="eastAsia"/>
          <w:color w:val="1A15F1"/>
          <w:highlight w:val="none"/>
        </w:rPr>
        <w:t>。</w:t>
      </w:r>
    </w:p>
    <w:p>
      <w:pPr>
        <w:pStyle w:val="2"/>
        <w:bidi w:val="0"/>
        <w:rPr>
          <w:rFonts w:hint="eastAsia"/>
          <w:color w:val="auto"/>
          <w:highlight w:val="none"/>
        </w:rPr>
      </w:pPr>
      <w:r>
        <w:rPr>
          <w:rFonts w:hint="eastAsia"/>
          <w:color w:val="auto"/>
          <w:highlight w:val="none"/>
          <w:lang w:val="en-US" w:eastAsia="zh-CN"/>
        </w:rPr>
        <w:t>2.2.3.2与</w:t>
      </w:r>
      <w:r>
        <w:rPr>
          <w:rFonts w:hint="eastAsia"/>
          <w:color w:val="auto"/>
          <w:highlight w:val="none"/>
        </w:rPr>
        <w:t>《西藏自治区国民经济和社会发展第十四个五年规划和二〇三五年远景目标纲要》中生态环境保护相关要求协调性分析</w:t>
      </w:r>
    </w:p>
    <w:p>
      <w:pPr>
        <w:pStyle w:val="6"/>
        <w:bidi w:val="0"/>
        <w:rPr>
          <w:b/>
          <w:bCs/>
          <w:color w:val="auto"/>
          <w:highlight w:val="none"/>
        </w:rPr>
      </w:pPr>
      <w:r>
        <w:rPr>
          <w:rFonts w:hint="eastAsia"/>
          <w:b/>
          <w:bCs/>
          <w:color w:val="auto"/>
          <w:highlight w:val="none"/>
          <w:lang w:val="en-US" w:eastAsia="zh-CN"/>
        </w:rPr>
        <w:t>1、</w:t>
      </w:r>
      <w:r>
        <w:rPr>
          <w:rFonts w:hint="eastAsia"/>
          <w:b/>
          <w:bCs/>
          <w:color w:val="auto"/>
          <w:highlight w:val="none"/>
        </w:rPr>
        <w:t>《</w:t>
      </w:r>
      <w:r>
        <w:rPr>
          <w:rFonts w:hint="eastAsia"/>
          <w:b/>
          <w:bCs/>
          <w:color w:val="auto"/>
          <w:highlight w:val="none"/>
          <w:lang w:val="en-US" w:eastAsia="zh-CN"/>
        </w:rPr>
        <w:t>纲要</w:t>
      </w:r>
      <w:r>
        <w:rPr>
          <w:rFonts w:hint="eastAsia"/>
          <w:b/>
          <w:bCs/>
          <w:color w:val="auto"/>
          <w:highlight w:val="none"/>
        </w:rPr>
        <w:t>》出台背景</w:t>
      </w:r>
    </w:p>
    <w:p>
      <w:pPr>
        <w:pStyle w:val="6"/>
        <w:bidi w:val="0"/>
        <w:rPr>
          <w:rFonts w:hint="eastAsia"/>
          <w:color w:val="auto"/>
          <w:highlight w:val="none"/>
        </w:rPr>
      </w:pPr>
      <w:r>
        <w:rPr>
          <w:rFonts w:hint="eastAsia"/>
          <w:color w:val="auto"/>
          <w:highlight w:val="none"/>
        </w:rPr>
        <w:t>《西藏自治区国民经济和社会发展第十四个五年规划和二〇三五年远景目标纲要》（以下简称《纲要》）已经</w:t>
      </w:r>
      <w:r>
        <w:rPr>
          <w:rFonts w:hint="eastAsia"/>
          <w:color w:val="auto"/>
          <w:highlight w:val="none"/>
          <w:lang w:val="en-US" w:eastAsia="zh-CN"/>
        </w:rPr>
        <w:t>西藏自治区第十一届人民代表大会第四次会议</w:t>
      </w:r>
      <w:r>
        <w:rPr>
          <w:rFonts w:hint="eastAsia"/>
          <w:color w:val="auto"/>
          <w:highlight w:val="none"/>
        </w:rPr>
        <w:t>审议通过，并于2021年</w:t>
      </w:r>
      <w:r>
        <w:rPr>
          <w:rFonts w:hint="eastAsia"/>
          <w:color w:val="auto"/>
          <w:highlight w:val="none"/>
          <w:lang w:val="en-US" w:eastAsia="zh-CN"/>
        </w:rPr>
        <w:t>4</w:t>
      </w:r>
      <w:r>
        <w:rPr>
          <w:rFonts w:hint="eastAsia"/>
          <w:color w:val="auto"/>
          <w:highlight w:val="none"/>
        </w:rPr>
        <w:t>月</w:t>
      </w:r>
      <w:r>
        <w:rPr>
          <w:rFonts w:hint="eastAsia"/>
          <w:color w:val="auto"/>
          <w:highlight w:val="none"/>
          <w:lang w:val="en-US" w:eastAsia="zh-CN"/>
        </w:rPr>
        <w:t>21</w:t>
      </w:r>
      <w:r>
        <w:rPr>
          <w:rFonts w:hint="eastAsia"/>
          <w:color w:val="auto"/>
          <w:highlight w:val="none"/>
        </w:rPr>
        <w:t>日正式发布。</w:t>
      </w:r>
    </w:p>
    <w:p>
      <w:pPr>
        <w:pStyle w:val="6"/>
        <w:bidi w:val="0"/>
        <w:rPr>
          <w:rFonts w:hint="eastAsia"/>
          <w:color w:val="auto"/>
          <w:highlight w:val="none"/>
        </w:rPr>
      </w:pPr>
      <w:r>
        <w:rPr>
          <w:rFonts w:hint="eastAsia"/>
          <w:color w:val="auto"/>
          <w:highlight w:val="none"/>
        </w:rPr>
        <w:t>《纲要》</w:t>
      </w:r>
      <w:r>
        <w:rPr>
          <w:rFonts w:hint="eastAsia"/>
          <w:color w:val="auto"/>
          <w:highlight w:val="none"/>
          <w:lang w:val="en-US" w:eastAsia="zh-CN"/>
        </w:rPr>
        <w:t>是</w:t>
      </w:r>
      <w:r>
        <w:rPr>
          <w:rFonts w:hint="eastAsia"/>
          <w:color w:val="auto"/>
          <w:highlight w:val="none"/>
        </w:rPr>
        <w:t>根据《中共西藏自治区委员会关于制定国民经济和社会发展“十四五”规划和二〇三五年远景目标的建议》编制，全面贯彻党中央决策部署，阐明自治区战略意图，明确经济社会发展目标任务，体现各族群众意愿，引导市场主体行为，是未来一个时期全区经济社会发展的宏伟蓝图，是政府履行职责的重要依据，是全社会共同的行动纲领。</w:t>
      </w:r>
    </w:p>
    <w:p>
      <w:pPr>
        <w:pStyle w:val="6"/>
        <w:bidi w:val="0"/>
        <w:rPr>
          <w:b/>
          <w:bCs/>
          <w:color w:val="auto"/>
          <w:highlight w:val="none"/>
        </w:rPr>
      </w:pPr>
      <w:r>
        <w:rPr>
          <w:rFonts w:hint="eastAsia"/>
          <w:b/>
          <w:bCs/>
          <w:color w:val="auto"/>
          <w:highlight w:val="none"/>
          <w:lang w:val="en-US" w:eastAsia="zh-CN"/>
        </w:rPr>
        <w:t>2、</w:t>
      </w:r>
      <w:r>
        <w:rPr>
          <w:rFonts w:hint="eastAsia"/>
          <w:b/>
          <w:bCs/>
          <w:color w:val="auto"/>
          <w:highlight w:val="none"/>
        </w:rPr>
        <w:t>《纲要》相关内容</w:t>
      </w:r>
    </w:p>
    <w:p>
      <w:pPr>
        <w:pStyle w:val="6"/>
        <w:bidi w:val="0"/>
        <w:rPr>
          <w:color w:val="auto"/>
          <w:highlight w:val="none"/>
        </w:rPr>
      </w:pPr>
      <w:r>
        <w:rPr>
          <w:rFonts w:hint="eastAsia"/>
          <w:color w:val="auto"/>
          <w:highlight w:val="none"/>
        </w:rPr>
        <w:t>一、主要目标</w:t>
      </w:r>
    </w:p>
    <w:p>
      <w:pPr>
        <w:pStyle w:val="6"/>
        <w:bidi w:val="0"/>
        <w:rPr>
          <w:rFonts w:hint="eastAsia"/>
          <w:color w:val="auto"/>
          <w:highlight w:val="none"/>
        </w:rPr>
      </w:pPr>
      <w:r>
        <w:rPr>
          <w:rFonts w:hint="eastAsia"/>
          <w:color w:val="auto"/>
          <w:highlight w:val="none"/>
        </w:rPr>
        <w:t>《纲要》制定了“十四五”期间的主要目标</w:t>
      </w:r>
      <w:r>
        <w:rPr>
          <w:rFonts w:hint="eastAsia"/>
          <w:color w:val="auto"/>
          <w:highlight w:val="none"/>
          <w:lang w:val="en-US" w:eastAsia="zh-CN"/>
        </w:rPr>
        <w:t>包括</w:t>
      </w:r>
      <w:r>
        <w:rPr>
          <w:rFonts w:hint="eastAsia"/>
          <w:color w:val="auto"/>
          <w:highlight w:val="none"/>
        </w:rPr>
        <w:t>：</w:t>
      </w:r>
    </w:p>
    <w:p>
      <w:pPr>
        <w:pStyle w:val="6"/>
        <w:bidi w:val="0"/>
        <w:rPr>
          <w:rFonts w:hint="eastAsia"/>
          <w:color w:val="auto"/>
          <w:highlight w:val="none"/>
        </w:rPr>
      </w:pPr>
      <w:r>
        <w:rPr>
          <w:rFonts w:hint="eastAsia"/>
          <w:color w:val="auto"/>
          <w:highlight w:val="none"/>
          <w:lang w:val="en-US" w:eastAsia="zh-CN"/>
        </w:rPr>
        <w:t>1、</w:t>
      </w:r>
      <w:r>
        <w:rPr>
          <w:rFonts w:hint="eastAsia"/>
          <w:color w:val="auto"/>
          <w:highlight w:val="none"/>
        </w:rPr>
        <w:t>社会大局安全稳定。</w:t>
      </w:r>
      <w:r>
        <w:rPr>
          <w:rFonts w:hint="eastAsia"/>
          <w:color w:val="auto"/>
          <w:highlight w:val="none"/>
          <w:lang w:val="en-US" w:eastAsia="zh-CN"/>
        </w:rPr>
        <w:t>2、</w:t>
      </w:r>
      <w:r>
        <w:rPr>
          <w:rFonts w:hint="eastAsia"/>
          <w:color w:val="auto"/>
          <w:highlight w:val="none"/>
        </w:rPr>
        <w:t>经济持续健康发展。</w:t>
      </w:r>
      <w:r>
        <w:rPr>
          <w:rFonts w:hint="eastAsia"/>
          <w:color w:val="auto"/>
          <w:highlight w:val="none"/>
          <w:lang w:val="en-US" w:eastAsia="zh-CN"/>
        </w:rPr>
        <w:t>3、</w:t>
      </w:r>
      <w:r>
        <w:rPr>
          <w:rFonts w:hint="eastAsia"/>
          <w:color w:val="auto"/>
          <w:highlight w:val="none"/>
        </w:rPr>
        <w:t>改革开放稳步推进。</w:t>
      </w:r>
      <w:r>
        <w:rPr>
          <w:rFonts w:hint="eastAsia"/>
          <w:color w:val="auto"/>
          <w:highlight w:val="none"/>
          <w:lang w:val="en-US" w:eastAsia="zh-CN"/>
        </w:rPr>
        <w:t>4、</w:t>
      </w:r>
      <w:r>
        <w:rPr>
          <w:rFonts w:hint="eastAsia"/>
          <w:color w:val="auto"/>
          <w:highlight w:val="none"/>
        </w:rPr>
        <w:t>民生福祉全面提升。</w:t>
      </w:r>
      <w:r>
        <w:rPr>
          <w:rFonts w:hint="eastAsia"/>
          <w:color w:val="auto"/>
          <w:highlight w:val="none"/>
          <w:lang w:val="en-US" w:eastAsia="zh-CN"/>
        </w:rPr>
        <w:t>5、</w:t>
      </w:r>
      <w:r>
        <w:rPr>
          <w:rFonts w:hint="eastAsia"/>
          <w:color w:val="auto"/>
          <w:highlight w:val="none"/>
        </w:rPr>
        <w:t>区域城乡协调并进。</w:t>
      </w:r>
      <w:r>
        <w:rPr>
          <w:rFonts w:hint="eastAsia"/>
          <w:color w:val="auto"/>
          <w:highlight w:val="none"/>
          <w:lang w:val="en-US" w:eastAsia="zh-CN"/>
        </w:rPr>
        <w:t>6、</w:t>
      </w:r>
      <w:r>
        <w:rPr>
          <w:rFonts w:hint="eastAsia"/>
          <w:color w:val="auto"/>
          <w:highlight w:val="none"/>
        </w:rPr>
        <w:t>文明程度显著提高。</w:t>
      </w:r>
    </w:p>
    <w:p>
      <w:pPr>
        <w:pStyle w:val="6"/>
        <w:bidi w:val="0"/>
        <w:rPr>
          <w:rFonts w:hint="eastAsia"/>
          <w:color w:val="auto"/>
          <w:highlight w:val="none"/>
        </w:rPr>
      </w:pPr>
      <w:r>
        <w:rPr>
          <w:rFonts w:hint="eastAsia"/>
          <w:color w:val="auto"/>
          <w:highlight w:val="none"/>
          <w:lang w:val="en-US" w:eastAsia="zh-CN"/>
        </w:rPr>
        <w:t>7、</w:t>
      </w:r>
      <w:r>
        <w:rPr>
          <w:rFonts w:hint="eastAsia"/>
          <w:color w:val="auto"/>
          <w:highlight w:val="none"/>
        </w:rPr>
        <w:t>生态建设成果丰硕。国土空间开发保护格局全面优化，统筹山水林田湖草沙一体化保护和修复机制基本形成，绿色生产方式和生活方式加快形成，能源资源配置更加合理、利用效率大幅提高，主要污染物排放总量有效控制，现代环境治理体系加快构建，城乡人居环境明显改善，始终天蓝、地绿、水清，生态全屏障和生态文明示范区建设取得明显成效，我区仍是世界上生态环境最好的地区之一，国家生态文明高地建设取得重大进展。</w:t>
      </w:r>
    </w:p>
    <w:p>
      <w:pPr>
        <w:pStyle w:val="6"/>
        <w:bidi w:val="0"/>
        <w:rPr>
          <w:rFonts w:hint="eastAsia"/>
          <w:color w:val="auto"/>
          <w:highlight w:val="none"/>
        </w:rPr>
      </w:pPr>
      <w:r>
        <w:rPr>
          <w:rFonts w:hint="eastAsia"/>
          <w:color w:val="auto"/>
          <w:highlight w:val="none"/>
          <w:lang w:val="en-US" w:eastAsia="zh-CN"/>
        </w:rPr>
        <w:t>8、</w:t>
      </w:r>
      <w:r>
        <w:rPr>
          <w:rFonts w:hint="eastAsia"/>
          <w:color w:val="auto"/>
          <w:highlight w:val="none"/>
        </w:rPr>
        <w:t>国家安全保障有力。</w:t>
      </w:r>
    </w:p>
    <w:p>
      <w:pPr>
        <w:pStyle w:val="6"/>
        <w:bidi w:val="0"/>
        <w:rPr>
          <w:rFonts w:hint="eastAsia"/>
          <w:color w:val="auto"/>
          <w:highlight w:val="none"/>
        </w:rPr>
      </w:pPr>
      <w:r>
        <w:rPr>
          <w:rFonts w:hint="eastAsia"/>
          <w:color w:val="auto"/>
          <w:highlight w:val="none"/>
        </w:rPr>
        <w:t>二、相关举措</w:t>
      </w:r>
    </w:p>
    <w:p>
      <w:pPr>
        <w:pStyle w:val="6"/>
        <w:bidi w:val="0"/>
        <w:rPr>
          <w:rFonts w:hint="eastAsia"/>
          <w:color w:val="auto"/>
          <w:highlight w:val="none"/>
        </w:rPr>
      </w:pPr>
      <w:r>
        <w:rPr>
          <w:rFonts w:hint="eastAsia"/>
          <w:color w:val="auto"/>
          <w:sz w:val="24"/>
          <w:highlight w:val="none"/>
        </w:rPr>
        <w:t>———</w:t>
      </w:r>
      <w:r>
        <w:rPr>
          <w:rFonts w:hint="eastAsia"/>
          <w:color w:val="auto"/>
          <w:highlight w:val="none"/>
          <w:lang w:val="en-US" w:eastAsia="zh-CN"/>
        </w:rPr>
        <w:t>统筹协调发展 构建区域发展新格局。</w:t>
      </w:r>
      <w:r>
        <w:rPr>
          <w:rFonts w:hint="eastAsia"/>
          <w:color w:val="auto"/>
          <w:highlight w:val="none"/>
        </w:rPr>
        <w:t>打造三小时经济圈</w:t>
      </w:r>
      <w:r>
        <w:rPr>
          <w:rFonts w:hint="eastAsia"/>
          <w:color w:val="auto"/>
          <w:highlight w:val="none"/>
          <w:lang w:eastAsia="zh-CN"/>
        </w:rPr>
        <w:t>：</w:t>
      </w:r>
      <w:r>
        <w:rPr>
          <w:rFonts w:hint="eastAsia"/>
          <w:color w:val="auto"/>
          <w:highlight w:val="none"/>
        </w:rPr>
        <w:t>充分发挥综合立体交通互联互通优势，立足区域资源禀赋、产业基础、市场潜力、技术条件等因素，大力破除体制机制壁垒，着力促进设施联通、产业协同、要素流动，以拉萨为中心，辐射日喀则、山南、林芝、那曲，促进拉萨山南经济一体化，发挥日喀则面向南亚开放前沿地区优势，将林芝建成全国知名的生态旅游、休闲度假和养生基地，提升那曲在藏北地区重要节点城市地位，打造西部地区重要经济圈，发挥其对全区经济社会发展的重要支撑和引领作用。</w:t>
      </w:r>
    </w:p>
    <w:p>
      <w:pPr>
        <w:pStyle w:val="27"/>
        <w:bidi w:val="0"/>
        <w:rPr>
          <w:rFonts w:hint="eastAsia"/>
          <w:color w:val="auto"/>
          <w:highlight w:val="none"/>
        </w:rPr>
      </w:pPr>
      <w:r>
        <w:rPr>
          <w:rFonts w:hint="eastAsia"/>
          <w:color w:val="auto"/>
          <w:highlight w:val="none"/>
          <w:lang w:val="en-US" w:eastAsia="zh-CN"/>
        </w:rPr>
        <w:t xml:space="preserve">表2.2-5  </w:t>
      </w:r>
      <w:r>
        <w:rPr>
          <w:color w:val="auto"/>
          <w:highlight w:val="none"/>
          <w:lang w:val="en-US" w:eastAsia="zh-CN"/>
        </w:rPr>
        <w:t>一核一圈两带三区”发展新格局</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2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82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一核：拉萨核心增长极</w:t>
            </w:r>
          </w:p>
          <w:p>
            <w:pPr>
              <w:pStyle w:val="29"/>
              <w:keepNext w:val="0"/>
              <w:keepLines w:val="0"/>
              <w:suppressLineNumbers w:val="0"/>
              <w:bidi w:val="0"/>
              <w:spacing w:before="0" w:beforeAutospacing="0" w:after="0" w:afterAutospacing="0"/>
              <w:ind w:left="0" w:right="0"/>
              <w:jc w:val="both"/>
              <w:rPr>
                <w:rFonts w:hint="default"/>
                <w:b/>
                <w:bCs/>
                <w:color w:val="auto"/>
                <w:highlight w:val="none"/>
                <w:lang w:val="en-US" w:eastAsia="zh-CN"/>
              </w:rPr>
            </w:pPr>
            <w:r>
              <w:rPr>
                <w:rFonts w:hint="default"/>
                <w:b/>
                <w:bCs/>
                <w:color w:val="auto"/>
                <w:highlight w:val="none"/>
                <w:lang w:val="en-US" w:eastAsia="zh-CN"/>
              </w:rPr>
              <w:t>一圈：以拉萨为中心，辐射日喀则、山南、林芝、那曲的三小时经济圈</w:t>
            </w:r>
          </w:p>
          <w:p>
            <w:pPr>
              <w:pStyle w:val="29"/>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两带：边境沿线发展带、铁路经济带</w:t>
            </w:r>
          </w:p>
          <w:p>
            <w:pPr>
              <w:pStyle w:val="29"/>
              <w:keepNext w:val="0"/>
              <w:keepLines w:val="0"/>
              <w:suppressLineNumbers w:val="0"/>
              <w:bidi w:val="0"/>
              <w:spacing w:before="0" w:beforeAutospacing="0" w:after="0" w:afterAutospacing="0"/>
              <w:ind w:left="0" w:right="0"/>
              <w:jc w:val="both"/>
              <w:rPr>
                <w:rFonts w:hint="default"/>
                <w:color w:val="auto"/>
                <w:highlight w:val="none"/>
              </w:rPr>
            </w:pPr>
            <w:r>
              <w:rPr>
                <w:rFonts w:hint="default"/>
                <w:color w:val="auto"/>
                <w:highlight w:val="none"/>
                <w:lang w:val="en-US" w:eastAsia="zh-CN"/>
              </w:rPr>
              <w:t>三区：藏中南重点开发区、藏东清洁能源开发区、藏西北生态涵养区</w:t>
            </w:r>
          </w:p>
        </w:tc>
      </w:tr>
    </w:tbl>
    <w:p>
      <w:pPr>
        <w:pStyle w:val="6"/>
        <w:bidi w:val="0"/>
        <w:rPr>
          <w:rFonts w:hint="eastAsia"/>
          <w:color w:val="auto"/>
          <w:highlight w:val="none"/>
          <w:lang w:eastAsia="zh-CN"/>
        </w:rPr>
      </w:pPr>
      <w:r>
        <w:rPr>
          <w:rFonts w:hint="eastAsia"/>
          <w:color w:val="auto"/>
          <w:sz w:val="24"/>
          <w:highlight w:val="none"/>
        </w:rPr>
        <w:t>———</w:t>
      </w:r>
      <w:r>
        <w:rPr>
          <w:rFonts w:hint="eastAsia"/>
          <w:color w:val="auto"/>
          <w:highlight w:val="none"/>
        </w:rPr>
        <w:t>推动七大产业高质量发展</w:t>
      </w: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优化产业空间布局</w:t>
      </w:r>
      <w:r>
        <w:rPr>
          <w:rFonts w:hint="eastAsia"/>
          <w:color w:val="auto"/>
          <w:highlight w:val="none"/>
          <w:lang w:eastAsia="zh-CN"/>
        </w:rPr>
        <w:t>：根据城镇空间、生态空间、农业空间总体布局，综合资源优势、区位条件和产业发展基础，立足不同区域发展定位，发挥比较优势，因地制宜发展特色产业……。着重强化拉萨在全区经济社会发展的引擎和核心增长极作用，形成竞争优势明显的全区产业最大聚集区，充分挖掘日喀则、昌都、林芝、山南、那曲、阿里等地资源禀赋，大力发展特色产业，推动区域间产业向差异化、特色化、集群化方向协调发展，形成若干特色产业集群。</w:t>
      </w:r>
    </w:p>
    <w:p>
      <w:pPr>
        <w:pStyle w:val="27"/>
        <w:bidi w:val="0"/>
        <w:rPr>
          <w:rFonts w:hint="default"/>
          <w:color w:val="auto"/>
          <w:highlight w:val="none"/>
          <w:lang w:val="en-US" w:eastAsia="zh-CN"/>
        </w:rPr>
      </w:pPr>
      <w:r>
        <w:rPr>
          <w:rFonts w:hint="eastAsia"/>
          <w:color w:val="auto"/>
          <w:highlight w:val="none"/>
          <w:lang w:val="en-US" w:eastAsia="zh-CN"/>
        </w:rPr>
        <w:t xml:space="preserve">表2.2-6  </w:t>
      </w:r>
      <w:r>
        <w:rPr>
          <w:color w:val="auto"/>
          <w:highlight w:val="none"/>
          <w:lang w:val="en-US" w:eastAsia="zh-CN"/>
        </w:rPr>
        <w:t>产业空间布局</w:t>
      </w:r>
    </w:p>
    <w:tbl>
      <w:tblPr>
        <w:tblStyle w:val="24"/>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909"/>
        <w:gridCol w:w="4269"/>
        <w:gridCol w:w="33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地（市）</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发展定位 </w:t>
            </w:r>
          </w:p>
        </w:tc>
        <w:tc>
          <w:tcPr>
            <w:tcW w:w="19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主要产业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拉萨 </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国际文化旅游城市、全区金融商贸物流中心、净土健康产业基地</w:t>
            </w:r>
          </w:p>
        </w:tc>
        <w:tc>
          <w:tcPr>
            <w:tcW w:w="19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旅游文化、净土健康、节能环保、生物医药、金融、商贸物流、高新数字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日喀则</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面向南亚开放合作先导区、环喜马拉雅旅游核心区（中尼文化旅游园区）、生态种养业发展引领区</w:t>
            </w:r>
          </w:p>
        </w:tc>
        <w:tc>
          <w:tcPr>
            <w:tcW w:w="19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有机种养加业、旅游文化、民族手工业、生态环保、边贸物流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昌都 </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接续能源基地、大香格里拉•茶马古道文化旅游核心体验区</w:t>
            </w:r>
          </w:p>
        </w:tc>
        <w:tc>
          <w:tcPr>
            <w:tcW w:w="19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清洁能源、特色农牧业、旅游文化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lang w:val="en-US" w:eastAsia="zh-CN"/>
              </w:rPr>
              <w:t xml:space="preserve">林芝 </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lang w:val="en-US" w:eastAsia="zh-CN"/>
              </w:rPr>
              <w:t>国际生态旅游区、清洁能源基地、高原生物产业基地</w:t>
            </w:r>
          </w:p>
        </w:tc>
        <w:tc>
          <w:tcPr>
            <w:tcW w:w="19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lang w:val="en-US" w:eastAsia="zh-CN"/>
              </w:rPr>
              <w:t>生态旅游文化、清洁能源、生物产业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山南 </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清洁能源基地、藏源文化旅游基地、幸福家园区域协同发展示范区</w:t>
            </w:r>
          </w:p>
        </w:tc>
        <w:tc>
          <w:tcPr>
            <w:tcW w:w="19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旅游文化、清洁能源、高原种养业、建材、民族手工业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那曲 </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高原生态畜牧业基地、羌塘草原文化生态旅游区 </w:t>
            </w:r>
          </w:p>
        </w:tc>
        <w:tc>
          <w:tcPr>
            <w:tcW w:w="19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农牧业、旅游文化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阿里 </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冈底斯国际旅游合作区、藏西边贸物流基地 </w:t>
            </w:r>
          </w:p>
        </w:tc>
        <w:tc>
          <w:tcPr>
            <w:tcW w:w="19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旅游文化、农牧业、边贸物流</w:t>
            </w:r>
          </w:p>
        </w:tc>
      </w:tr>
    </w:tbl>
    <w:p>
      <w:pPr>
        <w:pStyle w:val="6"/>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巩固提升传统产业</w:t>
      </w:r>
      <w:r>
        <w:rPr>
          <w:rFonts w:hint="eastAsia"/>
          <w:color w:val="auto"/>
          <w:highlight w:val="none"/>
          <w:lang w:eastAsia="zh-CN"/>
        </w:rPr>
        <w:t>：</w:t>
      </w:r>
      <w:r>
        <w:rPr>
          <w:rFonts w:hint="eastAsia"/>
          <w:color w:val="auto"/>
          <w:highlight w:val="none"/>
        </w:rPr>
        <w:t>推动特色旅游文化产业全域发展。坚持以文塑旅、以旅彰文，推动文化和旅游深度融合，持续推进文创西藏区域公用品牌建设，推动文化旅游创意园区规范发展、提档升级，加快“中国西藏特色文化产业之窗”建设，大力培育文化产业新业态，“十四五”时期文化产业产值年均增速15%以上。坚持“特色、高端、精品”定位，加快推进重要世界旅游目的地和全域旅游示范区建设，全力推进G219沿边大通道、高原丝绸之路、拉萨国际文化旅游城市</w:t>
      </w:r>
      <w:r>
        <w:rPr>
          <w:rFonts w:hint="eastAsia"/>
          <w:b/>
          <w:bCs/>
          <w:color w:val="auto"/>
          <w:highlight w:val="none"/>
          <w:u w:val="single"/>
        </w:rPr>
        <w:t>、林芝生态旅游、冈底斯国际旅游合作等建设，加大旅游文化基础设施补短板力度，大力发展乡村旅游</w:t>
      </w:r>
      <w:r>
        <w:rPr>
          <w:rFonts w:hint="eastAsia"/>
          <w:b w:val="0"/>
          <w:bCs w:val="0"/>
          <w:color w:val="auto"/>
          <w:highlight w:val="none"/>
          <w:u w:val="none"/>
        </w:rPr>
        <w:t>，创新有利于农牧民广泛深入参与的业态模式。</w:t>
      </w:r>
      <w:r>
        <w:rPr>
          <w:rFonts w:hint="eastAsia"/>
          <w:color w:val="auto"/>
          <w:highlight w:val="none"/>
        </w:rPr>
        <w:t>强化旅游公共服务能力，推动智慧旅游发展，优化提升游客服务中心功能，提升驿站、民宿等标准化水平，建设自驾车营地、观景台等基础设施和公共服务设施，创新旅游营销模式，加强区内外旅游合作，探索联合打造跨省（区、市）精品旅游线路，推动旅游文化产业优质全域全时发展。</w:t>
      </w:r>
    </w:p>
    <w:p>
      <w:pPr>
        <w:pStyle w:val="6"/>
        <w:bidi w:val="0"/>
        <w:rPr>
          <w:rFonts w:hint="eastAsia"/>
          <w:b/>
          <w:bCs/>
          <w:color w:val="auto"/>
          <w:highlight w:val="none"/>
        </w:rPr>
      </w:pPr>
      <w:r>
        <w:rPr>
          <w:rFonts w:hint="eastAsia"/>
          <w:b/>
          <w:bCs/>
          <w:color w:val="auto"/>
          <w:highlight w:val="none"/>
          <w:lang w:val="en-US" w:eastAsia="zh-CN"/>
        </w:rPr>
        <w:t>3、</w:t>
      </w:r>
      <w:r>
        <w:rPr>
          <w:rFonts w:hint="eastAsia"/>
          <w:b/>
          <w:bCs/>
          <w:color w:val="auto"/>
          <w:highlight w:val="none"/>
        </w:rPr>
        <w:t>本次规划与该《纲要》的符合性分析</w:t>
      </w:r>
    </w:p>
    <w:p>
      <w:pPr>
        <w:pStyle w:val="6"/>
        <w:bidi w:val="0"/>
        <w:rPr>
          <w:rFonts w:hint="eastAsia" w:eastAsia="宋体"/>
          <w:color w:val="70AD47" w:themeColor="accent6"/>
          <w:highlight w:val="none"/>
          <w:lang w:eastAsia="zh-CN"/>
          <w14:textFill>
            <w14:solidFill>
              <w14:schemeClr w14:val="accent6"/>
            </w14:solidFill>
          </w14:textFill>
        </w:rPr>
      </w:pPr>
      <w:r>
        <w:rPr>
          <w:rFonts w:hint="eastAsia"/>
          <w:color w:val="70AD47" w:themeColor="accent6"/>
          <w:highlight w:val="none"/>
          <w:lang w:val="en-US" w:eastAsia="zh-CN"/>
          <w14:textFill>
            <w14:solidFill>
              <w14:schemeClr w14:val="accent6"/>
            </w14:solidFill>
          </w14:textFill>
        </w:rPr>
        <w:t>《林芝市全域旅游发展规划（2018-2025年）》规划的发展战略为</w:t>
      </w:r>
      <w:r>
        <w:rPr>
          <w:rFonts w:hint="eastAsia"/>
          <w:color w:val="70AD47" w:themeColor="accent6"/>
          <w:highlight w:val="none"/>
          <w14:textFill>
            <w14:solidFill>
              <w14:schemeClr w14:val="accent6"/>
            </w14:solidFill>
          </w14:textFill>
        </w:rPr>
        <w:t>从景区到产业，逐步培育全域旅游核心竞争力推动泛景区化旅游目的地建设，发展15个泛景区化旅游目的地，形成“一主轴三环线”旅游发展带，引导旅游产业集聚。从配套到服务，形成全域旅游体验链</w:t>
      </w:r>
      <w:r>
        <w:rPr>
          <w:rFonts w:hint="eastAsia"/>
          <w:color w:val="70AD47" w:themeColor="accent6"/>
          <w:highlight w:val="none"/>
          <w:lang w:eastAsia="zh-CN"/>
          <w14:textFill>
            <w14:solidFill>
              <w14:schemeClr w14:val="accent6"/>
            </w14:solidFill>
          </w14:textFill>
        </w:rPr>
        <w:t>，</w:t>
      </w:r>
      <w:r>
        <w:rPr>
          <w:rFonts w:hint="eastAsia"/>
          <w:color w:val="70AD47" w:themeColor="accent6"/>
          <w:highlight w:val="none"/>
          <w14:textFill>
            <w14:solidFill>
              <w14:schemeClr w14:val="accent6"/>
            </w14:solidFill>
          </w14:textFill>
        </w:rPr>
        <w:t>加快公共服务体系建设，优化服务供给，形成优质旅游体验链。从旅游业到城镇化，实现城旅共荣</w:t>
      </w:r>
      <w:r>
        <w:rPr>
          <w:rFonts w:hint="eastAsia"/>
          <w:color w:val="70AD47" w:themeColor="accent6"/>
          <w:highlight w:val="none"/>
          <w:lang w:eastAsia="zh-CN"/>
          <w14:textFill>
            <w14:solidFill>
              <w14:schemeClr w14:val="accent6"/>
            </w14:solidFill>
          </w14:textFill>
        </w:rPr>
        <w:t>，推动旅游与城市一体化发展。</w:t>
      </w:r>
    </w:p>
    <w:p>
      <w:pPr>
        <w:pStyle w:val="6"/>
        <w:bidi w:val="0"/>
        <w:rPr>
          <w:color w:val="auto"/>
          <w:highlight w:val="none"/>
        </w:rPr>
      </w:pPr>
      <w:r>
        <w:rPr>
          <w:rFonts w:hint="eastAsia"/>
          <w:color w:val="auto"/>
          <w:highlight w:val="none"/>
          <w:lang w:val="en-US" w:eastAsia="zh-CN"/>
        </w:rPr>
        <w:t>林芝市位于</w:t>
      </w:r>
      <w:r>
        <w:rPr>
          <w:rFonts w:hint="eastAsia"/>
          <w:color w:val="auto"/>
          <w:highlight w:val="none"/>
        </w:rPr>
        <w:t>《纲要》发展新格局</w:t>
      </w:r>
      <w:r>
        <w:rPr>
          <w:rFonts w:hint="eastAsia"/>
          <w:color w:val="auto"/>
          <w:highlight w:val="none"/>
          <w:lang w:val="en-US" w:eastAsia="zh-CN"/>
        </w:rPr>
        <w:t>中的</w:t>
      </w:r>
      <w:r>
        <w:rPr>
          <w:rFonts w:hint="eastAsia"/>
          <w:color w:val="auto"/>
          <w:highlight w:val="none"/>
        </w:rPr>
        <w:t>三小时经济圈</w:t>
      </w:r>
      <w:r>
        <w:rPr>
          <w:rFonts w:hint="eastAsia"/>
          <w:color w:val="auto"/>
          <w:highlight w:val="none"/>
          <w:lang w:eastAsia="zh-CN"/>
        </w:rPr>
        <w:t>，</w:t>
      </w:r>
      <w:r>
        <w:rPr>
          <w:rFonts w:hint="eastAsia"/>
          <w:color w:val="auto"/>
          <w:highlight w:val="none"/>
          <w:lang w:val="en-US" w:eastAsia="zh-CN"/>
        </w:rPr>
        <w:t>符合</w:t>
      </w:r>
      <w:r>
        <w:rPr>
          <w:rFonts w:hint="eastAsia"/>
          <w:color w:val="auto"/>
          <w:highlight w:val="none"/>
        </w:rPr>
        <w:t>《纲要》</w:t>
      </w:r>
      <w:r>
        <w:rPr>
          <w:rFonts w:hint="eastAsia"/>
          <w:color w:val="auto"/>
          <w:highlight w:val="none"/>
          <w:lang w:val="en-US" w:eastAsia="zh-CN"/>
        </w:rPr>
        <w:t>中对林芝市“国际生态旅游区、清洁能源基地、高原生物产业基地”的产业空间布局定位及主要产业发展方向。</w:t>
      </w:r>
      <w:r>
        <w:rPr>
          <w:rFonts w:hint="eastAsia"/>
          <w:color w:val="auto"/>
          <w:highlight w:val="none"/>
        </w:rPr>
        <w:t>本次规划目标的制定正是以《纲要》为指导，围绕《纲要》目标，践行《纲要》措施，并遵守及落实纲要中提出的生态环境保护及生态文明建设要求及措施，本规划符合《纲要》要求。</w:t>
      </w:r>
    </w:p>
    <w:p>
      <w:pPr>
        <w:pStyle w:val="2"/>
        <w:bidi w:val="0"/>
        <w:rPr>
          <w:color w:val="auto"/>
          <w:highlight w:val="none"/>
        </w:rPr>
      </w:pPr>
      <w:r>
        <w:rPr>
          <w:rFonts w:hint="eastAsia"/>
          <w:color w:val="auto"/>
          <w:highlight w:val="none"/>
          <w:lang w:val="en-US" w:eastAsia="zh-CN"/>
        </w:rPr>
        <w:t>2.2.3.3与</w:t>
      </w:r>
      <w:r>
        <w:rPr>
          <w:rFonts w:hint="eastAsia"/>
          <w:color w:val="auto"/>
          <w:highlight w:val="none"/>
        </w:rPr>
        <w:t>《西藏自治区主体功能区规划》（藏政发</w:t>
      </w:r>
      <w:r>
        <w:rPr>
          <w:rFonts w:hint="eastAsia"/>
          <w:color w:val="auto"/>
          <w:highlight w:val="none"/>
          <w:lang w:val="en-US" w:eastAsia="zh-CN"/>
        </w:rPr>
        <w:t>[</w:t>
      </w:r>
      <w:r>
        <w:rPr>
          <w:rFonts w:hint="eastAsia"/>
          <w:color w:val="auto"/>
          <w:highlight w:val="none"/>
        </w:rPr>
        <w:t>2014</w:t>
      </w:r>
      <w:r>
        <w:rPr>
          <w:rFonts w:hint="eastAsia"/>
          <w:color w:val="auto"/>
          <w:highlight w:val="none"/>
          <w:lang w:val="en-US" w:eastAsia="zh-CN"/>
        </w:rPr>
        <w:t>]</w:t>
      </w:r>
      <w:r>
        <w:rPr>
          <w:rFonts w:hint="eastAsia"/>
          <w:color w:val="auto"/>
          <w:highlight w:val="none"/>
        </w:rPr>
        <w:t>108号）</w:t>
      </w:r>
      <w:r>
        <w:rPr>
          <w:rFonts w:hint="eastAsia"/>
          <w:color w:val="auto"/>
          <w:highlight w:val="none"/>
          <w:lang w:val="en-US" w:eastAsia="zh-CN"/>
        </w:rPr>
        <w:t>的</w:t>
      </w:r>
      <w:r>
        <w:rPr>
          <w:rFonts w:hint="eastAsia"/>
          <w:b/>
          <w:color w:val="auto"/>
          <w:sz w:val="24"/>
          <w:highlight w:val="none"/>
        </w:rPr>
        <w:t>符合性分析</w:t>
      </w:r>
    </w:p>
    <w:p>
      <w:pPr>
        <w:pStyle w:val="6"/>
        <w:bidi w:val="0"/>
        <w:rPr>
          <w:rFonts w:hint="eastAsia"/>
          <w:color w:val="auto"/>
          <w:highlight w:val="none"/>
        </w:rPr>
      </w:pPr>
      <w:r>
        <w:rPr>
          <w:rFonts w:hint="eastAsia"/>
          <w:color w:val="auto"/>
          <w:highlight w:val="none"/>
          <w:lang w:val="en-US" w:eastAsia="zh-CN"/>
        </w:rPr>
        <w:t>根据《西藏自治区主体功能区划》，林芝市作为国家层面重点开发区域-尼洋河中下游城镇，功能定位：全区重要的经济发展中心和生态旅游中心，重要的特色农林业、藏药业、林副产品加工业、天然饮用水产业发展基地，连接拉萨区域城镇和辐射带动藏东区域的主要通道。</w:t>
      </w:r>
      <w:r>
        <w:rPr>
          <w:rFonts w:hint="eastAsia"/>
          <w:color w:val="auto"/>
          <w:highlight w:val="none"/>
          <w:lang w:eastAsia="zh-CN"/>
        </w:rPr>
        <w:t>《</w:t>
      </w:r>
      <w:r>
        <w:rPr>
          <w:rFonts w:hint="eastAsia"/>
          <w:color w:val="auto"/>
          <w:highlight w:val="none"/>
        </w:rPr>
        <w:t>西藏自治区主体功能区划》按开发方式将西藏分为重点开发区域、限制开发区域和禁止开发区域；按开发内容分为城市化地区、农产品主产区和重点生态功能区。</w:t>
      </w:r>
    </w:p>
    <w:p>
      <w:pPr>
        <w:pStyle w:val="6"/>
        <w:bidi w:val="0"/>
        <w:jc w:val="left"/>
        <w:rPr>
          <w:rFonts w:hint="eastAsia"/>
          <w:color w:val="auto"/>
          <w:highlight w:val="none"/>
        </w:rPr>
      </w:pPr>
      <w:r>
        <w:rPr>
          <w:rFonts w:hint="eastAsia"/>
          <w:color w:val="auto"/>
          <w:highlight w:val="none"/>
        </w:rPr>
        <w:t>本规划以生态环境保护为前提，通过合理规划布局区域旅游资源，发展生态旅游。环评建议在规划实施过程中严格按照功能定位和开发方向进行旅游业开发建设，开发建设过程中保护好生态环境，对违反西藏自治区主体功能区规划发展方向的旅游开发项目，按照相关规定和条例的要求进行整治。规划实施阶段进一步进行核实，禁止开发区域内建设。并控制在国家生态功能区及省级重点功能区建设项目性质与规模，在规划实施期间不破坏生态环境，并做好生态环境保护。</w:t>
      </w:r>
    </w:p>
    <w:p>
      <w:pPr>
        <w:pStyle w:val="6"/>
        <w:bidi w:val="0"/>
        <w:jc w:val="left"/>
        <w:rPr>
          <w:rFonts w:hint="eastAsia"/>
          <w:color w:val="auto"/>
          <w:highlight w:val="none"/>
        </w:rPr>
      </w:pPr>
      <w:r>
        <w:rPr>
          <w:rFonts w:hint="eastAsia"/>
          <w:color w:val="auto"/>
          <w:highlight w:val="none"/>
        </w:rPr>
        <w:t>在严格执行本环评提出的对策措施及调整建议后，“</w:t>
      </w:r>
      <w:r>
        <w:rPr>
          <w:rFonts w:hint="eastAsia"/>
          <w:color w:val="auto"/>
          <w:highlight w:val="none"/>
          <w:lang w:val="en-US" w:eastAsia="zh-CN"/>
        </w:rPr>
        <w:t>林芝市全域旅游发展规划（2018~2025年）</w:t>
      </w:r>
      <w:r>
        <w:rPr>
          <w:rFonts w:hint="eastAsia"/>
          <w:color w:val="auto"/>
          <w:highlight w:val="none"/>
        </w:rPr>
        <w:t>”</w:t>
      </w:r>
      <w:r>
        <w:rPr>
          <w:rFonts w:hint="eastAsia"/>
          <w:color w:val="auto"/>
          <w:highlight w:val="none"/>
          <w:lang w:val="en-US" w:eastAsia="zh-CN"/>
        </w:rPr>
        <w:t>与</w:t>
      </w:r>
      <w:r>
        <w:rPr>
          <w:rFonts w:hint="eastAsia"/>
          <w:color w:val="auto"/>
          <w:highlight w:val="none"/>
        </w:rPr>
        <w:t>《西藏自治区主体功能区规划》</w:t>
      </w:r>
      <w:r>
        <w:rPr>
          <w:rFonts w:hint="eastAsia"/>
          <w:color w:val="auto"/>
          <w:highlight w:val="none"/>
          <w:lang w:val="en-US" w:eastAsia="zh-CN"/>
        </w:rPr>
        <w:t>相</w:t>
      </w:r>
      <w:r>
        <w:rPr>
          <w:rFonts w:hint="eastAsia"/>
          <w:color w:val="auto"/>
          <w:highlight w:val="none"/>
        </w:rPr>
        <w:t>符合。</w:t>
      </w:r>
    </w:p>
    <w:p>
      <w:pPr>
        <w:pStyle w:val="2"/>
        <w:bidi w:val="0"/>
        <w:rPr>
          <w:rFonts w:hint="eastAsia"/>
          <w:color w:val="auto"/>
          <w:highlight w:val="none"/>
        </w:rPr>
      </w:pPr>
      <w:r>
        <w:rPr>
          <w:rFonts w:hint="eastAsia"/>
          <w:color w:val="auto"/>
          <w:highlight w:val="none"/>
          <w:lang w:val="en-US" w:eastAsia="zh-CN"/>
        </w:rPr>
        <w:t>2.2.3.4</w:t>
      </w:r>
      <w:r>
        <w:rPr>
          <w:rFonts w:hint="eastAsia"/>
          <w:color w:val="auto"/>
          <w:highlight w:val="none"/>
        </w:rPr>
        <w:t>与《西藏自治区生态功能区划》符合性分析</w:t>
      </w:r>
    </w:p>
    <w:p>
      <w:pPr>
        <w:pStyle w:val="6"/>
        <w:bidi w:val="0"/>
        <w:rPr>
          <w:color w:val="auto"/>
          <w:highlight w:val="none"/>
        </w:rPr>
      </w:pPr>
      <w:r>
        <w:rPr>
          <w:rFonts w:hint="eastAsia"/>
          <w:color w:val="auto"/>
          <w:highlight w:val="none"/>
        </w:rPr>
        <w:t>根据</w:t>
      </w:r>
      <w:r>
        <w:rPr>
          <w:color w:val="auto"/>
          <w:highlight w:val="none"/>
        </w:rPr>
        <w:t>《</w:t>
      </w:r>
      <w:r>
        <w:rPr>
          <w:rFonts w:hint="eastAsia"/>
          <w:color w:val="auto"/>
          <w:highlight w:val="none"/>
          <w:lang w:val="en-US" w:eastAsia="zh-CN"/>
        </w:rPr>
        <w:t>西藏</w:t>
      </w:r>
      <w:r>
        <w:rPr>
          <w:color w:val="auto"/>
          <w:highlight w:val="none"/>
        </w:rPr>
        <w:t>生态功能区划》，</w:t>
      </w:r>
      <w:r>
        <w:rPr>
          <w:rFonts w:hint="eastAsia"/>
          <w:color w:val="auto"/>
          <w:highlight w:val="none"/>
          <w:lang w:val="en-US" w:eastAsia="zh-CN"/>
        </w:rPr>
        <w:t>林芝市生态功能区包括I 藏东南山地热带雨林、季雨林生态区、II 藏东高山深谷温带半湿润常绿阔叶林—暗针叶林生态区</w:t>
      </w:r>
      <w:r>
        <w:rPr>
          <w:color w:val="auto"/>
          <w:highlight w:val="none"/>
        </w:rPr>
        <w:t>。</w:t>
      </w:r>
    </w:p>
    <w:p>
      <w:pPr>
        <w:pStyle w:val="27"/>
        <w:bidi w:val="0"/>
        <w:rPr>
          <w:color w:val="auto"/>
          <w:highlight w:val="none"/>
        </w:rPr>
      </w:pPr>
      <w:r>
        <w:rPr>
          <w:rFonts w:hint="eastAsia"/>
          <w:color w:val="auto"/>
          <w:highlight w:val="none"/>
        </w:rPr>
        <w:t>表</w:t>
      </w:r>
      <w:r>
        <w:rPr>
          <w:rFonts w:hint="eastAsia"/>
          <w:color w:val="auto"/>
          <w:highlight w:val="none"/>
          <w:lang w:val="en-US" w:eastAsia="zh-CN"/>
        </w:rPr>
        <w:t>2.2-7</w:t>
      </w:r>
      <w:r>
        <w:rPr>
          <w:rFonts w:hint="eastAsia"/>
          <w:color w:val="auto"/>
          <w:highlight w:val="none"/>
        </w:rPr>
        <w:t xml:space="preserve"> </w:t>
      </w:r>
      <w:r>
        <w:rPr>
          <w:rFonts w:hint="eastAsia"/>
          <w:color w:val="auto"/>
          <w:highlight w:val="none"/>
          <w:lang w:val="en-US" w:eastAsia="zh-CN"/>
        </w:rPr>
        <w:t>林芝市</w:t>
      </w:r>
      <w:r>
        <w:rPr>
          <w:rFonts w:hint="eastAsia"/>
          <w:color w:val="auto"/>
          <w:highlight w:val="none"/>
        </w:rPr>
        <w:t>生态功能类型区划分一览表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2110"/>
        <w:gridCol w:w="4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一级生态区</w:t>
            </w:r>
          </w:p>
        </w:tc>
        <w:tc>
          <w:tcPr>
            <w:tcW w:w="123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二级生态区</w:t>
            </w:r>
          </w:p>
        </w:tc>
        <w:tc>
          <w:tcPr>
            <w:tcW w:w="2898" w:type="pc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三级生态区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I  藏东南山地热带雨林、季雨林生态区</w:t>
            </w:r>
          </w:p>
        </w:tc>
        <w:tc>
          <w:tcPr>
            <w:tcW w:w="1238" w:type="pct"/>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I</w:t>
            </w:r>
            <w:r>
              <w:rPr>
                <w:rFonts w:hint="eastAsia"/>
                <w:color w:val="auto"/>
                <w:highlight w:val="none"/>
                <w:vertAlign w:val="subscript"/>
              </w:rPr>
              <w:t>1</w:t>
            </w:r>
            <w:r>
              <w:rPr>
                <w:rFonts w:hint="eastAsia"/>
                <w:color w:val="auto"/>
                <w:highlight w:val="none"/>
              </w:rPr>
              <w:t xml:space="preserve">  藏东南山地热带雨林、季雨林生态亚区</w:t>
            </w:r>
          </w:p>
        </w:tc>
        <w:tc>
          <w:tcPr>
            <w:tcW w:w="2898" w:type="pct"/>
            <w:vAlign w:val="center"/>
          </w:tcPr>
          <w:p>
            <w:pPr>
              <w:pStyle w:val="29"/>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restart"/>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II  藏东高山深谷温带半湿润常绿阔叶林—暗针叶林生态区</w:t>
            </w:r>
          </w:p>
        </w:tc>
        <w:tc>
          <w:tcPr>
            <w:tcW w:w="1238" w:type="pct"/>
            <w:vMerge w:val="restart"/>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II</w:t>
            </w:r>
            <w:r>
              <w:rPr>
                <w:rFonts w:hint="eastAsia"/>
                <w:color w:val="auto"/>
                <w:highlight w:val="none"/>
                <w:vertAlign w:val="subscript"/>
              </w:rPr>
              <w:t>1</w:t>
            </w:r>
            <w:r>
              <w:rPr>
                <w:rFonts w:hint="eastAsia"/>
                <w:color w:val="auto"/>
                <w:highlight w:val="none"/>
              </w:rPr>
              <w:t xml:space="preserve">  念青唐古拉山南翼常绿阔叶林、云冷杉林生态亚区</w:t>
            </w:r>
          </w:p>
        </w:tc>
        <w:tc>
          <w:tcPr>
            <w:tcW w:w="2898" w:type="pct"/>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II</w:t>
            </w:r>
            <w:r>
              <w:rPr>
                <w:rFonts w:hint="eastAsia"/>
                <w:color w:val="auto"/>
                <w:highlight w:val="none"/>
                <w:vertAlign w:val="subscript"/>
              </w:rPr>
              <w:t>1-3</w:t>
            </w:r>
            <w:r>
              <w:rPr>
                <w:rFonts w:hint="eastAsia"/>
                <w:color w:val="auto"/>
                <w:highlight w:val="none"/>
              </w:rPr>
              <w:t xml:space="preserve"> 雅鲁藏布大峡谷生物多样性保护生态功能区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1238"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2898" w:type="pct"/>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II</w:t>
            </w:r>
            <w:r>
              <w:rPr>
                <w:rFonts w:hint="eastAsia"/>
                <w:color w:val="auto"/>
                <w:highlight w:val="none"/>
                <w:vertAlign w:val="subscript"/>
              </w:rPr>
              <w:t>1-4</w:t>
            </w:r>
            <w:r>
              <w:rPr>
                <w:rFonts w:hint="eastAsia"/>
                <w:color w:val="auto"/>
                <w:highlight w:val="none"/>
              </w:rPr>
              <w:t xml:space="preserve"> 尼洋河下游宽谷特色农林产业与生态旅游生态功能区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1238"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2898" w:type="pct"/>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II</w:t>
            </w:r>
            <w:r>
              <w:rPr>
                <w:rFonts w:hint="eastAsia"/>
                <w:color w:val="auto"/>
                <w:highlight w:val="none"/>
                <w:vertAlign w:val="subscript"/>
              </w:rPr>
              <w:t>1-5</w:t>
            </w:r>
            <w:r>
              <w:rPr>
                <w:rFonts w:hint="eastAsia"/>
                <w:color w:val="auto"/>
                <w:highlight w:val="none"/>
              </w:rPr>
              <w:t xml:space="preserve"> 尼洋河中上游水源涵养和牧业适度发展生态功能区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1238"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2898" w:type="pct"/>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II</w:t>
            </w:r>
            <w:r>
              <w:rPr>
                <w:rFonts w:hint="eastAsia"/>
                <w:color w:val="auto"/>
                <w:highlight w:val="none"/>
                <w:vertAlign w:val="subscript"/>
              </w:rPr>
              <w:t>1-6</w:t>
            </w:r>
            <w:r>
              <w:rPr>
                <w:rFonts w:hint="eastAsia"/>
                <w:color w:val="auto"/>
                <w:highlight w:val="none"/>
              </w:rPr>
              <w:t xml:space="preserve"> 米林谷地农林业与土壤保持生态功能区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1238" w:type="pct"/>
            <w:vMerge w:val="continue"/>
            <w:vAlign w:val="center"/>
          </w:tcPr>
          <w:p>
            <w:pPr>
              <w:pStyle w:val="29"/>
              <w:keepNext w:val="0"/>
              <w:keepLines w:val="0"/>
              <w:suppressLineNumbers w:val="0"/>
              <w:bidi w:val="0"/>
              <w:spacing w:before="0" w:beforeAutospacing="0" w:after="0" w:afterAutospacing="0"/>
              <w:ind w:left="0" w:right="0"/>
              <w:rPr>
                <w:rFonts w:hint="eastAsia"/>
                <w:color w:val="auto"/>
                <w:highlight w:val="none"/>
              </w:rPr>
            </w:pPr>
          </w:p>
        </w:tc>
        <w:tc>
          <w:tcPr>
            <w:tcW w:w="2898" w:type="pct"/>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II</w:t>
            </w:r>
            <w:r>
              <w:rPr>
                <w:rFonts w:hint="eastAsia"/>
                <w:color w:val="auto"/>
                <w:highlight w:val="none"/>
                <w:vertAlign w:val="subscript"/>
              </w:rPr>
              <w:t>1-7</w:t>
            </w:r>
            <w:r>
              <w:rPr>
                <w:rFonts w:hint="eastAsia"/>
                <w:color w:val="auto"/>
                <w:highlight w:val="none"/>
              </w:rPr>
              <w:t xml:space="preserve"> 加查—朗县谷地农业与土壤保持生态功能区</w:t>
            </w:r>
          </w:p>
        </w:tc>
      </w:tr>
    </w:tbl>
    <w:p>
      <w:pPr>
        <w:pStyle w:val="6"/>
        <w:bidi w:val="0"/>
        <w:rPr>
          <w:color w:val="auto"/>
          <w:highlight w:val="none"/>
        </w:rPr>
      </w:pPr>
      <w:r>
        <w:rPr>
          <w:rFonts w:hint="eastAsia"/>
          <w:color w:val="auto"/>
          <w:highlight w:val="none"/>
        </w:rPr>
        <w:t>I藏东南山地热带雨林、季雨林生态区生态功能定位</w:t>
      </w:r>
      <w:r>
        <w:rPr>
          <w:rFonts w:hint="eastAsia"/>
          <w:color w:val="auto"/>
          <w:highlight w:val="none"/>
          <w:lang w:val="en-US" w:eastAsia="zh-CN"/>
        </w:rPr>
        <w:t>为</w:t>
      </w:r>
      <w:r>
        <w:rPr>
          <w:color w:val="auto"/>
          <w:sz w:val="24"/>
          <w:highlight w:val="none"/>
        </w:rPr>
        <w:t>生物多样性保护与水源涵养</w:t>
      </w:r>
      <w:r>
        <w:rPr>
          <w:rFonts w:hint="eastAsia"/>
          <w:color w:val="auto"/>
          <w:sz w:val="24"/>
          <w:highlight w:val="none"/>
          <w:lang w:eastAsia="zh-CN"/>
        </w:rPr>
        <w:t>，</w:t>
      </w:r>
      <w:r>
        <w:rPr>
          <w:rFonts w:hint="eastAsia"/>
          <w:color w:val="auto"/>
          <w:highlight w:val="none"/>
        </w:rPr>
        <w:t>发展与保护方向及对策：</w:t>
      </w:r>
      <w:r>
        <w:rPr>
          <w:color w:val="auto"/>
          <w:sz w:val="24"/>
          <w:highlight w:val="none"/>
        </w:rPr>
        <w:t>下游河谷地区为农业开发区</w:t>
      </w:r>
      <w:r>
        <w:rPr>
          <w:rFonts w:hint="eastAsia"/>
          <w:color w:val="auto"/>
          <w:sz w:val="24"/>
          <w:highlight w:val="none"/>
        </w:rPr>
        <w:t>，该区应加大</w:t>
      </w:r>
      <w:r>
        <w:rPr>
          <w:color w:val="auto"/>
          <w:sz w:val="24"/>
          <w:highlight w:val="none"/>
        </w:rPr>
        <w:t>自然保护区的</w:t>
      </w:r>
      <w:r>
        <w:rPr>
          <w:rFonts w:hint="eastAsia"/>
          <w:color w:val="auto"/>
          <w:sz w:val="24"/>
          <w:highlight w:val="none"/>
        </w:rPr>
        <w:t>建设和管理力度，适度发</w:t>
      </w:r>
      <w:r>
        <w:rPr>
          <w:color w:val="auto"/>
          <w:sz w:val="24"/>
          <w:highlight w:val="none"/>
        </w:rPr>
        <w:t>展生态旅游</w:t>
      </w:r>
      <w:r>
        <w:rPr>
          <w:rFonts w:hint="eastAsia"/>
          <w:color w:val="auto"/>
          <w:sz w:val="24"/>
          <w:highlight w:val="none"/>
          <w:lang w:eastAsia="zh-CN"/>
        </w:rPr>
        <w:t>。II1念青唐古拉山南翼常绿阔叶林、云冷杉林生态亚区</w:t>
      </w:r>
      <w:r>
        <w:rPr>
          <w:rFonts w:hint="eastAsia"/>
          <w:color w:val="auto"/>
          <w:highlight w:val="none"/>
        </w:rPr>
        <w:t>生态功能定位</w:t>
      </w:r>
      <w:r>
        <w:rPr>
          <w:rFonts w:hint="eastAsia"/>
          <w:color w:val="auto"/>
          <w:highlight w:val="none"/>
          <w:lang w:val="en-US" w:eastAsia="zh-CN"/>
        </w:rPr>
        <w:t>为</w:t>
      </w:r>
      <w:r>
        <w:rPr>
          <w:rFonts w:hint="eastAsia"/>
          <w:color w:val="auto"/>
          <w:highlight w:val="none"/>
        </w:rPr>
        <w:t>谷地特色农林业的发展与水源涵养。发展与保护方向及对策：河谷区特色农林产品生产与加工，生态旅游，山地天然林和生物多样性保护及山地灾害的预防。</w:t>
      </w:r>
    </w:p>
    <w:p>
      <w:pPr>
        <w:pStyle w:val="6"/>
        <w:bidi w:val="0"/>
        <w:jc w:val="left"/>
        <w:rPr>
          <w:rFonts w:hint="eastAsia"/>
          <w:color w:val="auto"/>
          <w:highlight w:val="none"/>
          <w:lang w:val="en-US" w:eastAsia="zh-CN"/>
        </w:rPr>
      </w:pPr>
      <w:r>
        <w:rPr>
          <w:rFonts w:hint="eastAsia"/>
          <w:color w:val="auto"/>
          <w:highlight w:val="none"/>
          <w:lang w:val="en-US" w:eastAsia="zh-CN"/>
        </w:rPr>
        <w:t>本规划为旅游规划，</w:t>
      </w:r>
      <w:r>
        <w:rPr>
          <w:rFonts w:hint="eastAsia"/>
          <w:color w:val="auto"/>
          <w:highlight w:val="none"/>
        </w:rPr>
        <w:t>规划以生态环境保护为前提，</w:t>
      </w:r>
      <w:r>
        <w:rPr>
          <w:color w:val="auto"/>
          <w:highlight w:val="none"/>
        </w:rPr>
        <w:t>在发展经济和旅游业的同时，</w:t>
      </w:r>
      <w:r>
        <w:rPr>
          <w:rFonts w:hint="eastAsia"/>
          <w:color w:val="auto"/>
          <w:highlight w:val="none"/>
        </w:rPr>
        <w:t>合理规划布局区域旅游资源</w:t>
      </w:r>
      <w:r>
        <w:rPr>
          <w:rFonts w:hint="eastAsia"/>
          <w:color w:val="auto"/>
          <w:highlight w:val="none"/>
          <w:lang w:eastAsia="zh-CN"/>
        </w:rPr>
        <w:t>、</w:t>
      </w:r>
      <w:r>
        <w:rPr>
          <w:color w:val="auto"/>
          <w:highlight w:val="none"/>
        </w:rPr>
        <w:t>加强生物多样性的保护，适度发展生态旅游。</w:t>
      </w:r>
      <w:r>
        <w:rPr>
          <w:rFonts w:hint="eastAsia"/>
          <w:color w:val="auto"/>
          <w:highlight w:val="none"/>
          <w:lang w:val="en-US" w:eastAsia="zh-CN"/>
        </w:rPr>
        <w:t>规划通过采取各类生态保护工程、污染治理工程，可有效改善区域景观环境，符合</w:t>
      </w:r>
      <w:r>
        <w:rPr>
          <w:color w:val="auto"/>
          <w:highlight w:val="none"/>
        </w:rPr>
        <w:t>《</w:t>
      </w:r>
      <w:r>
        <w:rPr>
          <w:rFonts w:hint="eastAsia"/>
          <w:color w:val="auto"/>
          <w:highlight w:val="none"/>
          <w:lang w:val="en-US" w:eastAsia="zh-CN"/>
        </w:rPr>
        <w:t>西藏</w:t>
      </w:r>
      <w:r>
        <w:rPr>
          <w:color w:val="auto"/>
          <w:highlight w:val="none"/>
        </w:rPr>
        <w:t>生态功能区划》</w:t>
      </w:r>
      <w:r>
        <w:rPr>
          <w:rFonts w:hint="eastAsia"/>
          <w:color w:val="auto"/>
          <w:highlight w:val="none"/>
          <w:lang w:val="en-US" w:eastAsia="zh-CN"/>
        </w:rPr>
        <w:t>中林芝市的功能定位及发展方向。</w:t>
      </w:r>
    </w:p>
    <w:p>
      <w:pPr>
        <w:pStyle w:val="2"/>
        <w:bidi w:val="0"/>
        <w:rPr>
          <w:rFonts w:hint="default"/>
          <w:color w:val="auto"/>
          <w:highlight w:val="none"/>
          <w:lang w:val="en-US" w:eastAsia="zh-CN"/>
        </w:rPr>
      </w:pPr>
      <w:r>
        <w:rPr>
          <w:rFonts w:hint="eastAsia"/>
          <w:color w:val="auto"/>
          <w:highlight w:val="none"/>
          <w:lang w:val="en-US" w:eastAsia="zh-CN"/>
        </w:rPr>
        <w:t>2.2.3.5与《西藏自治区“十四五”时期旅游综合发展规划》（藏政办发〔2022〕 1号）的符合性分析</w:t>
      </w:r>
    </w:p>
    <w:p>
      <w:pPr>
        <w:pStyle w:val="6"/>
        <w:bidi w:val="0"/>
        <w:jc w:val="left"/>
        <w:rPr>
          <w:rFonts w:hint="default" w:eastAsia="宋体"/>
          <w:b/>
          <w:bCs/>
          <w:color w:val="auto"/>
          <w:highlight w:val="none"/>
          <w:lang w:val="en-US" w:eastAsia="zh-CN"/>
        </w:rPr>
      </w:pPr>
      <w:r>
        <w:rPr>
          <w:rFonts w:hint="eastAsia"/>
          <w:b/>
          <w:bCs/>
          <w:color w:val="auto"/>
          <w:highlight w:val="none"/>
          <w:lang w:val="en-US" w:eastAsia="zh-CN"/>
        </w:rPr>
        <w:t>1、相关内容</w:t>
      </w:r>
    </w:p>
    <w:p>
      <w:pPr>
        <w:pStyle w:val="6"/>
        <w:bidi w:val="0"/>
        <w:jc w:val="left"/>
        <w:rPr>
          <w:rFonts w:hint="eastAsia" w:eastAsia="宋体"/>
          <w:color w:val="auto"/>
          <w:highlight w:val="none"/>
          <w:lang w:eastAsia="zh-CN"/>
        </w:rPr>
      </w:pPr>
      <w:r>
        <w:rPr>
          <w:rFonts w:hint="eastAsia"/>
          <w:color w:val="auto"/>
          <w:highlight w:val="none"/>
        </w:rPr>
        <w:t>第三章“十四五” 时期旅游综合发展总体要求</w:t>
      </w:r>
      <w:r>
        <w:rPr>
          <w:rFonts w:hint="eastAsia"/>
          <w:color w:val="auto"/>
          <w:highlight w:val="none"/>
          <w:lang w:eastAsia="zh-CN"/>
        </w:rPr>
        <w:t>：展望到二〇三五年，西藏成为全国建设世界旅游强国的重要组成与体现，以拉萨国际文化旅游城市、冈底斯国际旅游合作区、大香格里拉旅游合作区、</w:t>
      </w:r>
      <w:r>
        <w:rPr>
          <w:rFonts w:hint="eastAsia"/>
          <w:b/>
          <w:bCs/>
          <w:color w:val="auto"/>
          <w:highlight w:val="none"/>
          <w:u w:val="single"/>
          <w:lang w:eastAsia="zh-CN"/>
        </w:rPr>
        <w:t>林芝国际生态旅游区和</w:t>
      </w:r>
      <w:r>
        <w:rPr>
          <w:rFonts w:hint="eastAsia"/>
          <w:color w:val="auto"/>
          <w:highlight w:val="none"/>
          <w:lang w:eastAsia="zh-CN"/>
        </w:rPr>
        <w:t>一批世界级旅游景区、国家级旅游城镇为代表的高质量旅游供给更加丰富……旅游生态文明建设具有世界领先水平，全区一体化打造为世界高原生态旅游和民族文化旅游示范地，西藏全面建成为重要的世界旅游目的地。</w:t>
      </w:r>
    </w:p>
    <w:p>
      <w:pPr>
        <w:pStyle w:val="6"/>
        <w:numPr>
          <w:ilvl w:val="0"/>
          <w:numId w:val="6"/>
        </w:numPr>
        <w:bidi w:val="0"/>
        <w:jc w:val="left"/>
        <w:rPr>
          <w:rFonts w:hint="eastAsia" w:eastAsia="宋体"/>
          <w:color w:val="auto"/>
          <w:highlight w:val="none"/>
          <w:lang w:eastAsia="zh-CN"/>
        </w:rPr>
      </w:pPr>
      <w:r>
        <w:rPr>
          <w:rFonts w:hint="eastAsia"/>
          <w:color w:val="auto"/>
          <w:highlight w:val="none"/>
        </w:rPr>
        <w:t>空间优化</w:t>
      </w:r>
      <w:r>
        <w:rPr>
          <w:rFonts w:hint="eastAsia"/>
          <w:color w:val="auto"/>
          <w:highlight w:val="none"/>
          <w:lang w:eastAsia="zh-CN"/>
        </w:rPr>
        <w:t>：G219沿边大通道旅游经济带以G219西藏段为纽带，打造以边境旅游为特色的旅游综合发展经济带，联动林芝、山南、日喀则、阿里及拉萨等五地市，加快推进全区边境沿线发展带建设，深入实施旅游兴边富民行动，建成为旅游业促进抓好稳定、发展、生态、强边四件大事的重要示范带。高原丝绸之路旅游区域经济带以G317、G318、G109、G214、G216及高等级公路、铁路为纽带， 打造以“唐竺古道”“茶马古道”“川藏驿道”“克里雅古道”等廊道为特色的旅游综合发展经济带……。</w:t>
      </w:r>
      <w:r>
        <w:rPr>
          <w:rFonts w:hint="eastAsia"/>
          <w:b/>
          <w:bCs/>
          <w:color w:val="auto"/>
          <w:highlight w:val="none"/>
          <w:u w:val="single"/>
        </w:rPr>
        <w:t>深入建设林芝国际生态旅游区，</w:t>
      </w:r>
      <w:r>
        <w:rPr>
          <w:rFonts w:hint="eastAsia"/>
          <w:color w:val="auto"/>
          <w:highlight w:val="none"/>
        </w:rPr>
        <w:t>加强国际化生态旅游产品与服务体系建设能力，提高全域旅游发展水平，培育西藏绿色与康养旅游增长极，努力打造全国生态与健康旅游新高地</w:t>
      </w:r>
      <w:r>
        <w:rPr>
          <w:rFonts w:hint="eastAsia"/>
          <w:color w:val="auto"/>
          <w:highlight w:val="none"/>
          <w:lang w:eastAsia="zh-CN"/>
        </w:rPr>
        <w:t>。</w:t>
      </w:r>
    </w:p>
    <w:p>
      <w:pPr>
        <w:pStyle w:val="6"/>
        <w:bidi w:val="0"/>
        <w:rPr>
          <w:rFonts w:hint="eastAsia"/>
          <w:color w:val="auto"/>
          <w:highlight w:val="none"/>
          <w:lang w:eastAsia="zh-CN"/>
        </w:rPr>
      </w:pPr>
      <w:r>
        <w:rPr>
          <w:rFonts w:hint="eastAsia"/>
          <w:color w:val="auto"/>
          <w:highlight w:val="none"/>
          <w:lang w:eastAsia="zh-CN"/>
        </w:rPr>
        <w:t>深入持续建设林芝国际生态旅游区，提高林芝生态旅游国际化发展质量，创新生态旅游资源的产品转化方式，提高生态旅游治理体系和治理能力现代化水平，推进提升建设雅鲁藏布大峡谷国家公园，整体建成为国家示范、西藏代表性的生态旅游目的地，打造全国乃至国际旅游生态文明高地。</w:t>
      </w:r>
    </w:p>
    <w:p>
      <w:pPr>
        <w:pStyle w:val="6"/>
        <w:bidi w:val="0"/>
        <w:rPr>
          <w:rFonts w:hint="default"/>
          <w:b/>
          <w:bCs/>
          <w:highlight w:val="none"/>
          <w:lang w:val="en-US" w:eastAsia="zh-CN"/>
        </w:rPr>
      </w:pPr>
      <w:r>
        <w:rPr>
          <w:rFonts w:hint="eastAsia"/>
          <w:b/>
          <w:bCs/>
          <w:highlight w:val="none"/>
          <w:lang w:val="en-US" w:eastAsia="zh-CN"/>
        </w:rPr>
        <w:t>2、符合性分析</w:t>
      </w:r>
    </w:p>
    <w:p>
      <w:pPr>
        <w:pStyle w:val="6"/>
        <w:bidi w:val="0"/>
        <w:rPr>
          <w:rFonts w:hint="eastAsia"/>
          <w:color w:val="1A15F1"/>
          <w:highlight w:val="none"/>
          <w:lang w:val="en-US" w:eastAsia="zh-CN"/>
        </w:rPr>
      </w:pPr>
      <w:r>
        <w:rPr>
          <w:rFonts w:hint="eastAsia"/>
          <w:color w:val="1A15F1"/>
          <w:highlight w:val="none"/>
          <w:lang w:val="en-US" w:eastAsia="zh-CN"/>
        </w:rPr>
        <w:t>本规划总体空间布局概括为</w:t>
      </w:r>
      <w:r>
        <w:rPr>
          <w:rFonts w:hint="eastAsia"/>
          <w:color w:val="1A15F1"/>
          <w:highlight w:val="none"/>
        </w:rPr>
        <w:t>“一城、一主轴三环线、六大主题旅游县、十五个泛景区化旅游目的地”的全域空间格局</w:t>
      </w:r>
      <w:r>
        <w:rPr>
          <w:rFonts w:hint="eastAsia"/>
          <w:color w:val="1A15F1"/>
          <w:highlight w:val="none"/>
          <w:lang w:val="en-US" w:eastAsia="zh-CN"/>
        </w:rPr>
        <w:t>。</w:t>
      </w:r>
      <w:r>
        <w:rPr>
          <w:rFonts w:hint="eastAsia"/>
          <w:color w:val="1A15F1"/>
          <w:highlight w:val="none"/>
        </w:rPr>
        <w:t>“</w:t>
      </w:r>
      <w:r>
        <w:rPr>
          <w:rFonts w:hint="eastAsia"/>
          <w:color w:val="1A15F1"/>
          <w:highlight w:val="none"/>
          <w:lang w:val="en-US" w:eastAsia="zh-CN"/>
        </w:rPr>
        <w:t>林芝市全域旅游发展规划（2018~2025年）</w:t>
      </w:r>
      <w:r>
        <w:rPr>
          <w:rFonts w:hint="eastAsia"/>
          <w:color w:val="1A15F1"/>
          <w:highlight w:val="none"/>
        </w:rPr>
        <w:t>”</w:t>
      </w:r>
      <w:r>
        <w:rPr>
          <w:rFonts w:hint="eastAsia"/>
          <w:color w:val="1A15F1"/>
          <w:highlight w:val="none"/>
          <w:lang w:val="en-US" w:eastAsia="zh-CN"/>
        </w:rPr>
        <w:t>的实施能够优化林芝市全域旅游产品结构，</w:t>
      </w:r>
      <w:r>
        <w:rPr>
          <w:rFonts w:hint="eastAsia"/>
          <w:color w:val="1A15F1"/>
          <w:highlight w:val="none"/>
        </w:rPr>
        <w:t>从景区到产业，逐步培育全域旅游核心竞争力推动泛景区化旅游目的地建设，发展15个泛景区化旅游目的地，形成“一主轴三环线”旅游发展带，引导旅游产业集聚。形成多产业融合发展新局面。</w:t>
      </w:r>
      <w:r>
        <w:rPr>
          <w:rFonts w:hint="eastAsia"/>
          <w:color w:val="1A15F1"/>
          <w:highlight w:val="none"/>
          <w:lang w:val="en-US" w:eastAsia="zh-CN"/>
        </w:rPr>
        <w:t>因此规划与《西藏自治区“十四五”时期旅游综合发展规划》（藏政办发〔2022〕1号）相符合。</w:t>
      </w:r>
    </w:p>
    <w:p>
      <w:pPr>
        <w:pStyle w:val="2"/>
        <w:bidi w:val="0"/>
        <w:rPr>
          <w:rFonts w:hint="eastAsia"/>
          <w:highlight w:val="none"/>
          <w:lang w:val="en-US" w:eastAsia="zh-CN"/>
        </w:rPr>
      </w:pPr>
      <w:r>
        <w:rPr>
          <w:rFonts w:hint="eastAsia"/>
          <w:highlight w:val="none"/>
          <w:lang w:val="en-US" w:eastAsia="zh-CN"/>
        </w:rPr>
        <w:t>2.2.3.</w:t>
      </w:r>
      <w:r>
        <w:rPr>
          <w:rFonts w:hint="eastAsia"/>
          <w:b/>
          <w:bCs w:val="0"/>
          <w:color w:val="auto"/>
          <w:highlight w:val="none"/>
          <w:lang w:val="en-US" w:eastAsia="zh-CN"/>
        </w:rPr>
        <w:t>6与《西藏自治区“十四五”时期生态环境保护规划》（</w:t>
      </w:r>
      <w:r>
        <w:rPr>
          <w:rFonts w:hint="eastAsia"/>
          <w:highlight w:val="none"/>
          <w:lang w:val="en-US" w:eastAsia="zh-CN"/>
        </w:rPr>
        <w:t>藏政办发〔2022〕 15号）的符合性分析</w:t>
      </w:r>
    </w:p>
    <w:p>
      <w:pPr>
        <w:pStyle w:val="6"/>
        <w:bidi w:val="0"/>
        <w:jc w:val="left"/>
        <w:rPr>
          <w:rFonts w:hint="eastAsia"/>
          <w:b/>
          <w:bCs/>
          <w:color w:val="auto"/>
          <w:highlight w:val="none"/>
          <w:lang w:val="en-US" w:eastAsia="zh-CN"/>
        </w:rPr>
      </w:pPr>
      <w:r>
        <w:rPr>
          <w:rFonts w:hint="eastAsia"/>
          <w:b/>
          <w:bCs/>
          <w:color w:val="auto"/>
          <w:highlight w:val="none"/>
          <w:lang w:val="en-US" w:eastAsia="zh-CN"/>
        </w:rPr>
        <w:t>1、相关内容</w:t>
      </w:r>
    </w:p>
    <w:p>
      <w:pPr>
        <w:pStyle w:val="6"/>
        <w:bidi w:val="0"/>
        <w:rPr>
          <w:rFonts w:hint="eastAsia"/>
          <w:highlight w:val="none"/>
          <w:lang w:val="en-US" w:eastAsia="zh-CN"/>
        </w:rPr>
      </w:pPr>
      <w:r>
        <w:rPr>
          <w:rFonts w:hint="eastAsia"/>
          <w:b/>
          <w:bCs/>
          <w:highlight w:val="none"/>
          <w:lang w:val="en-US" w:eastAsia="zh-CN"/>
        </w:rPr>
        <w:t>主要目标：</w:t>
      </w:r>
      <w:r>
        <w:rPr>
          <w:rFonts w:hint="eastAsia"/>
          <w:highlight w:val="none"/>
          <w:lang w:val="en-US" w:eastAsia="zh-CN"/>
        </w:rPr>
        <w:t>到2025年，全区生态环境质量持续保持良好，生态安全屏障更加稳固，生态文明制度体系更加成熟，美丽西藏加快建设，国家生态文明高地建设取得重大进展，生态文明建设走在全国前列。</w:t>
      </w:r>
    </w:p>
    <w:p>
      <w:pPr>
        <w:pStyle w:val="6"/>
        <w:bidi w:val="0"/>
        <w:rPr>
          <w:rFonts w:hint="eastAsia"/>
          <w:highlight w:val="none"/>
          <w:lang w:val="en-US" w:eastAsia="zh-CN"/>
        </w:rPr>
      </w:pPr>
      <w:r>
        <w:rPr>
          <w:rFonts w:hint="eastAsia"/>
          <w:highlight w:val="none"/>
          <w:lang w:val="en-US" w:eastAsia="zh-CN"/>
        </w:rPr>
        <w:t>——生产生活方式绿色转型成效显著。国土空间开发保护格局得到优化，绿色低碳发展加快推进，能源资源配置和利用更加合理，单位地区生产总值能源消耗和二氧化碳排放不断下降，简约适度、绿色低碳的生产生活方式加快形成。</w:t>
      </w:r>
    </w:p>
    <w:p>
      <w:pPr>
        <w:pStyle w:val="6"/>
        <w:bidi w:val="0"/>
        <w:rPr>
          <w:rFonts w:hint="eastAsia"/>
          <w:highlight w:val="none"/>
          <w:lang w:val="en-US" w:eastAsia="zh-CN"/>
        </w:rPr>
      </w:pPr>
      <w:r>
        <w:rPr>
          <w:rFonts w:hint="eastAsia"/>
          <w:highlight w:val="none"/>
          <w:lang w:val="en-US" w:eastAsia="zh-CN"/>
        </w:rPr>
        <w:t>——生态环境质量稳居全国前列。地级及以上城市空气质量优良天数比率保持在99.4%，地表水达到或好于Ⅲ类水体比例保持100%，主要污染物排放总量控制在国家核定范围内，无重污染天气、城市黑臭水体，城乡人居环境明显改善。</w:t>
      </w:r>
    </w:p>
    <w:p>
      <w:pPr>
        <w:pStyle w:val="6"/>
        <w:bidi w:val="0"/>
        <w:rPr>
          <w:rFonts w:hint="eastAsia"/>
          <w:highlight w:val="none"/>
          <w:lang w:val="en-US" w:eastAsia="zh-CN"/>
        </w:rPr>
      </w:pPr>
      <w:r>
        <w:rPr>
          <w:rFonts w:hint="eastAsia"/>
          <w:highlight w:val="none"/>
          <w:lang w:val="en-US" w:eastAsia="zh-CN"/>
        </w:rPr>
        <w:t>——生态系统质量和稳定性持续提升。森林覆盖率提高到12.51%，草原综合植被盖度提高至50%，自然保护地面积保持全国第一，生态系统稳定性有效维持，生物多样性保护不断强，世界上生态环境最好地区之一的良好态势巩固发展，着力创建国家生态文明高地，做到生态文明建设走在全国前列。</w:t>
      </w:r>
    </w:p>
    <w:p>
      <w:pPr>
        <w:pStyle w:val="6"/>
        <w:bidi w:val="0"/>
        <w:rPr>
          <w:rFonts w:hint="eastAsia"/>
          <w:highlight w:val="none"/>
          <w:lang w:val="en-US" w:eastAsia="zh-CN"/>
        </w:rPr>
      </w:pPr>
      <w:r>
        <w:rPr>
          <w:rFonts w:hint="eastAsia"/>
          <w:highlight w:val="none"/>
          <w:lang w:val="en-US" w:eastAsia="zh-CN"/>
        </w:rPr>
        <w:t>——环境安全有效保障。环境风险防控能力明显增强，土壤污染风险得到有效管控，危险（医疗）废物管理水平有效提升，辐射环境监管持续加强。</w:t>
      </w:r>
    </w:p>
    <w:p>
      <w:pPr>
        <w:pStyle w:val="6"/>
        <w:bidi w:val="0"/>
        <w:rPr>
          <w:rFonts w:hint="eastAsia"/>
          <w:highlight w:val="none"/>
          <w:lang w:val="en-US" w:eastAsia="zh-CN"/>
        </w:rPr>
      </w:pPr>
      <w:r>
        <w:rPr>
          <w:rFonts w:hint="eastAsia"/>
          <w:highlight w:val="none"/>
          <w:lang w:val="en-US" w:eastAsia="zh-CN"/>
        </w:rPr>
        <w:t>——生态环境治理体系更加健全。生态文明体制改革深入落实，现代环境治理体系加快构建，环境治理效能得到新提升。</w:t>
      </w:r>
    </w:p>
    <w:p>
      <w:pPr>
        <w:pStyle w:val="6"/>
        <w:bidi w:val="0"/>
        <w:rPr>
          <w:rFonts w:hint="eastAsia"/>
          <w:highlight w:val="none"/>
          <w:lang w:val="en-US" w:eastAsia="zh-CN"/>
        </w:rPr>
      </w:pPr>
      <w:r>
        <w:rPr>
          <w:rFonts w:hint="eastAsia"/>
          <w:highlight w:val="none"/>
          <w:lang w:val="en-US" w:eastAsia="zh-CN"/>
        </w:rPr>
        <w:t>展望2035年，建成全国乃至国际生态文明高地，完成美丽西藏建设和国家生态文明示范区创建。生态环境治理体系和治理能力现代化基本实现</w:t>
      </w:r>
    </w:p>
    <w:p>
      <w:pPr>
        <w:pStyle w:val="6"/>
        <w:bidi w:val="0"/>
        <w:rPr>
          <w:rFonts w:hint="eastAsia"/>
          <w:highlight w:val="none"/>
          <w:lang w:val="en-US" w:eastAsia="zh-CN"/>
        </w:rPr>
      </w:pPr>
      <w:r>
        <w:rPr>
          <w:rFonts w:hint="eastAsia"/>
          <w:highlight w:val="none"/>
          <w:lang w:val="en-US" w:eastAsia="zh-CN"/>
        </w:rPr>
        <w:t>西藏自治区“十四五”时期生态环境保护指标体系包括环境治理、应对气候变化、环境风险防控、生态保护等四大类19项指标。</w:t>
      </w:r>
    </w:p>
    <w:p>
      <w:pPr>
        <w:pStyle w:val="27"/>
        <w:bidi w:val="0"/>
        <w:rPr>
          <w:rFonts w:hint="eastAsia"/>
          <w:highlight w:val="none"/>
          <w:lang w:val="en-US" w:eastAsia="zh-CN"/>
        </w:rPr>
      </w:pPr>
      <w:r>
        <w:rPr>
          <w:rFonts w:hint="eastAsia"/>
          <w:highlight w:val="none"/>
          <w:lang w:val="en-US" w:eastAsia="zh-CN"/>
        </w:rPr>
        <w:t>表2.2-8  西藏自治区“十四五”时期生态环境保护主要指标</w:t>
      </w:r>
    </w:p>
    <w:tbl>
      <w:tblPr>
        <w:tblStyle w:val="24"/>
        <w:tblW w:w="5005"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725"/>
        <w:gridCol w:w="531"/>
        <w:gridCol w:w="4119"/>
        <w:gridCol w:w="1085"/>
        <w:gridCol w:w="1142"/>
        <w:gridCol w:w="917"/>
        <w:gridCol w:w="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gridAfter w:val="1"/>
          <w:wAfter w:w="7" w:type="pct"/>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lang w:val="en-US" w:eastAsia="zh-CN"/>
              </w:rPr>
              <w:t>类</w:t>
            </w:r>
            <w:r>
              <w:rPr>
                <w:rFonts w:hint="default"/>
                <w:highlight w:val="none"/>
                <w:lang w:val="en-US" w:eastAsia="zh-CN"/>
              </w:rPr>
              <w:t>别</w:t>
            </w: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序号 </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指标 </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2020 年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2025年 </w:t>
            </w:r>
          </w:p>
        </w:tc>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指标属性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gridAfter w:val="1"/>
          <w:wAfter w:w="7" w:type="pct"/>
        </w:trPr>
        <w:tc>
          <w:tcPr>
            <w:tcW w:w="424"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环境治理</w:t>
            </w: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1</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地级及以上城市 PM</w:t>
            </w:r>
            <w:r>
              <w:rPr>
                <w:rFonts w:hint="default"/>
                <w:highlight w:val="none"/>
                <w:vertAlign w:val="subscript"/>
                <w:lang w:val="en-US" w:eastAsia="zh-CN"/>
              </w:rPr>
              <w:t>2.5</w:t>
            </w:r>
            <w:r>
              <w:rPr>
                <w:rFonts w:hint="default"/>
                <w:highlight w:val="none"/>
                <w:lang w:val="en-US" w:eastAsia="zh-CN"/>
              </w:rPr>
              <w:t xml:space="preserve"> 浓度（微克/立方米）</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10.5 </w:t>
            </w:r>
          </w:p>
        </w:tc>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gridAfter w:val="1"/>
          <w:wAfter w:w="7" w:type="pct"/>
        </w:trPr>
        <w:tc>
          <w:tcPr>
            <w:tcW w:w="424"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2</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地级及以上城市空气质量优良天数比率（%） </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99.4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99.4 </w:t>
            </w:r>
          </w:p>
        </w:tc>
        <w:tc>
          <w:tcPr>
            <w:tcW w:w="537" w:type="pct"/>
            <w:shd w:val="clear" w:color="auto" w:fill="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gridAfter w:val="1"/>
          <w:wAfter w:w="7" w:type="pct"/>
        </w:trPr>
        <w:tc>
          <w:tcPr>
            <w:tcW w:w="424"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3</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地表水达到或好于Ⅲ类水体比例（%） </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100*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100* </w:t>
            </w:r>
          </w:p>
        </w:tc>
        <w:tc>
          <w:tcPr>
            <w:tcW w:w="537" w:type="pct"/>
            <w:shd w:val="clear" w:color="auto" w:fill="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gridAfter w:val="1"/>
          <w:wAfter w:w="7" w:type="pct"/>
        </w:trPr>
        <w:tc>
          <w:tcPr>
            <w:tcW w:w="424"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4 </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地表水劣Ⅴ类水体比例（%）</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0*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0* </w:t>
            </w:r>
          </w:p>
        </w:tc>
        <w:tc>
          <w:tcPr>
            <w:tcW w:w="537" w:type="pct"/>
            <w:shd w:val="clear" w:color="auto" w:fill="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gridAfter w:val="1"/>
          <w:wAfter w:w="7" w:type="pct"/>
        </w:trPr>
        <w:tc>
          <w:tcPr>
            <w:tcW w:w="424"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5 </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城市黑臭水体比例（%） </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0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0 </w:t>
            </w:r>
          </w:p>
        </w:tc>
        <w:tc>
          <w:tcPr>
            <w:tcW w:w="537" w:type="pct"/>
            <w:shd w:val="clear" w:color="auto" w:fill="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gridAfter w:val="1"/>
          <w:wAfter w:w="7" w:type="pct"/>
        </w:trPr>
        <w:tc>
          <w:tcPr>
            <w:tcW w:w="424"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6 </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地下水质量Ⅴ类水比例（%） </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0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0 </w:t>
            </w:r>
          </w:p>
        </w:tc>
        <w:tc>
          <w:tcPr>
            <w:tcW w:w="537" w:type="pct"/>
            <w:shd w:val="clear" w:color="auto" w:fill="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424"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7 </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农村生活污水治理率（%） </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2.7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15 </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424"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8</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氮氧化物、挥发性有机物、化学需氧量、 氨氮排放总量减少（%） </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国家核定范围内</w:t>
            </w:r>
          </w:p>
        </w:tc>
        <w:tc>
          <w:tcPr>
            <w:tcW w:w="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gridAfter w:val="1"/>
          <w:wAfter w:w="7" w:type="pct"/>
        </w:trPr>
        <w:tc>
          <w:tcPr>
            <w:tcW w:w="424"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应对气候变化</w:t>
            </w: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9</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单位地区生产总值二氧化碳排放降低（%）</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国家核定范围内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〔7〕</w:t>
            </w:r>
          </w:p>
        </w:tc>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gridAfter w:val="1"/>
          <w:wAfter w:w="7" w:type="pct"/>
        </w:trPr>
        <w:tc>
          <w:tcPr>
            <w:tcW w:w="424"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10</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单位地区生产总值能源消耗降低（%）</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国家核定范围内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〔5〕 </w:t>
            </w:r>
          </w:p>
        </w:tc>
        <w:tc>
          <w:tcPr>
            <w:tcW w:w="537" w:type="pct"/>
            <w:shd w:val="clear" w:color="auto" w:fill="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gridAfter w:val="1"/>
          <w:wAfter w:w="7" w:type="pct"/>
        </w:trPr>
        <w:tc>
          <w:tcPr>
            <w:tcW w:w="424"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11</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非化石能源占能源消费总量比重（%） </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40.5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48左右 </w:t>
            </w:r>
          </w:p>
        </w:tc>
        <w:tc>
          <w:tcPr>
            <w:tcW w:w="537" w:type="pct"/>
            <w:shd w:val="clear" w:color="auto" w:fill="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gridAfter w:val="1"/>
          <w:wAfter w:w="7" w:type="pct"/>
        </w:trPr>
        <w:tc>
          <w:tcPr>
            <w:tcW w:w="424"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环境 风险 防控</w:t>
            </w: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12 </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受污染耕地安全利用率（%） </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91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93 左右 </w:t>
            </w:r>
          </w:p>
        </w:tc>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gridAfter w:val="1"/>
          <w:wAfter w:w="7" w:type="pct"/>
        </w:trPr>
        <w:tc>
          <w:tcPr>
            <w:tcW w:w="424"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13 </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重点建设用地安全利用率（%） </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有效保障</w:t>
            </w:r>
          </w:p>
        </w:tc>
        <w:tc>
          <w:tcPr>
            <w:tcW w:w="537" w:type="pct"/>
            <w:shd w:val="clear" w:color="auto" w:fill="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gridAfter w:val="1"/>
          <w:wAfter w:w="7" w:type="pct"/>
        </w:trPr>
        <w:tc>
          <w:tcPr>
            <w:tcW w:w="424"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14 </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放射源辐射事故年发生率（起/万枚） </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0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0 </w:t>
            </w:r>
          </w:p>
        </w:tc>
        <w:tc>
          <w:tcPr>
            <w:tcW w:w="537" w:type="pct"/>
            <w:shd w:val="clear" w:color="auto" w:fill="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7" w:type="pct"/>
        </w:trPr>
        <w:tc>
          <w:tcPr>
            <w:tcW w:w="424"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生态 保护</w:t>
            </w: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15 </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生态质量指数（EQI） </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 xml:space="preserve">稳中向好 </w:t>
            </w:r>
          </w:p>
        </w:tc>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lang w:val="en-US" w:eastAsia="zh-CN"/>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7" w:type="pct"/>
        </w:trPr>
        <w:tc>
          <w:tcPr>
            <w:tcW w:w="424"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16 </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森林覆盖率（%） </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12.31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12.51 </w:t>
            </w:r>
          </w:p>
        </w:tc>
        <w:tc>
          <w:tcPr>
            <w:tcW w:w="537" w:type="pct"/>
            <w:shd w:val="clear" w:color="auto" w:fill="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7" w:type="pct"/>
        </w:trPr>
        <w:tc>
          <w:tcPr>
            <w:tcW w:w="424"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17 </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草原综合植被盖度（%） </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47.14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50</w:t>
            </w:r>
          </w:p>
        </w:tc>
        <w:tc>
          <w:tcPr>
            <w:tcW w:w="537" w:type="pct"/>
            <w:shd w:val="clear" w:color="auto" w:fill="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7" w:type="pct"/>
        </w:trPr>
        <w:tc>
          <w:tcPr>
            <w:tcW w:w="424"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18 </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生态保护红线面积（万平方公里）</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 </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不减少 </w:t>
            </w:r>
          </w:p>
        </w:tc>
        <w:tc>
          <w:tcPr>
            <w:tcW w:w="537" w:type="pct"/>
            <w:shd w:val="clear" w:color="auto" w:fill="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7" w:type="pct"/>
        </w:trPr>
        <w:tc>
          <w:tcPr>
            <w:tcW w:w="424"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19</w:t>
            </w:r>
          </w:p>
        </w:tc>
        <w:tc>
          <w:tcPr>
            <w:tcW w:w="24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国家生态文明建设示范市（个）</w:t>
            </w:r>
          </w:p>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国家生态文明建设示范县（个）</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56</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7</w:t>
            </w:r>
          </w:p>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val="en-US" w:eastAsia="zh-CN"/>
              </w:rPr>
              <w:t xml:space="preserve">≥15 </w:t>
            </w:r>
          </w:p>
        </w:tc>
        <w:tc>
          <w:tcPr>
            <w:tcW w:w="537" w:type="pct"/>
            <w:shd w:val="clear" w:color="auto" w:fill="auto"/>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lang w:val="en-US" w:eastAsia="zh-CN"/>
              </w:rPr>
              <w:t>预期性</w:t>
            </w:r>
          </w:p>
        </w:tc>
      </w:tr>
    </w:tbl>
    <w:p>
      <w:pPr>
        <w:pStyle w:val="6"/>
        <w:bidi w:val="0"/>
        <w:rPr>
          <w:rFonts w:hint="eastAsia"/>
          <w:b/>
          <w:bCs/>
          <w:highlight w:val="none"/>
        </w:rPr>
      </w:pPr>
      <w:r>
        <w:rPr>
          <w:rFonts w:hint="eastAsia"/>
          <w:b/>
          <w:bCs/>
          <w:highlight w:val="none"/>
          <w:lang w:val="en-US" w:eastAsia="zh-CN"/>
        </w:rPr>
        <w:t>2、</w:t>
      </w:r>
      <w:r>
        <w:rPr>
          <w:rFonts w:hint="eastAsia"/>
          <w:b/>
          <w:bCs/>
          <w:highlight w:val="none"/>
        </w:rPr>
        <w:t>相符性分析</w:t>
      </w:r>
    </w:p>
    <w:p>
      <w:pPr>
        <w:pStyle w:val="6"/>
        <w:bidi w:val="0"/>
        <w:rPr>
          <w:rFonts w:hint="eastAsia"/>
          <w:color w:val="auto"/>
          <w:highlight w:val="none"/>
        </w:rPr>
      </w:pPr>
      <w:r>
        <w:rPr>
          <w:rFonts w:hint="eastAsia"/>
          <w:highlight w:val="none"/>
        </w:rPr>
        <w:t>由于规划中未提出环境保护指标内容，按照旅游规划发展方向及定位，本环评提出规划内涉及自然保护区、风景名胜区和其他需要特殊保护的区域执行《环境空气质量标准》</w:t>
      </w:r>
      <w:r>
        <w:rPr>
          <w:rFonts w:hint="eastAsia"/>
          <w:highlight w:val="none"/>
          <w:lang w:eastAsia="zh-CN"/>
        </w:rPr>
        <w:t>（</w:t>
      </w:r>
      <w:r>
        <w:rPr>
          <w:rFonts w:hint="eastAsia"/>
          <w:highlight w:val="none"/>
        </w:rPr>
        <w:t>GB3095-2012</w:t>
      </w:r>
      <w:r>
        <w:rPr>
          <w:rFonts w:hint="eastAsia"/>
          <w:highlight w:val="none"/>
          <w:lang w:eastAsia="zh-CN"/>
        </w:rPr>
        <w:t>）</w:t>
      </w:r>
      <w:r>
        <w:rPr>
          <w:rFonts w:hint="eastAsia"/>
          <w:highlight w:val="none"/>
        </w:rPr>
        <w:t>一及标准，其他区域执行二级标准。地表水相应执行《地表水环境质量标准》（GB3838-2002）中Ⅰ、Ⅱ、Ⅲ类标准。环境噪声相应执行《声环境质量标准》</w:t>
      </w:r>
      <w:r>
        <w:rPr>
          <w:rFonts w:hint="eastAsia"/>
          <w:highlight w:val="none"/>
          <w:lang w:eastAsia="zh-CN"/>
        </w:rPr>
        <w:t>（</w:t>
      </w:r>
      <w:r>
        <w:rPr>
          <w:rFonts w:hint="eastAsia"/>
          <w:highlight w:val="none"/>
        </w:rPr>
        <w:t>GB3096-2008</w:t>
      </w:r>
      <w:r>
        <w:rPr>
          <w:rFonts w:hint="eastAsia"/>
          <w:highlight w:val="none"/>
          <w:lang w:eastAsia="zh-CN"/>
        </w:rPr>
        <w:t>）</w:t>
      </w:r>
      <w:r>
        <w:rPr>
          <w:rFonts w:hint="eastAsia"/>
          <w:highlight w:val="none"/>
        </w:rPr>
        <w:t>中的1、2、3、4类标准；在固体废物处置方面，危险废物安全处理率达到100%，废物处置率达到100%；生活垃圾处理率达到100%；</w:t>
      </w:r>
      <w:r>
        <w:rPr>
          <w:rFonts w:hint="eastAsia"/>
          <w:color w:val="auto"/>
          <w:highlight w:val="none"/>
        </w:rPr>
        <w:t>本次环评按照规划中提出的规模，预测规划区内水资源可以支撑本次规划的实施。但需对各景区承载能力进行细化，确定游客容量上限。通过合理有序开发，加强资源环境保护，推动低碳文旅、绿色消费，实现经济效益、社会效益、生态效益相互促进、共同提升。</w:t>
      </w:r>
    </w:p>
    <w:p>
      <w:pPr>
        <w:pStyle w:val="6"/>
        <w:bidi w:val="0"/>
        <w:rPr>
          <w:rFonts w:hint="eastAsia"/>
          <w:color w:val="auto"/>
          <w:highlight w:val="none"/>
        </w:rPr>
      </w:pPr>
      <w:r>
        <w:rPr>
          <w:rFonts w:hint="eastAsia"/>
          <w:color w:val="auto"/>
          <w:highlight w:val="none"/>
        </w:rPr>
        <w:t>同时，规划实施期间认真贯彻执行环境质量标准、污染排放标准等规定，落实环保“三同时”制度，建设配套的环境保护设施，确保区内有一个良好的生态环境，建立生态环境与旅游开发良性循环的可持续发展系统，实现旅游资源的可持续开发利用。</w:t>
      </w:r>
    </w:p>
    <w:p>
      <w:pPr>
        <w:pStyle w:val="6"/>
        <w:bidi w:val="0"/>
        <w:rPr>
          <w:rFonts w:hint="default"/>
          <w:b w:val="0"/>
          <w:bCs w:val="0"/>
          <w:color w:val="auto"/>
          <w:highlight w:val="none"/>
          <w:lang w:val="en-US" w:eastAsia="zh-CN"/>
        </w:rPr>
      </w:pPr>
      <w:r>
        <w:rPr>
          <w:rFonts w:hint="eastAsia"/>
          <w:b w:val="0"/>
          <w:bCs w:val="0"/>
          <w:color w:val="auto"/>
          <w:highlight w:val="none"/>
          <w:lang w:val="en-US" w:eastAsia="zh-CN"/>
        </w:rPr>
        <w:t>综上，“</w:t>
      </w:r>
      <w:r>
        <w:rPr>
          <w:rFonts w:hint="eastAsia"/>
          <w:b w:val="0"/>
          <w:bCs w:val="0"/>
          <w:color w:val="1A15F1"/>
          <w:lang w:val="en-US" w:eastAsia="zh-CN"/>
        </w:rPr>
        <w:t>林芝市全域旅游发展规划（2018~2025年）</w:t>
      </w:r>
      <w:r>
        <w:rPr>
          <w:rFonts w:hint="eastAsia"/>
          <w:b w:val="0"/>
          <w:bCs w:val="0"/>
          <w:color w:val="auto"/>
          <w:highlight w:val="none"/>
          <w:lang w:val="en-US" w:eastAsia="zh-CN"/>
        </w:rPr>
        <w:t>”与《西藏自治区“十四五”时期生态环境保护规划》（</w:t>
      </w:r>
      <w:r>
        <w:rPr>
          <w:rFonts w:hint="eastAsia"/>
          <w:b w:val="0"/>
          <w:bCs w:val="0"/>
          <w:highlight w:val="none"/>
          <w:lang w:val="en-US" w:eastAsia="zh-CN"/>
        </w:rPr>
        <w:t>藏政办发〔2022〕15号）</w:t>
      </w:r>
      <w:r>
        <w:rPr>
          <w:rFonts w:hint="eastAsia"/>
          <w:b w:val="0"/>
          <w:bCs w:val="0"/>
          <w:color w:val="auto"/>
          <w:highlight w:val="none"/>
          <w:lang w:val="en-US" w:eastAsia="zh-CN"/>
        </w:rPr>
        <w:t>相符合。</w:t>
      </w:r>
    </w:p>
    <w:p>
      <w:pPr>
        <w:pStyle w:val="5"/>
        <w:bidi w:val="0"/>
        <w:rPr>
          <w:rFonts w:hint="default"/>
          <w:color w:val="auto"/>
          <w:highlight w:val="none"/>
          <w:lang w:val="en-US" w:eastAsia="zh-CN"/>
        </w:rPr>
      </w:pPr>
      <w:bookmarkStart w:id="71" w:name="_Toc5277"/>
      <w:r>
        <w:rPr>
          <w:rFonts w:hint="eastAsia"/>
          <w:color w:val="auto"/>
          <w:highlight w:val="none"/>
          <w:lang w:val="en-US" w:eastAsia="zh-CN"/>
        </w:rPr>
        <w:t>2.2.4与同层位规划的符合性分析</w:t>
      </w:r>
      <w:bookmarkEnd w:id="71"/>
    </w:p>
    <w:p>
      <w:pPr>
        <w:pStyle w:val="6"/>
        <w:bidi w:val="0"/>
        <w:rPr>
          <w:rFonts w:hint="eastAsia"/>
          <w:b/>
          <w:bCs/>
        </w:rPr>
      </w:pPr>
      <w:r>
        <w:rPr>
          <w:rFonts w:hint="eastAsia"/>
          <w:b/>
          <w:bCs/>
          <w:lang w:val="en-US" w:eastAsia="zh-CN"/>
        </w:rPr>
        <w:t>1、</w:t>
      </w:r>
      <w:r>
        <w:rPr>
          <w:rFonts w:hint="eastAsia"/>
          <w:b/>
          <w:bCs/>
        </w:rPr>
        <w:t>《林芝市国民经济和社会发展第十四个五年规划和二〇三五年远景目标纲</w:t>
      </w:r>
      <w:r>
        <w:rPr>
          <w:rFonts w:hint="eastAsia"/>
          <w:b/>
          <w:bCs/>
          <w:lang w:val="en-US" w:eastAsia="zh-CN"/>
        </w:rPr>
        <w:t>要</w:t>
      </w:r>
      <w:r>
        <w:rPr>
          <w:rFonts w:hint="eastAsia"/>
          <w:b/>
          <w:bCs/>
        </w:rPr>
        <w:t>》中生态环境保护相关要求协调性分析</w:t>
      </w:r>
    </w:p>
    <w:p>
      <w:pPr>
        <w:pStyle w:val="6"/>
        <w:bidi w:val="0"/>
        <w:rPr>
          <w:rFonts w:hint="default"/>
          <w:b/>
          <w:bCs/>
          <w:color w:val="auto"/>
          <w:highlight w:val="none"/>
          <w:lang w:val="en-US" w:eastAsia="zh-CN"/>
        </w:rPr>
      </w:pPr>
      <w:r>
        <w:rPr>
          <w:rFonts w:hint="eastAsia"/>
          <w:b/>
          <w:bCs/>
          <w:color w:val="auto"/>
          <w:highlight w:val="none"/>
          <w:lang w:val="en-US" w:eastAsia="zh-CN"/>
        </w:rPr>
        <w:t>（一）纲要背景</w:t>
      </w:r>
    </w:p>
    <w:p>
      <w:pPr>
        <w:pStyle w:val="6"/>
        <w:bidi w:val="0"/>
        <w:rPr>
          <w:rFonts w:hint="eastAsia"/>
          <w:color w:val="auto"/>
          <w:highlight w:val="none"/>
          <w:lang w:eastAsia="zh-CN"/>
        </w:rPr>
      </w:pPr>
      <w:r>
        <w:rPr>
          <w:rFonts w:hint="eastAsia"/>
          <w:color w:val="auto"/>
          <w:highlight w:val="none"/>
          <w:lang w:eastAsia="zh-CN"/>
        </w:rPr>
        <w:t>林芝市国民经济和社会发展第十四个五年规划和二〇三五年远景目标纲要</w:t>
      </w:r>
      <w:r>
        <w:rPr>
          <w:rFonts w:hint="eastAsia"/>
          <w:color w:val="auto"/>
          <w:highlight w:val="none"/>
          <w:lang w:val="en-US" w:eastAsia="zh-CN"/>
        </w:rPr>
        <w:t>是</w:t>
      </w:r>
      <w:r>
        <w:rPr>
          <w:rFonts w:hint="eastAsia"/>
          <w:color w:val="auto"/>
          <w:highlight w:val="none"/>
          <w:lang w:eastAsia="zh-CN"/>
        </w:rPr>
        <w:t>根据《中共林芝市委关于制定林芝市国民经济和社会发展第十四个五年规划和二〇三五年远景目标的建议》编制，主要阐明市委、市政府的施政方针和战略意图，明确政府工作重点，体现各族群众意愿，引导市场主体行为，是未来五年经济社会发展的宏伟蓝图，是全市各级各部门依法履行职责、编制专项规划、制定实施年度计划和各项政策措施的重要依据，是全社会共同的行动纲领。</w:t>
      </w:r>
    </w:p>
    <w:p>
      <w:pPr>
        <w:pStyle w:val="6"/>
        <w:bidi w:val="0"/>
        <w:rPr>
          <w:rFonts w:hint="eastAsia"/>
          <w:b/>
          <w:bCs/>
          <w:color w:val="auto"/>
          <w:highlight w:val="none"/>
        </w:rPr>
      </w:pPr>
      <w:r>
        <w:rPr>
          <w:rFonts w:hint="eastAsia"/>
          <w:b/>
          <w:bCs/>
          <w:color w:val="auto"/>
          <w:highlight w:val="none"/>
          <w:lang w:eastAsia="zh-CN"/>
        </w:rPr>
        <w:t>（</w:t>
      </w:r>
      <w:r>
        <w:rPr>
          <w:rFonts w:hint="eastAsia"/>
          <w:b/>
          <w:bCs/>
          <w:color w:val="auto"/>
          <w:highlight w:val="none"/>
          <w:lang w:val="en-US" w:eastAsia="zh-CN"/>
        </w:rPr>
        <w:t>二</w:t>
      </w:r>
      <w:r>
        <w:rPr>
          <w:rFonts w:hint="eastAsia"/>
          <w:b/>
          <w:bCs/>
          <w:color w:val="auto"/>
          <w:highlight w:val="none"/>
          <w:lang w:eastAsia="zh-CN"/>
        </w:rPr>
        <w:t>）</w:t>
      </w:r>
      <w:r>
        <w:rPr>
          <w:rFonts w:hint="eastAsia"/>
          <w:b/>
          <w:bCs/>
          <w:color w:val="auto"/>
          <w:highlight w:val="none"/>
        </w:rPr>
        <w:t>《纲要》相关内容</w:t>
      </w:r>
    </w:p>
    <w:p>
      <w:pPr>
        <w:pStyle w:val="6"/>
        <w:bidi w:val="0"/>
        <w:rPr>
          <w:rFonts w:hint="eastAsia"/>
          <w:color w:val="auto"/>
          <w:highlight w:val="none"/>
          <w:lang w:val="en-US" w:eastAsia="zh-CN"/>
        </w:rPr>
      </w:pPr>
      <w:r>
        <w:rPr>
          <w:rFonts w:hint="eastAsia"/>
          <w:color w:val="auto"/>
          <w:highlight w:val="none"/>
          <w:lang w:val="en-US" w:eastAsia="zh-CN"/>
        </w:rPr>
        <w:t>展望二〇三五年，林芝与全国一道基本实现社会主义现代化。经济实力、综合实力大幅跃升，特色优势产业竞争力明显增强，结构合理、支撑有力、特色鲜明的高原现代经济体系基本建立，集约高效、经济适用、智能绿色、安全可靠、互联互通的现代化基础设施体系初步建成，新型工业化、信息化、城镇化、农牧业现代化基本实现，成为全区经济副中心。……美丽林芝全面建成，生态环境质量持续保持全国领先水平，所有县区达到国家生态文明建设示范县区标准，成为全国乃至国际生态文明高地，率先实现“碳达峰”和“碳中和”。国家重要安全屏障进一步筑牢，固边强边取得新成效。人民平等参与、平等发展权利得到充分保障，法治林芝、法治政府、法治社会基本建成。各方面制度更加完善，治理体系和治理能力现代化基本实现，藏传佛教中国化取得新进展，社会文明程度达到新高度，社会大局实现长治久安。</w:t>
      </w:r>
    </w:p>
    <w:p>
      <w:pPr>
        <w:pStyle w:val="6"/>
        <w:bidi w:val="0"/>
        <w:rPr>
          <w:rFonts w:hint="eastAsia"/>
          <w:color w:val="auto"/>
          <w:highlight w:val="none"/>
          <w:lang w:eastAsia="zh-CN"/>
        </w:rPr>
      </w:pPr>
      <w:r>
        <w:rPr>
          <w:rFonts w:hint="eastAsia"/>
          <w:b/>
          <w:bCs/>
          <w:color w:val="auto"/>
          <w:highlight w:val="none"/>
        </w:rPr>
        <w:t>经济发展更加持续。</w:t>
      </w:r>
      <w:r>
        <w:rPr>
          <w:rFonts w:hint="eastAsia"/>
          <w:color w:val="auto"/>
          <w:highlight w:val="none"/>
        </w:rPr>
        <w:t>围绕国家重大项目建设，加快转变产业发展方式，国际生态旅游区和国家全域旅游示范区目标初步建成</w:t>
      </w:r>
      <w:r>
        <w:rPr>
          <w:rFonts w:hint="eastAsia"/>
          <w:color w:val="auto"/>
          <w:highlight w:val="none"/>
          <w:lang w:eastAsia="zh-CN"/>
        </w:rPr>
        <w:t>……</w:t>
      </w:r>
      <w:r>
        <w:rPr>
          <w:rFonts w:hint="eastAsia"/>
          <w:color w:val="auto"/>
          <w:highlight w:val="none"/>
        </w:rPr>
        <w:t>。力争到2025年全市城镇化率达到 46%以上，“十四五”时期实现地区生产总值年均增长8.5%左右，农畜产品加工业总产值年均增速10%以上，工业总产值年均增长12%以上，天然饮用水产销年均增长20%以上，旅游人次和旅游收入年均增速分别保持在11%和12%以上</w:t>
      </w:r>
      <w:r>
        <w:rPr>
          <w:rFonts w:hint="eastAsia"/>
          <w:color w:val="auto"/>
          <w:highlight w:val="none"/>
          <w:lang w:eastAsia="zh-CN"/>
        </w:rPr>
        <w:t>。</w:t>
      </w:r>
    </w:p>
    <w:p>
      <w:pPr>
        <w:pStyle w:val="27"/>
        <w:bidi w:val="0"/>
        <w:rPr>
          <w:rFonts w:hint="eastAsia"/>
          <w:color w:val="auto"/>
          <w:highlight w:val="none"/>
          <w:lang w:eastAsia="zh-CN"/>
        </w:rPr>
      </w:pPr>
      <w:r>
        <w:rPr>
          <w:rFonts w:hint="eastAsia"/>
          <w:color w:val="auto"/>
          <w:highlight w:val="none"/>
          <w:lang w:val="en-US" w:eastAsia="zh-CN"/>
        </w:rPr>
        <w:t xml:space="preserve">表2.2-9  </w:t>
      </w:r>
      <w:r>
        <w:rPr>
          <w:color w:val="auto"/>
          <w:highlight w:val="none"/>
          <w:lang w:val="en-US" w:eastAsia="zh-CN"/>
        </w:rPr>
        <w:t>林芝市“十四五”规划主要指标表</w:t>
      </w:r>
    </w:p>
    <w:tbl>
      <w:tblPr>
        <w:tblStyle w:val="24"/>
        <w:tblW w:w="505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1122"/>
        <w:gridCol w:w="3926"/>
        <w:gridCol w:w="1348"/>
        <w:gridCol w:w="794"/>
        <w:gridCol w:w="741"/>
        <w:gridCol w:w="6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类 别 </w:t>
            </w: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指 标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2020 年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2025 年</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目标</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年均增长</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累计〕</w:t>
            </w:r>
          </w:p>
        </w:tc>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指标</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属性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经济发展</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（4个）</w:t>
            </w: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1.地区生产总值年均增速（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191.34 亿元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8.5 </w:t>
            </w:r>
          </w:p>
        </w:tc>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2.常住人口城镇化率（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43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46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[3]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3.旅游总收入年均增速（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39.92 亿元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125 亿元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12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4.清洁能源电力装机容量（ 万千瓦）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137.18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377.18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创新发展</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2 个）</w:t>
            </w: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5.研发经费投入增长（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5 </w:t>
            </w:r>
          </w:p>
        </w:tc>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6.每万人发明专利拥有量（ 件）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7.2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10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[2.8]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民生福祉</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8 个）</w:t>
            </w: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7.城镇居民人均可支配收入增速（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36480 元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11 </w:t>
            </w:r>
          </w:p>
        </w:tc>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8.农村居民人均可支配收入增速（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18791 元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13.5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9.城镇调查失业率（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5.0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10.劳动年龄人口平均受教育年限（ 年）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9.2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10.7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[1.5]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11.每千人拥有执业（ 助理） 医师数（ 人）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2.2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2.8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[0.6]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12.基本养老保险参保率（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97.6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98.5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[0.9]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13.九年义务教育巩固率（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95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97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[2]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14.人均预期寿命（ 岁）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71.1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72.3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[1.2]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生态发展</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9 个）</w:t>
            </w: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15.单位地区生产总值能源消耗降低（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[11.8]</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核定</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范围内</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核定</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范围内</w:t>
            </w:r>
          </w:p>
        </w:tc>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约束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16.单位地区生产总值二氧化碳排放降低</w:t>
            </w:r>
          </w:p>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[13.3]</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核定</w:t>
            </w:r>
          </w:p>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范围内</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核定</w:t>
            </w:r>
          </w:p>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范围内</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约束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17.县级及以上城市空气质量优良天数比例</w:t>
            </w:r>
          </w:p>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100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100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约束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18.地表水达到或好于Ⅲ类水体比例（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100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100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约束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19.森林覆盖率（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47.66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47.71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[0.05]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约束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20.草原综合植被盖度（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73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73.5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[0.5]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约束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21.耕地保有量（ 万亩）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4.8979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约束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51"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22. 县城及以上城镇污水处理率（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76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85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[9]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51"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23. 县城及以上城镇生活垃圾无害化处理</w:t>
            </w:r>
          </w:p>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率（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97.4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98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[0.6]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51"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安全发展</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2 个）</w:t>
            </w: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24.青稞产量（ 万吨）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2.25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2.25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 xml:space="preserve">--- </w:t>
            </w:r>
          </w:p>
        </w:tc>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预期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51"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2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25.边境地区人口增长率（ %） </w:t>
            </w:r>
          </w:p>
        </w:tc>
        <w:tc>
          <w:tcPr>
            <w:tcW w:w="7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 </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 </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 xml:space="preserve">4.8 </w:t>
            </w:r>
          </w:p>
        </w:tc>
        <w:tc>
          <w:tcPr>
            <w:tcW w:w="401"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4"/>
                <w:highlight w:val="none"/>
                <w:lang w:val="en-US" w:eastAsia="zh-CN" w:bidi="ar-SA"/>
              </w:rPr>
            </w:pPr>
            <w:r>
              <w:rPr>
                <w:rFonts w:hint="default"/>
                <w:color w:val="auto"/>
                <w:highlight w:val="none"/>
                <w:lang w:val="en-US" w:eastAsia="zh-CN"/>
              </w:rPr>
              <w:t>预期</w:t>
            </w:r>
          </w:p>
        </w:tc>
      </w:tr>
    </w:tbl>
    <w:p>
      <w:pPr>
        <w:pStyle w:val="6"/>
        <w:bidi w:val="0"/>
        <w:rPr>
          <w:rFonts w:hint="default" w:eastAsia="宋体"/>
          <w:b/>
          <w:bCs/>
          <w:color w:val="auto"/>
          <w:highlight w:val="none"/>
          <w:lang w:val="en-US" w:eastAsia="zh-CN"/>
        </w:rPr>
      </w:pPr>
      <w:r>
        <w:rPr>
          <w:rFonts w:hint="eastAsia"/>
          <w:b/>
          <w:bCs/>
          <w:color w:val="auto"/>
          <w:highlight w:val="none"/>
          <w:lang w:val="en-US" w:eastAsia="zh-CN"/>
        </w:rPr>
        <w:t>3、符合性分析</w:t>
      </w:r>
    </w:p>
    <w:p>
      <w:pPr>
        <w:pStyle w:val="6"/>
        <w:bidi w:val="0"/>
        <w:rPr>
          <w:rFonts w:hint="eastAsia"/>
          <w:color w:val="1A15F1"/>
          <w:highlight w:val="none"/>
        </w:rPr>
      </w:pPr>
      <w:r>
        <w:rPr>
          <w:rFonts w:hint="eastAsia"/>
          <w:color w:val="1A15F1"/>
          <w:lang w:val="en-US" w:eastAsia="zh-CN"/>
        </w:rPr>
        <w:t>“林芝市全域旅游发展规划（2018-2025年）”的</w:t>
      </w:r>
      <w:r>
        <w:rPr>
          <w:rFonts w:hint="eastAsia"/>
          <w:color w:val="1A15F1"/>
          <w:highlight w:val="none"/>
        </w:rPr>
        <w:t>旅游形象定位</w:t>
      </w:r>
      <w:r>
        <w:rPr>
          <w:rFonts w:hint="eastAsia"/>
          <w:color w:val="1A15F1"/>
          <w:highlight w:val="none"/>
          <w:lang w:val="en-US" w:eastAsia="zh-CN"/>
        </w:rPr>
        <w:t>为</w:t>
      </w:r>
      <w:r>
        <w:rPr>
          <w:rFonts w:hint="eastAsia"/>
          <w:color w:val="1A15F1"/>
          <w:highlight w:val="none"/>
        </w:rPr>
        <w:t>人间净地·醉美林芝</w:t>
      </w:r>
      <w:r>
        <w:rPr>
          <w:rFonts w:hint="eastAsia"/>
          <w:color w:val="1A15F1"/>
          <w:highlight w:val="none"/>
          <w:lang w:eastAsia="zh-CN"/>
        </w:rPr>
        <w:t>，</w:t>
      </w:r>
      <w:r>
        <w:rPr>
          <w:rFonts w:hint="eastAsia"/>
          <w:color w:val="1A15F1"/>
          <w:highlight w:val="none"/>
        </w:rPr>
        <w:t>发展定位</w:t>
      </w:r>
      <w:r>
        <w:rPr>
          <w:rFonts w:hint="eastAsia"/>
          <w:color w:val="1A15F1"/>
          <w:highlight w:val="none"/>
          <w:lang w:val="en-US" w:eastAsia="zh-CN"/>
        </w:rPr>
        <w:t>为</w:t>
      </w:r>
      <w:r>
        <w:rPr>
          <w:rFonts w:hint="eastAsia"/>
          <w:color w:val="1A15F1"/>
          <w:highlight w:val="none"/>
        </w:rPr>
        <w:t>世界级高原生态旅游度假目的地、世界级公路旅游目的地。</w:t>
      </w:r>
      <w:r>
        <w:rPr>
          <w:rFonts w:hint="eastAsia"/>
          <w:color w:val="1A15F1"/>
          <w:highlight w:val="none"/>
          <w:lang w:val="en-US" w:eastAsia="zh-CN"/>
        </w:rPr>
        <w:t>规划目标至</w:t>
      </w:r>
      <w:r>
        <w:rPr>
          <w:rFonts w:hint="eastAsia"/>
          <w:color w:val="1A15F1"/>
          <w:highlight w:val="none"/>
        </w:rPr>
        <w:t>远期2025年提升品质，逐步跨越，晋身世界级高原生态旅游度假目的地和世界级公路旅游目的地。从市场到政府，搭建全域旅游大平台，强化政府统筹职能，搭建全域旅游发展平台，激发多边协作。立足自身资源、紧跟市场需求、围绕旅游体验、创新旅游产品，快速构建核心吸引力。从景区到产业，逐步培育全域旅游核心竞争力推动泛景区化旅游目的地建设，发展15个泛景区化旅游目的地，形成“一主轴三环线”旅游发展带，引导旅游产业集聚。从配套到服务，形成全域旅游体验链，加快公共服务体系建设，优化服务供给，形成优质旅游体验链。从旅游业到城镇化，实现城旅共荣，推动旅游与城市一体化发展。</w:t>
      </w:r>
    </w:p>
    <w:p>
      <w:pPr>
        <w:pStyle w:val="6"/>
        <w:bidi w:val="0"/>
        <w:rPr>
          <w:rFonts w:hint="eastAsia"/>
          <w:color w:val="auto"/>
          <w:highlight w:val="none"/>
        </w:rPr>
      </w:pPr>
      <w:r>
        <w:rPr>
          <w:rFonts w:hint="eastAsia"/>
          <w:color w:val="auto"/>
          <w:highlight w:val="none"/>
        </w:rPr>
        <w:t>本次规划目标的制定正是以《纲要》为指导，围绕《纲要》目标，践行《纲要》措施，并遵守及落实纲要中提出的生态环境保护及生态文明建设要求及措施，本规划符合《纲要》要求。</w:t>
      </w:r>
    </w:p>
    <w:p>
      <w:pPr>
        <w:pStyle w:val="6"/>
        <w:ind w:firstLine="480"/>
        <w:rPr>
          <w:rFonts w:hint="default" w:eastAsia="宋体"/>
          <w:b/>
          <w:bCs/>
          <w:color w:val="00B050"/>
          <w:lang w:val="en-US" w:eastAsia="zh-CN"/>
        </w:rPr>
      </w:pPr>
      <w:r>
        <w:rPr>
          <w:rFonts w:hint="eastAsia"/>
          <w:b/>
          <w:bCs/>
          <w:color w:val="00B050"/>
          <w:lang w:val="en-US" w:eastAsia="zh-CN"/>
        </w:rPr>
        <w:t>2、与《西藏林芝城市总体规划（2012~2030）》的符合性分析</w:t>
      </w:r>
    </w:p>
    <w:p>
      <w:pPr>
        <w:pStyle w:val="6"/>
        <w:ind w:firstLine="480"/>
        <w:rPr>
          <w:rFonts w:hint="eastAsia" w:eastAsia="宋体"/>
          <w:color w:val="1A15F1"/>
          <w:lang w:val="en-US" w:eastAsia="zh-CN"/>
        </w:rPr>
      </w:pPr>
      <w:r>
        <w:rPr>
          <w:rFonts w:hint="eastAsia"/>
          <w:color w:val="1A15F1"/>
          <w:lang w:eastAsia="zh-CN"/>
        </w:rPr>
        <w:t>《西藏林芝城市总体规划（2012</w:t>
      </w:r>
      <w:r>
        <w:rPr>
          <w:rFonts w:hint="eastAsia"/>
          <w:b/>
          <w:bCs/>
          <w:color w:val="1A15F1"/>
          <w:lang w:val="en-US" w:eastAsia="zh-CN"/>
        </w:rPr>
        <w:t>~</w:t>
      </w:r>
      <w:r>
        <w:rPr>
          <w:rFonts w:hint="eastAsia"/>
          <w:color w:val="1A15F1"/>
          <w:lang w:eastAsia="zh-CN"/>
        </w:rPr>
        <w:t>2030）》确定城市主导产业为旅游业。城市产业体系的构建，围绕国际旅游城市的发展目标大力发展特色农产品加工业、藏药产业、积极发展商务办公服务业。以绿色、生态、无公害为标准，扩大藏鸡藏猪养殖、奶牛养殖、无公害蔬菜、优质水果基地、核桃、花椒、辣椒种植、林下资源采集加工等特色产业规模，扶持鼓励农牧民开展花卉种植，培育若干个有效益、有竞争力的特色产业企业。依托丰富的藏药材资源，逐步延伸加工和销售下游产业。利用林芝地区气候宜人，生态环境好，海拔低等特点，大力发展商务办公服务业，建设大型企业管理运行基地，带动中心城区现代服务业发展，努力建设林芝为青藏高原生态宜居地区。</w:t>
      </w:r>
    </w:p>
    <w:p>
      <w:pPr>
        <w:pStyle w:val="6"/>
        <w:bidi w:val="0"/>
        <w:rPr>
          <w:rFonts w:hint="eastAsia"/>
          <w:color w:val="1A15F1"/>
          <w:highlight w:val="none"/>
          <w:lang w:val="en-US" w:eastAsia="zh-CN"/>
        </w:rPr>
      </w:pPr>
      <w:r>
        <w:rPr>
          <w:rFonts w:hint="default" w:eastAsia="宋体"/>
          <w:color w:val="1A15F1"/>
          <w:lang w:val="en-US" w:eastAsia="zh-CN"/>
        </w:rPr>
        <w:t>《林芝市全域旅游发展规划（2018-2025年）》</w:t>
      </w:r>
      <w:r>
        <w:rPr>
          <w:rFonts w:hint="eastAsia"/>
          <w:color w:val="1A15F1"/>
          <w:lang w:val="en-US" w:eastAsia="zh-CN"/>
        </w:rPr>
        <w:t>以</w:t>
      </w:r>
      <w:r>
        <w:rPr>
          <w:rFonts w:hint="eastAsia"/>
          <w:color w:val="1A15F1"/>
          <w:highlight w:val="none"/>
        </w:rPr>
        <w:t>搭建全域旅游发展平台和目的地服务体系，成为国家全域旅游示范区</w:t>
      </w:r>
      <w:r>
        <w:rPr>
          <w:rFonts w:hint="eastAsia"/>
          <w:color w:val="1A15F1"/>
          <w:highlight w:val="none"/>
          <w:lang w:val="en-US" w:eastAsia="zh-CN"/>
        </w:rPr>
        <w:t>为目标</w:t>
      </w:r>
      <w:r>
        <w:rPr>
          <w:rFonts w:hint="eastAsia"/>
          <w:color w:val="1A15F1"/>
          <w:highlight w:val="none"/>
        </w:rPr>
        <w:t>。力争至2020年年接待旅游者850.53万人次，旅游收入达到79.74亿元；旅游业增加值对GDP综合贡献在15%或以上；旅游税收占地方财政收入10%或以上；旅游直接从业人员达1.8万人，带动就业逾6万人，占就业总数的综合贡献20%或以上；从事旅游业的农牧民达1.5万人，人均增收1.5万元，年纯收入20%或以上源于旅游收入。中期2023年：融合创新、全域拓展，实现旅游基础及服务设施全域覆盖，旅游产业竞争力稳步提升。远期202</w:t>
      </w:r>
      <w:r>
        <w:rPr>
          <w:rFonts w:hint="eastAsia"/>
          <w:color w:val="1A15F1"/>
          <w:highlight w:val="none"/>
          <w:lang w:val="en-US" w:eastAsia="zh-CN"/>
        </w:rPr>
        <w:t>5</w:t>
      </w:r>
      <w:r>
        <w:rPr>
          <w:rFonts w:hint="eastAsia"/>
          <w:color w:val="1A15F1"/>
          <w:highlight w:val="none"/>
        </w:rPr>
        <w:t>年：提升品质，逐步跨越，晋身世界级高原生态旅游度假目的地和世界级公路旅游目的地。</w:t>
      </w:r>
      <w:r>
        <w:rPr>
          <w:rFonts w:hint="eastAsia"/>
          <w:b w:val="0"/>
          <w:bCs w:val="0"/>
          <w:color w:val="1A15F1"/>
          <w:lang w:val="en-US" w:eastAsia="zh-CN"/>
        </w:rPr>
        <w:t>“林芝市全域旅游发展规划（2018~2025年）”</w:t>
      </w:r>
      <w:r>
        <w:rPr>
          <w:rFonts w:hint="eastAsia" w:eastAsia="宋体"/>
          <w:color w:val="1A15F1"/>
          <w:highlight w:val="none"/>
          <w:lang w:val="en-US" w:eastAsia="zh-CN"/>
        </w:rPr>
        <w:t>为全域旅游发展规划，符合</w:t>
      </w:r>
      <w:r>
        <w:rPr>
          <w:rFonts w:hint="eastAsia"/>
          <w:color w:val="1A15F1"/>
          <w:highlight w:val="none"/>
          <w:lang w:eastAsia="zh-CN"/>
        </w:rPr>
        <w:t>《西藏林芝城市总体规划（2012</w:t>
      </w:r>
      <w:r>
        <w:rPr>
          <w:rFonts w:hint="eastAsia"/>
          <w:b/>
          <w:bCs/>
          <w:color w:val="1A15F1"/>
          <w:lang w:val="en-US" w:eastAsia="zh-CN"/>
        </w:rPr>
        <w:t>~</w:t>
      </w:r>
      <w:r>
        <w:rPr>
          <w:rFonts w:hint="eastAsia"/>
          <w:color w:val="1A15F1"/>
          <w:highlight w:val="none"/>
          <w:lang w:eastAsia="zh-CN"/>
        </w:rPr>
        <w:t>2030）》</w:t>
      </w:r>
      <w:r>
        <w:rPr>
          <w:rFonts w:hint="eastAsia"/>
          <w:color w:val="1A15F1"/>
          <w:highlight w:val="none"/>
          <w:lang w:val="en-US" w:eastAsia="zh-CN"/>
        </w:rPr>
        <w:t>中主导产业的定位。同时</w:t>
      </w:r>
      <w:r>
        <w:rPr>
          <w:rFonts w:hint="default" w:eastAsia="宋体"/>
          <w:color w:val="1A15F1"/>
          <w:highlight w:val="none"/>
          <w:lang w:val="en-US" w:eastAsia="zh-CN"/>
        </w:rPr>
        <w:t>《林芝市全域旅游发展规划（2018</w:t>
      </w:r>
      <w:r>
        <w:rPr>
          <w:rFonts w:hint="eastAsia"/>
          <w:b/>
          <w:bCs/>
          <w:color w:val="1A15F1"/>
          <w:lang w:val="en-US" w:eastAsia="zh-CN"/>
        </w:rPr>
        <w:t>~</w:t>
      </w:r>
      <w:r>
        <w:rPr>
          <w:rFonts w:hint="default" w:eastAsia="宋体"/>
          <w:color w:val="1A15F1"/>
          <w:highlight w:val="none"/>
          <w:lang w:val="en-US" w:eastAsia="zh-CN"/>
        </w:rPr>
        <w:t>2025年）》</w:t>
      </w:r>
      <w:r>
        <w:rPr>
          <w:rFonts w:hint="eastAsia" w:eastAsia="宋体"/>
          <w:color w:val="1A15F1"/>
          <w:highlight w:val="none"/>
          <w:lang w:val="en-US" w:eastAsia="zh-CN"/>
        </w:rPr>
        <w:t>旅游</w:t>
      </w:r>
      <w:r>
        <w:rPr>
          <w:rFonts w:hint="eastAsia"/>
          <w:color w:val="1A15F1"/>
          <w:highlight w:val="none"/>
          <w:lang w:val="en-US" w:eastAsia="zh-CN"/>
        </w:rPr>
        <w:t>产品体系包括农牧业+旅游融合、林业+旅游融合、文化产业+旅游融合、康养产业+旅游融合、体育产业+旅游融合、科研教育产业+旅游融合、商贸流通业+旅游。</w:t>
      </w:r>
      <w:r>
        <w:rPr>
          <w:rFonts w:hint="eastAsia"/>
          <w:color w:val="1A15F1"/>
          <w:highlight w:val="none"/>
        </w:rPr>
        <w:t>形成多产业融合发展新局面。</w:t>
      </w:r>
      <w:r>
        <w:rPr>
          <w:rFonts w:hint="eastAsia"/>
          <w:color w:val="1A15F1"/>
          <w:highlight w:val="none"/>
          <w:lang w:val="en-US" w:eastAsia="zh-CN"/>
        </w:rPr>
        <w:t>延伸旅游产业链、拓宽旅游产业面，促进资源整合与产业融合，与</w:t>
      </w:r>
      <w:r>
        <w:rPr>
          <w:rFonts w:hint="eastAsia"/>
          <w:color w:val="1A15F1"/>
          <w:highlight w:val="none"/>
          <w:lang w:eastAsia="zh-CN"/>
        </w:rPr>
        <w:t>《西藏林芝城市总体规划（2012</w:t>
      </w:r>
      <w:r>
        <w:rPr>
          <w:rFonts w:hint="eastAsia"/>
          <w:b/>
          <w:bCs/>
          <w:color w:val="1A15F1"/>
          <w:lang w:val="en-US" w:eastAsia="zh-CN"/>
        </w:rPr>
        <w:t>~</w:t>
      </w:r>
      <w:r>
        <w:rPr>
          <w:rFonts w:hint="eastAsia"/>
          <w:color w:val="1A15F1"/>
          <w:highlight w:val="none"/>
          <w:lang w:eastAsia="zh-CN"/>
        </w:rPr>
        <w:t>2030）》</w:t>
      </w:r>
      <w:r>
        <w:rPr>
          <w:rFonts w:hint="eastAsia"/>
          <w:color w:val="1A15F1"/>
          <w:highlight w:val="none"/>
          <w:lang w:val="en-US" w:eastAsia="zh-CN"/>
        </w:rPr>
        <w:t>中林芝市发展目标相符合。</w:t>
      </w:r>
    </w:p>
    <w:p>
      <w:pPr>
        <w:pStyle w:val="5"/>
        <w:bidi w:val="0"/>
        <w:rPr>
          <w:rFonts w:hint="eastAsia"/>
          <w:highlight w:val="none"/>
          <w:lang w:val="en-US" w:eastAsia="zh-CN"/>
        </w:rPr>
      </w:pPr>
      <w:bookmarkStart w:id="72" w:name="_Toc20201"/>
      <w:r>
        <w:rPr>
          <w:rFonts w:hint="eastAsia"/>
          <w:highlight w:val="none"/>
          <w:lang w:val="en-US" w:eastAsia="zh-CN"/>
        </w:rPr>
        <w:t>2.2.5与相关保护区规划协调性分析</w:t>
      </w:r>
      <w:bookmarkEnd w:id="72"/>
    </w:p>
    <w:p>
      <w:pPr>
        <w:pStyle w:val="2"/>
        <w:bidi w:val="0"/>
        <w:rPr>
          <w:rFonts w:hint="eastAsia"/>
          <w:highlight w:val="none"/>
        </w:rPr>
      </w:pPr>
      <w:r>
        <w:rPr>
          <w:rFonts w:hint="eastAsia"/>
          <w:highlight w:val="none"/>
          <w:lang w:val="en-US" w:eastAsia="zh-CN"/>
        </w:rPr>
        <w:t>2.2.5.1</w:t>
      </w:r>
      <w:r>
        <w:rPr>
          <w:rFonts w:hint="eastAsia"/>
          <w:highlight w:val="none"/>
        </w:rPr>
        <w:t>与《</w:t>
      </w:r>
      <w:r>
        <w:rPr>
          <w:rFonts w:hint="eastAsia"/>
          <w:highlight w:val="none"/>
          <w:lang w:val="en-US" w:eastAsia="zh-CN"/>
        </w:rPr>
        <w:t>西藏</w:t>
      </w:r>
      <w:r>
        <w:rPr>
          <w:rFonts w:hint="eastAsia"/>
          <w:highlight w:val="none"/>
        </w:rPr>
        <w:t>雅鲁藏布大峡谷国家级自然保护区总体规划</w:t>
      </w:r>
      <w:r>
        <w:rPr>
          <w:rFonts w:hint="eastAsia"/>
          <w:highlight w:val="none"/>
          <w:lang w:eastAsia="zh-CN"/>
        </w:rPr>
        <w:t>（</w:t>
      </w:r>
      <w:r>
        <w:rPr>
          <w:rFonts w:hint="eastAsia"/>
          <w:highlight w:val="none"/>
          <w:lang w:val="en-US" w:eastAsia="zh-CN"/>
        </w:rPr>
        <w:t>2011~2020</w:t>
      </w:r>
      <w:r>
        <w:rPr>
          <w:rFonts w:hint="eastAsia"/>
          <w:highlight w:val="none"/>
          <w:lang w:eastAsia="zh-CN"/>
        </w:rPr>
        <w:t>）</w:t>
      </w:r>
      <w:r>
        <w:rPr>
          <w:rFonts w:hint="eastAsia"/>
          <w:highlight w:val="none"/>
        </w:rPr>
        <w:t>》协调性分析</w:t>
      </w:r>
    </w:p>
    <w:p>
      <w:pPr>
        <w:pStyle w:val="6"/>
        <w:ind w:firstLine="482"/>
        <w:rPr>
          <w:rFonts w:hint="eastAsia"/>
          <w:b/>
          <w:bCs/>
        </w:rPr>
      </w:pPr>
      <w:r>
        <w:rPr>
          <w:rFonts w:hint="eastAsia"/>
          <w:b/>
          <w:bCs/>
        </w:rPr>
        <w:t>1、《西藏雅鲁藏布大峡谷国家级自然保护区总体规划（2011~2020）》规划概要</w:t>
      </w:r>
    </w:p>
    <w:p>
      <w:pPr>
        <w:pStyle w:val="6"/>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主要保护对象</w:t>
      </w:r>
    </w:p>
    <w:p>
      <w:pPr>
        <w:pStyle w:val="6"/>
        <w:bidi w:val="0"/>
        <w:rPr>
          <w:rFonts w:hint="eastAsia"/>
          <w:highlight w:val="none"/>
          <w:lang w:val="en-US" w:eastAsia="zh-CN"/>
        </w:rPr>
      </w:pPr>
      <w:r>
        <w:rPr>
          <w:rFonts w:hint="eastAsia"/>
          <w:highlight w:val="none"/>
          <w:lang w:val="en-US" w:eastAsia="zh-CN"/>
        </w:rPr>
        <w:t>大峡谷保护区是保护以热带北缘半常绿季风雨林生态系统为基带的我国最完整的湿润山地森林生态系统垂直类型组合系列与生存其间的众多珍稀濒危生物物种，以及世界第一大峡谷自然景观和青藏高原最主要水汽通道环境的自然保护区。主要保护对象：①以热带北缘半常绿季风雨林生态系统为基带的我国最完整的湿润山地森林生态系统垂直类型组合系列与生存其间的珍稀濒危物种；②对西藏生态环境有重要影响的水汽通道环境；③保存完整的世界第一大峡谷自然遗迹。</w:t>
      </w:r>
    </w:p>
    <w:p>
      <w:pPr>
        <w:pStyle w:val="6"/>
        <w:ind w:firstLine="480"/>
        <w:rPr>
          <w:rFonts w:hint="eastAsia"/>
        </w:rPr>
      </w:pPr>
      <w:r>
        <w:rPr>
          <w:rFonts w:hint="eastAsia"/>
        </w:rPr>
        <w:t>（2）保护范围</w:t>
      </w:r>
    </w:p>
    <w:p>
      <w:pPr>
        <w:pStyle w:val="6"/>
        <w:ind w:firstLine="480"/>
        <w:rPr>
          <w:rFonts w:hint="eastAsia"/>
        </w:rPr>
      </w:pPr>
      <w:r>
        <w:rPr>
          <w:rFonts w:hint="eastAsia"/>
        </w:rPr>
        <w:t>大峡谷保护区地处西藏自治区林芝市，跨墨脱、波密、林芝和米林4县，地理坐标为北纬29°05＇～30°20＇，东经 94°39＇～96°06＇之间，其南以高尤拉与丹巴江北部分水岭为界，北抵纳雍嘎簸雪山、迫隆藏布江与哽日嘎布山脉主脊；西自东喜马拉雅山脉主脊线，白努弄巴和则巴弄巴西侧分水岭，东达哽日嘎布主峰，保护区总面积916800hm²。</w:t>
      </w:r>
    </w:p>
    <w:p>
      <w:pPr>
        <w:pStyle w:val="6"/>
        <w:numPr>
          <w:ilvl w:val="0"/>
          <w:numId w:val="5"/>
        </w:numPr>
        <w:ind w:firstLine="480"/>
        <w:rPr>
          <w:rFonts w:hint="eastAsia"/>
        </w:rPr>
      </w:pPr>
      <w:r>
        <w:rPr>
          <w:rFonts w:hint="eastAsia"/>
        </w:rPr>
        <w:t>功能区划</w:t>
      </w:r>
    </w:p>
    <w:p>
      <w:pPr>
        <w:pStyle w:val="6"/>
        <w:ind w:firstLine="480"/>
        <w:rPr>
          <w:rFonts w:hint="eastAsia"/>
        </w:rPr>
      </w:pPr>
      <w:r>
        <w:t>核心区</w:t>
      </w:r>
      <w:r>
        <w:rPr>
          <w:rFonts w:hint="eastAsia"/>
        </w:rPr>
        <w:t>：大峡谷保护区核心区共有6个，南迦巴瓦——加拉白垒核心区，德阳沟核心区，布琼湖核心区，达木核心区，岗乡核心区，加玉核心区，其总面积为320000hm</w:t>
      </w:r>
      <w:r>
        <w:rPr>
          <w:rFonts w:hint="eastAsia"/>
          <w:vertAlign w:val="superscript"/>
        </w:rPr>
        <w:t>2</w:t>
      </w:r>
      <w:r>
        <w:rPr>
          <w:rFonts w:hint="eastAsia"/>
        </w:rPr>
        <w:t>，占大峡谷保护区总面积的33%。</w:t>
      </w:r>
    </w:p>
    <w:p>
      <w:pPr>
        <w:pStyle w:val="6"/>
        <w:ind w:firstLine="480"/>
      </w:pPr>
      <w:r>
        <w:rPr>
          <w:rFonts w:hint="eastAsia"/>
        </w:rPr>
        <w:t>缓冲区：南迦巴瓦缓冲区、达木缓冲区和加玉缓冲区，总面积37000hm²。</w:t>
      </w:r>
    </w:p>
    <w:p>
      <w:pPr>
        <w:pStyle w:val="6"/>
        <w:ind w:firstLine="480"/>
      </w:pPr>
      <w:r>
        <w:rPr>
          <w:rFonts w:hint="eastAsia"/>
        </w:rPr>
        <w:t>试验区：大峡谷保护区的居民主要聚居在雅鲁藏布江干支流地势平缓的地区。这一地区由于受到人类长时期生产活动的影响，原始的森林生态系统已遭受到较严重的破坏，大部林地都被辟作永久农田或刀耕火种地。在这些半人工生态系统中分布着大小村落。将这些区域区划为实验区，总面积559800 hm²，占保护区总面积的63%。</w:t>
      </w:r>
    </w:p>
    <w:p>
      <w:pPr>
        <w:pStyle w:val="6"/>
        <w:ind w:firstLine="480"/>
      </w:pPr>
      <w:r>
        <w:rPr>
          <w:rFonts w:hint="eastAsia"/>
        </w:rPr>
        <w:t>（3）功能区保护措施</w:t>
      </w:r>
    </w:p>
    <w:p>
      <w:pPr>
        <w:pStyle w:val="6"/>
        <w:ind w:firstLine="480"/>
        <w:rPr>
          <w:rFonts w:hint="eastAsia"/>
        </w:rPr>
      </w:pPr>
      <w:r>
        <w:rPr>
          <w:rFonts w:hint="eastAsia"/>
        </w:rPr>
        <w:t>1）严格保护区域</w:t>
      </w:r>
    </w:p>
    <w:p>
      <w:pPr>
        <w:pStyle w:val="6"/>
        <w:ind w:firstLine="480"/>
        <w:rPr>
          <w:rFonts w:hint="eastAsia"/>
        </w:rPr>
      </w:pPr>
      <w:r>
        <w:rPr>
          <w:rFonts w:hint="eastAsia"/>
        </w:rPr>
        <w:t>包括功能区的核心区和缓冲区，禁止任何形式的生产经营活动，只允许从事监测、观察活动，并可用作区域生态系统基本规律研究的场所。在工程布局上，必要的定位观测设施外，不得设置和从事任何影响或干扰生态环境的设施与活动。</w:t>
      </w:r>
    </w:p>
    <w:p>
      <w:pPr>
        <w:pStyle w:val="6"/>
        <w:ind w:firstLine="480"/>
        <w:rPr>
          <w:rFonts w:hint="eastAsia"/>
        </w:rPr>
      </w:pPr>
      <w:r>
        <w:rPr>
          <w:rFonts w:hint="eastAsia"/>
        </w:rPr>
        <w:t>2）一般保护区域</w:t>
      </w:r>
    </w:p>
    <w:p>
      <w:pPr>
        <w:pStyle w:val="6"/>
        <w:ind w:firstLine="480"/>
        <w:rPr>
          <w:rFonts w:hint="eastAsia"/>
        </w:rPr>
      </w:pPr>
      <w:r>
        <w:rPr>
          <w:rFonts w:hint="eastAsia"/>
        </w:rPr>
        <w:t>一般保护区域范围在实验区内，在尊重自然规律，有利于保护、恢复与发展森林生态系统及珍稀、濒危野生动植物的前提下，积极开展科学实验、参观考察和生态旅游等活动，以增强自然保护区的经济实力。对周边社区实行技术上指导、资金上帮助的方法，扶持社区生产经营和生态旅游，变资源消耗型经营为科学集约型经营，最终实现自然资源保护和社区建设共同发展的目标。工程安排应充分利用已有建设基础和资源条件，避免重复建设和浪费</w:t>
      </w:r>
    </w:p>
    <w:p>
      <w:pPr>
        <w:pStyle w:val="6"/>
        <w:ind w:firstLine="482"/>
        <w:rPr>
          <w:b/>
          <w:bCs/>
        </w:rPr>
      </w:pPr>
      <w:r>
        <w:rPr>
          <w:b/>
          <w:bCs/>
        </w:rPr>
        <w:t>2</w:t>
      </w:r>
      <w:r>
        <w:rPr>
          <w:rFonts w:hint="eastAsia"/>
          <w:b/>
          <w:bCs/>
        </w:rPr>
        <w:t>、</w:t>
      </w:r>
      <w:r>
        <w:rPr>
          <w:b/>
          <w:bCs/>
        </w:rPr>
        <w:t>本次</w:t>
      </w:r>
      <w:r>
        <w:rPr>
          <w:rFonts w:hint="eastAsia"/>
          <w:b/>
          <w:bCs/>
        </w:rPr>
        <w:t>“</w:t>
      </w:r>
      <w:r>
        <w:rPr>
          <w:rFonts w:hint="eastAsia"/>
          <w:b/>
          <w:bCs/>
          <w:color w:val="auto"/>
          <w:lang w:val="en-US" w:eastAsia="zh-CN"/>
        </w:rPr>
        <w:t>林芝市全域旅游发展规划（2018-2025年）</w:t>
      </w:r>
      <w:r>
        <w:rPr>
          <w:rFonts w:hint="eastAsia"/>
          <w:b/>
          <w:bCs/>
        </w:rPr>
        <w:t>”涉及《西藏雅鲁藏布大峡谷国家级自然保护区总体规划（2011~2020）》的相关内容</w:t>
      </w:r>
    </w:p>
    <w:p>
      <w:pPr>
        <w:pStyle w:val="6"/>
        <w:ind w:firstLine="480"/>
        <w:rPr>
          <w:rFonts w:hint="eastAsia"/>
        </w:rPr>
        <w:sectPr>
          <w:pgSz w:w="11906" w:h="16838"/>
          <w:pgMar w:top="1440" w:right="1800" w:bottom="1440" w:left="1800" w:header="851" w:footer="992" w:gutter="0"/>
          <w:pgNumType w:fmt="decimal"/>
          <w:cols w:space="720" w:num="1"/>
          <w:docGrid w:type="lines" w:linePitch="312" w:charSpace="0"/>
        </w:sectPr>
      </w:pPr>
      <w:r>
        <w:rPr>
          <w:rFonts w:hint="eastAsia"/>
        </w:rPr>
        <w:t>本次规划中可能涉及雅鲁藏布大峡谷自然保护区的建设项目见表2.2-10。</w:t>
      </w:r>
    </w:p>
    <w:p>
      <w:pPr>
        <w:pStyle w:val="27"/>
      </w:pPr>
      <w:r>
        <w:rPr>
          <w:rFonts w:hint="eastAsia"/>
        </w:rPr>
        <w:t>表2.2-10  本次规划中可能涉及雅鲁藏布大峡谷自然保护区的建设项目情况表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210"/>
        <w:gridCol w:w="1598"/>
        <w:gridCol w:w="2040"/>
        <w:gridCol w:w="5571"/>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3"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序号</w:t>
            </w:r>
          </w:p>
        </w:tc>
        <w:tc>
          <w:tcPr>
            <w:tcW w:w="427" w:type="pct"/>
            <w:vAlign w:val="center"/>
          </w:tcPr>
          <w:p>
            <w:pPr>
              <w:pStyle w:val="28"/>
              <w:keepNext w:val="0"/>
              <w:keepLines w:val="0"/>
              <w:suppressLineNumbers w:val="0"/>
              <w:bidi w:val="0"/>
              <w:spacing w:beforeAutospacing="0" w:afterAutospacing="0" w:line="276" w:lineRule="auto"/>
              <w:ind w:left="0" w:right="0"/>
              <w:rPr>
                <w:rFonts w:hint="eastAsia"/>
                <w:b/>
                <w:bCs/>
                <w:highlight w:val="none"/>
                <w:lang w:val="en-US" w:eastAsia="zh-CN"/>
              </w:rPr>
            </w:pPr>
            <w:r>
              <w:rPr>
                <w:rFonts w:hint="eastAsia"/>
                <w:b/>
                <w:bCs/>
                <w:highlight w:val="none"/>
              </w:rPr>
              <w:t>泛景区</w:t>
            </w:r>
            <w:r>
              <w:rPr>
                <w:rFonts w:hint="eastAsia"/>
                <w:b/>
                <w:bCs/>
                <w:highlight w:val="none"/>
                <w:lang w:val="en-US" w:eastAsia="zh-CN"/>
              </w:rPr>
              <w:t>名称</w:t>
            </w:r>
          </w:p>
        </w:tc>
        <w:tc>
          <w:tcPr>
            <w:tcW w:w="564"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行政区域</w:t>
            </w:r>
          </w:p>
        </w:tc>
        <w:tc>
          <w:tcPr>
            <w:tcW w:w="720"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景点名称</w:t>
            </w:r>
          </w:p>
        </w:tc>
        <w:tc>
          <w:tcPr>
            <w:tcW w:w="1966"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建设内容</w:t>
            </w:r>
          </w:p>
        </w:tc>
        <w:tc>
          <w:tcPr>
            <w:tcW w:w="1078"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依托资源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1</w:t>
            </w:r>
          </w:p>
        </w:tc>
        <w:tc>
          <w:tcPr>
            <w:tcW w:w="427"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雅鲁藏布大峡谷景区及周边地区</w:t>
            </w:r>
          </w:p>
        </w:tc>
        <w:tc>
          <w:tcPr>
            <w:tcW w:w="564"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米林县</w:t>
            </w: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雅鲁藏布大峡谷景区</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有序推进景区5A</w:t>
            </w:r>
            <w:r>
              <w:rPr>
                <w:rFonts w:hint="eastAsia"/>
                <w:highlight w:val="none"/>
                <w:lang w:eastAsia="zh-CN"/>
              </w:rPr>
              <w:t>，</w:t>
            </w:r>
            <w:r>
              <w:rPr>
                <w:rFonts w:hint="eastAsia"/>
                <w:highlight w:val="none"/>
              </w:rPr>
              <w:t>保护性开发峡谷漫步、帐篷营地、橡皮筏漂流等大众型休闲观光体验产品和峡谷高空蹦极、热气球、滑翔伞、直升机摄影等高端定制和特种旅游项目</w:t>
            </w:r>
          </w:p>
        </w:tc>
        <w:tc>
          <w:tcPr>
            <w:tcW w:w="1078"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西藏</w:t>
            </w:r>
            <w:r>
              <w:rPr>
                <w:rFonts w:hint="eastAsia"/>
                <w:highlight w:val="none"/>
              </w:rPr>
              <w:t>雅鲁藏布大峡谷国家级自然保护区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派镇</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建设</w:t>
            </w:r>
            <w:r>
              <w:rPr>
                <w:rFonts w:hint="eastAsia"/>
                <w:highlight w:val="none"/>
              </w:rPr>
              <w:t>汽车营地</w:t>
            </w:r>
            <w:r>
              <w:rPr>
                <w:rFonts w:hint="eastAsia"/>
                <w:highlight w:val="none"/>
                <w:lang w:eastAsia="zh-CN"/>
              </w:rPr>
              <w:t>、</w:t>
            </w:r>
            <w:r>
              <w:rPr>
                <w:rFonts w:hint="eastAsia"/>
                <w:highlight w:val="none"/>
              </w:rPr>
              <w:t>发展悬崖酒店、空中餐厅等高端旅游产品</w:t>
            </w:r>
          </w:p>
        </w:tc>
        <w:tc>
          <w:tcPr>
            <w:tcW w:w="1078"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丹娘乡</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依托建设完成的农业综合开发高标准农田项目和藏鸡养殖基地，发展高原生态农业和藏鸡养殖业</w:t>
            </w:r>
          </w:p>
        </w:tc>
        <w:tc>
          <w:tcPr>
            <w:tcW w:w="1078"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羌纳乡</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提升乡村人居环境，以本土农牧产品、藏家民俗和羌纳寺佛教文化为卖点，以朗多村“找个地儿待着”民宿为参照，发展精品民宿集群</w:t>
            </w:r>
          </w:p>
        </w:tc>
        <w:tc>
          <w:tcPr>
            <w:tcW w:w="1078"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43" w:type="pct"/>
            <w:vMerge w:val="restar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2</w:t>
            </w:r>
          </w:p>
        </w:tc>
        <w:tc>
          <w:tcPr>
            <w:tcW w:w="427"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南伊沟景区及周边地区</w:t>
            </w:r>
          </w:p>
        </w:tc>
        <w:tc>
          <w:tcPr>
            <w:tcW w:w="564"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米林县</w:t>
            </w: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r>
              <w:rPr>
                <w:rFonts w:hint="eastAsia"/>
                <w:highlight w:val="none"/>
              </w:rPr>
              <w:t>南伊沟景区</w:t>
            </w:r>
            <w:r>
              <w:rPr>
                <w:rFonts w:hint="eastAsia"/>
                <w:highlight w:val="none"/>
                <w:lang w:eastAsia="zh-CN"/>
              </w:rPr>
              <w:t>（</w:t>
            </w:r>
            <w:r>
              <w:rPr>
                <w:rFonts w:hint="eastAsia"/>
                <w:highlight w:val="none"/>
                <w:lang w:val="en-US" w:eastAsia="zh-CN"/>
              </w:rPr>
              <w:t>米林</w:t>
            </w:r>
            <w:r>
              <w:rPr>
                <w:rFonts w:hint="eastAsia"/>
                <w:highlight w:val="none"/>
                <w:lang w:eastAsia="zh-CN"/>
              </w:rPr>
              <w:t>）</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完善</w:t>
            </w:r>
            <w:r>
              <w:rPr>
                <w:rFonts w:hint="eastAsia"/>
                <w:highlight w:val="none"/>
              </w:rPr>
              <w:t>游客接待中心、停车场、</w:t>
            </w:r>
            <w:r>
              <w:rPr>
                <w:rFonts w:hint="eastAsia"/>
                <w:highlight w:val="none"/>
                <w:lang w:val="en-US" w:eastAsia="zh-CN"/>
              </w:rPr>
              <w:t>新建</w:t>
            </w:r>
            <w:r>
              <w:rPr>
                <w:rFonts w:hint="eastAsia"/>
                <w:highlight w:val="none"/>
              </w:rPr>
              <w:t>观景平台、生态厕所</w:t>
            </w:r>
          </w:p>
        </w:tc>
        <w:tc>
          <w:tcPr>
            <w:tcW w:w="1078"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西藏</w:t>
            </w:r>
            <w:r>
              <w:rPr>
                <w:rFonts w:hint="eastAsia"/>
                <w:highlight w:val="none"/>
              </w:rPr>
              <w:t>雅鲁藏布大峡谷国家级自然保护区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扎贡沟景区</w:t>
            </w:r>
            <w:r>
              <w:rPr>
                <w:rFonts w:hint="eastAsia"/>
                <w:highlight w:val="none"/>
                <w:lang w:eastAsia="zh-CN"/>
              </w:rPr>
              <w:t>（</w:t>
            </w:r>
            <w:r>
              <w:rPr>
                <w:rFonts w:hint="eastAsia"/>
                <w:highlight w:val="none"/>
                <w:lang w:val="en-US" w:eastAsia="zh-CN"/>
              </w:rPr>
              <w:t>米林</w:t>
            </w:r>
            <w:r>
              <w:rPr>
                <w:rFonts w:hint="eastAsia"/>
                <w:highlight w:val="none"/>
                <w:lang w:eastAsia="zh-CN"/>
              </w:rPr>
              <w:t>）</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建设藏医药微型博物馆，充分利用 VR、全息投影等高科技，打造科普性与</w:t>
            </w:r>
          </w:p>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趣味性互融的藏医药展厅，进一步丰富游客体验，增强藏医药知识科普、文化传承</w:t>
            </w:r>
          </w:p>
        </w:tc>
        <w:tc>
          <w:tcPr>
            <w:tcW w:w="1078"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南伊洛巴民族乡</w:t>
            </w:r>
            <w:r>
              <w:rPr>
                <w:rFonts w:hint="eastAsia"/>
                <w:highlight w:val="none"/>
                <w:lang w:eastAsia="zh-CN"/>
              </w:rPr>
              <w:t>（</w:t>
            </w:r>
            <w:r>
              <w:rPr>
                <w:rFonts w:hint="eastAsia"/>
                <w:highlight w:val="none"/>
                <w:lang w:val="en-US" w:eastAsia="zh-CN"/>
              </w:rPr>
              <w:t>米林</w:t>
            </w:r>
            <w:r>
              <w:rPr>
                <w:rFonts w:hint="eastAsia"/>
                <w:highlight w:val="none"/>
                <w:lang w:eastAsia="zh-CN"/>
              </w:rPr>
              <w:t>）</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完善旅游交通、住宿、餐饮配套</w:t>
            </w:r>
            <w:r>
              <w:rPr>
                <w:rFonts w:hint="eastAsia"/>
                <w:highlight w:val="none"/>
                <w:lang w:val="en-US" w:eastAsia="zh-CN"/>
              </w:rPr>
              <w:t>设施</w:t>
            </w:r>
          </w:p>
        </w:tc>
        <w:tc>
          <w:tcPr>
            <w:tcW w:w="1078"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才召民俗村、</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打造度假牧居和骑行绿道</w:t>
            </w:r>
          </w:p>
        </w:tc>
        <w:tc>
          <w:tcPr>
            <w:tcW w:w="1078"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琼林珞巴民族村</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改善乡村人居环境，开设庭院式乡村精品民宿</w:t>
            </w:r>
          </w:p>
        </w:tc>
        <w:tc>
          <w:tcPr>
            <w:tcW w:w="1078"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43" w:type="pct"/>
            <w:vAlign w:val="center"/>
          </w:tcPr>
          <w:p>
            <w:pPr>
              <w:pStyle w:val="28"/>
              <w:keepNext w:val="0"/>
              <w:keepLines w:val="0"/>
              <w:suppressLineNumbers w:val="0"/>
              <w:bidi w:val="0"/>
              <w:spacing w:beforeAutospacing="0" w:afterAutospacing="0" w:line="276" w:lineRule="auto"/>
              <w:ind w:left="0" w:leftChars="0" w:right="0" w:rightChars="0"/>
              <w:rPr>
                <w:rFonts w:hint="default" w:ascii="Times New Roman" w:hAnsi="Times New Roman" w:eastAsia="宋体" w:cs="Times New Roman"/>
                <w:kern w:val="2"/>
                <w:sz w:val="21"/>
                <w:szCs w:val="24"/>
                <w:highlight w:val="none"/>
                <w:lang w:val="en-US" w:eastAsia="zh-CN" w:bidi="ar-SA"/>
              </w:rPr>
            </w:pPr>
            <w:r>
              <w:rPr>
                <w:rFonts w:hint="eastAsia"/>
                <w:highlight w:val="none"/>
                <w:lang w:val="en-US" w:eastAsia="zh-CN"/>
              </w:rPr>
              <w:t>3</w:t>
            </w:r>
          </w:p>
        </w:tc>
        <w:tc>
          <w:tcPr>
            <w:tcW w:w="427"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帕隆藏布一河两岸</w:t>
            </w:r>
          </w:p>
        </w:tc>
        <w:tc>
          <w:tcPr>
            <w:tcW w:w="564"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波密县</w:t>
            </w: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岗云杉林</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建立生态敏感区监测体系；限制社会车辆进入，配置电瓶车、马车、马匹等环保交通工具。</w:t>
            </w:r>
          </w:p>
        </w:tc>
        <w:tc>
          <w:tcPr>
            <w:tcW w:w="1078"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西藏</w:t>
            </w:r>
            <w:r>
              <w:rPr>
                <w:rFonts w:hint="eastAsia"/>
                <w:highlight w:val="none"/>
              </w:rPr>
              <w:t>雅鲁藏布大峡谷国家级自然保护区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243" w:type="pct"/>
            <w:vMerge w:val="restart"/>
            <w:vAlign w:val="center"/>
          </w:tcPr>
          <w:p>
            <w:pPr>
              <w:pStyle w:val="28"/>
              <w:keepNext w:val="0"/>
              <w:keepLines w:val="0"/>
              <w:suppressLineNumbers w:val="0"/>
              <w:bidi w:val="0"/>
              <w:spacing w:beforeAutospacing="0" w:afterAutospacing="0" w:line="276" w:lineRule="auto"/>
              <w:ind w:left="0" w:leftChars="0" w:right="0" w:rightChars="0"/>
              <w:rPr>
                <w:rFonts w:hint="default" w:ascii="Times New Roman" w:hAnsi="Times New Roman" w:eastAsia="宋体" w:cs="Times New Roman"/>
                <w:kern w:val="2"/>
                <w:sz w:val="21"/>
                <w:szCs w:val="24"/>
                <w:highlight w:val="none"/>
                <w:lang w:val="en-US" w:eastAsia="zh-CN" w:bidi="ar-SA"/>
              </w:rPr>
            </w:pPr>
            <w:r>
              <w:rPr>
                <w:rFonts w:hint="eastAsia"/>
                <w:highlight w:val="none"/>
                <w:lang w:val="en-US" w:eastAsia="zh-CN"/>
              </w:rPr>
              <w:t>4</w:t>
            </w:r>
          </w:p>
          <w:p>
            <w:pPr>
              <w:pStyle w:val="28"/>
              <w:keepNext w:val="0"/>
              <w:keepLines w:val="0"/>
              <w:suppressLineNumbers w:val="0"/>
              <w:bidi w:val="0"/>
              <w:spacing w:beforeAutospacing="0" w:afterAutospacing="0" w:line="276" w:lineRule="auto"/>
              <w:ind w:left="0" w:right="0"/>
              <w:rPr>
                <w:rFonts w:hint="default"/>
                <w:highlight w:val="none"/>
                <w:lang w:val="en-US" w:eastAsia="zh-CN"/>
              </w:rPr>
            </w:pPr>
          </w:p>
        </w:tc>
        <w:tc>
          <w:tcPr>
            <w:tcW w:w="427"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r>
              <w:rPr>
                <w:rFonts w:hint="eastAsia"/>
                <w:highlight w:val="none"/>
              </w:rPr>
              <w:t>易贡国家地质公园 及周边地区</w:t>
            </w:r>
            <w:r>
              <w:rPr>
                <w:rFonts w:hint="eastAsia"/>
                <w:highlight w:val="none"/>
                <w:lang w:eastAsia="zh-CN"/>
              </w:rPr>
              <w:t>（</w:t>
            </w:r>
            <w:r>
              <w:rPr>
                <w:rFonts w:hint="eastAsia"/>
                <w:highlight w:val="none"/>
                <w:lang w:val="en-US" w:eastAsia="zh-CN"/>
              </w:rPr>
              <w:t>波密县</w:t>
            </w:r>
            <w:r>
              <w:rPr>
                <w:rFonts w:hint="eastAsia"/>
                <w:highlight w:val="none"/>
                <w:lang w:eastAsia="zh-CN"/>
              </w:rPr>
              <w:t>）</w:t>
            </w:r>
          </w:p>
        </w:tc>
        <w:tc>
          <w:tcPr>
            <w:tcW w:w="564"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波密县</w:t>
            </w: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易贡国家地质公园</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新建“易贡地质公园博物馆”、“多媒体地质灾害模拟演示中心”、“游客环境教育中心”等设施；就滑坡高发地带和裸露山体实施连续性监控和复绿治理</w:t>
            </w:r>
          </w:p>
        </w:tc>
        <w:tc>
          <w:tcPr>
            <w:tcW w:w="1078"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西藏</w:t>
            </w:r>
            <w:r>
              <w:rPr>
                <w:rFonts w:hint="eastAsia"/>
                <w:highlight w:val="none"/>
              </w:rPr>
              <w:t>雅鲁藏布大峡谷国家级自然保护区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易贡湖</w:t>
            </w:r>
          </w:p>
        </w:tc>
        <w:tc>
          <w:tcPr>
            <w:tcW w:w="1966"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完善基础设施建设</w:t>
            </w:r>
          </w:p>
        </w:tc>
        <w:tc>
          <w:tcPr>
            <w:tcW w:w="1078"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西藏</w:t>
            </w:r>
            <w:r>
              <w:rPr>
                <w:rFonts w:hint="eastAsia"/>
                <w:highlight w:val="none"/>
              </w:rPr>
              <w:t>雅鲁藏布大峡谷国家级自然保护区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易贡茶场</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开设藏式甜茶馆，利用茶场旧厂房发展民宿产品</w:t>
            </w:r>
          </w:p>
        </w:tc>
        <w:tc>
          <w:tcPr>
            <w:tcW w:w="1078"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西藏</w:t>
            </w:r>
            <w:r>
              <w:rPr>
                <w:rFonts w:hint="eastAsia"/>
                <w:highlight w:val="none"/>
              </w:rPr>
              <w:t>雅鲁藏布大峡谷国家自然保护区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铁山</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适度开展“易贡藏刀”的生产加工观摩、体验活动</w:t>
            </w:r>
          </w:p>
        </w:tc>
        <w:tc>
          <w:tcPr>
            <w:tcW w:w="1078"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43" w:type="pct"/>
            <w:vMerge w:val="restart"/>
            <w:vAlign w:val="center"/>
          </w:tcPr>
          <w:p>
            <w:pPr>
              <w:pStyle w:val="28"/>
              <w:keepNext w:val="0"/>
              <w:keepLines w:val="0"/>
              <w:suppressLineNumbers w:val="0"/>
              <w:bidi w:val="0"/>
              <w:spacing w:beforeAutospacing="0" w:afterAutospacing="0" w:line="276" w:lineRule="auto"/>
              <w:ind w:left="0" w:leftChars="0" w:right="0" w:rightChars="0"/>
              <w:rPr>
                <w:rFonts w:hint="default"/>
                <w:highlight w:val="none"/>
                <w:lang w:val="en-US" w:eastAsia="zh-CN"/>
              </w:rPr>
            </w:pPr>
            <w:r>
              <w:rPr>
                <w:rFonts w:hint="eastAsia"/>
                <w:highlight w:val="none"/>
                <w:lang w:val="en-US" w:eastAsia="zh-CN"/>
              </w:rPr>
              <w:t>5</w:t>
            </w:r>
          </w:p>
        </w:tc>
        <w:tc>
          <w:tcPr>
            <w:tcW w:w="427"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墨脱县城 及周边地区</w:t>
            </w:r>
          </w:p>
        </w:tc>
        <w:tc>
          <w:tcPr>
            <w:tcW w:w="564"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墨脱县</w:t>
            </w: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德兴民俗村</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结合村级配套设施，打造富有亚热带雨林风情和少数民族特色的精品民宿度假群落；因应门巴族传统建筑和德兴藤网桥的结构和形制，改造当代建筑，塑造更为协调的建筑风貌；活化广场、公园等公共空间，开展歌舞、射箭、摔跤、抱石、攀藤索等康体运动。</w:t>
            </w:r>
          </w:p>
        </w:tc>
        <w:tc>
          <w:tcPr>
            <w:tcW w:w="1078"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西藏</w:t>
            </w:r>
            <w:r>
              <w:rPr>
                <w:rFonts w:hint="eastAsia"/>
                <w:highlight w:val="none"/>
              </w:rPr>
              <w:t>雅鲁藏布大峡谷国家自然保护区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仁青崩寺</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布置标识系统、修复生态，建立森林康养和宗教文化体验主题的徒步径</w:t>
            </w:r>
          </w:p>
        </w:tc>
        <w:tc>
          <w:tcPr>
            <w:tcW w:w="1078"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莲花阁</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沿线配套自行车租赁、观景台、户外健身器械等设施</w:t>
            </w:r>
          </w:p>
        </w:tc>
        <w:tc>
          <w:tcPr>
            <w:tcW w:w="1078"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布裙湖风景区</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建设台阶型、爬梯型、栈桥型等地面观光通道，建立全时游览体系</w:t>
            </w:r>
          </w:p>
        </w:tc>
        <w:tc>
          <w:tcPr>
            <w:tcW w:w="1078"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3" w:type="pct"/>
            <w:vMerge w:val="restart"/>
            <w:vAlign w:val="center"/>
          </w:tcPr>
          <w:p>
            <w:pPr>
              <w:pStyle w:val="28"/>
              <w:keepNext w:val="0"/>
              <w:keepLines w:val="0"/>
              <w:suppressLineNumbers w:val="0"/>
              <w:bidi w:val="0"/>
              <w:spacing w:beforeAutospacing="0" w:afterAutospacing="0" w:line="276" w:lineRule="auto"/>
              <w:ind w:left="0" w:leftChars="0" w:right="0" w:rightChars="0"/>
              <w:rPr>
                <w:rFonts w:hint="default"/>
                <w:highlight w:val="none"/>
                <w:lang w:val="en-US" w:eastAsia="zh-CN"/>
              </w:rPr>
            </w:pPr>
            <w:r>
              <w:rPr>
                <w:rFonts w:hint="eastAsia"/>
                <w:highlight w:val="none"/>
                <w:lang w:val="en-US" w:eastAsia="zh-CN"/>
              </w:rPr>
              <w:t>6</w:t>
            </w:r>
          </w:p>
        </w:tc>
        <w:tc>
          <w:tcPr>
            <w:tcW w:w="427"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背崩徒步站 及周边地区</w:t>
            </w:r>
          </w:p>
        </w:tc>
        <w:tc>
          <w:tcPr>
            <w:tcW w:w="564"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墨脱县</w:t>
            </w: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派墨徒步路线</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打造精品旅游徒步路线；接入林芝智慧旅游大数据平台，为游客和景区决策方提供路况、险情预警、客流监测等资讯</w:t>
            </w:r>
          </w:p>
        </w:tc>
        <w:tc>
          <w:tcPr>
            <w:tcW w:w="1078"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背崩徒步站</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补充餐饮、营地、物资补给、医疗救助等功能</w:t>
            </w:r>
          </w:p>
        </w:tc>
        <w:tc>
          <w:tcPr>
            <w:tcW w:w="1078"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2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2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背崩村</w:t>
            </w:r>
          </w:p>
        </w:tc>
        <w:tc>
          <w:tcPr>
            <w:tcW w:w="19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建设“派墨徒步博物馆”</w:t>
            </w:r>
          </w:p>
        </w:tc>
        <w:tc>
          <w:tcPr>
            <w:tcW w:w="1078"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bl>
    <w:p>
      <w:pPr>
        <w:pStyle w:val="6"/>
        <w:bidi w:val="0"/>
        <w:rPr>
          <w:rFonts w:hint="eastAsia"/>
          <w:color w:val="auto"/>
          <w:highlight w:val="none"/>
        </w:rPr>
        <w:sectPr>
          <w:pgSz w:w="16838" w:h="11906" w:orient="landscape"/>
          <w:pgMar w:top="1800" w:right="1440" w:bottom="1800" w:left="1440" w:header="851" w:footer="992" w:gutter="0"/>
          <w:pgNumType w:fmt="decimal"/>
          <w:cols w:space="425" w:num="1"/>
          <w:docGrid w:type="lines" w:linePitch="312" w:charSpace="0"/>
        </w:sectPr>
      </w:pPr>
    </w:p>
    <w:p>
      <w:pPr>
        <w:pStyle w:val="6"/>
        <w:ind w:firstLine="482"/>
        <w:rPr>
          <w:rFonts w:hint="eastAsia"/>
          <w:b/>
          <w:bCs/>
        </w:rPr>
      </w:pPr>
      <w:r>
        <w:rPr>
          <w:rFonts w:hint="eastAsia"/>
          <w:b/>
          <w:bCs/>
        </w:rPr>
        <w:t>3、符合性分析</w:t>
      </w:r>
    </w:p>
    <w:p>
      <w:pPr>
        <w:pStyle w:val="6"/>
        <w:ind w:firstLine="480"/>
      </w:pPr>
      <w:r>
        <w:rPr>
          <w:rFonts w:hint="eastAsia"/>
        </w:rPr>
        <w:t>本次环评初步筛选可能涉及雅鲁藏布大峡谷自然保护区的建设项目，见表2.2-10。经过初步叠图分析，规划建设项目不涉及西藏雅鲁藏布大峡谷国家级自然保护区核心区及缓冲区。</w:t>
      </w:r>
    </w:p>
    <w:p>
      <w:pPr>
        <w:pStyle w:val="6"/>
        <w:ind w:firstLine="480"/>
        <w:rPr>
          <w:rFonts w:hint="eastAsia"/>
        </w:rPr>
      </w:pPr>
      <w:r>
        <w:rPr>
          <w:rFonts w:hint="eastAsia"/>
        </w:rPr>
        <w:t>波密县岗云杉林景区现有部分观景台、栈道涉及西藏雅鲁藏布大峡谷国家自然保护区核心区，与《西藏雅鲁藏布大峡谷国家级自然保护区总体规划（2011~2020）》保护措施措施：“包括功能区的核心区和缓冲区，禁止任何形式的生产经营活动，只允许从事监测、观察活动，并可用作区域生态系统基本规律研究的场所。在工程布局上，必要的定位观测设施外，不得设置和从事任何影响或干扰生态环境的设施与活动”相冲突，目前，西藏自治区人民政府、林芝市政府、波密县政府正在督促其进行整改，现已将位于核心区、缓冲区的景区全部关闭，禁止游客进入。本次</w:t>
      </w:r>
      <w:r>
        <w:rPr>
          <w:rFonts w:hint="eastAsia"/>
          <w:lang w:val="en-US" w:eastAsia="zh-CN"/>
        </w:rPr>
        <w:t>全域旅游</w:t>
      </w:r>
      <w:r>
        <w:rPr>
          <w:rFonts w:hint="eastAsia"/>
        </w:rPr>
        <w:t>规划主要基于自然保护区的实验区部分，因此规划后续实施过程中岗云杉林景区规划项目需进一步落实是否涉及雅鲁藏布大峡谷自然保护区核心区、缓冲区，核心区和缓冲区内禁止任何形式的生产经营活动，严格遵守《中华人民共和国自然保护区条例》相关要求。</w:t>
      </w:r>
    </w:p>
    <w:p>
      <w:pPr>
        <w:pStyle w:val="6"/>
        <w:ind w:firstLine="480"/>
        <w:rPr>
          <w:rFonts w:hint="eastAsia"/>
        </w:rPr>
      </w:pPr>
      <w:r>
        <w:rPr>
          <w:rFonts w:hint="eastAsia"/>
        </w:rPr>
        <w:t>由于本次的旅游资源为示意点位，叠图分析时可能存在一定误差以及旅游资源基础设施具体实施选址落地存在差异，最终可能会影响叠图判断，因此规划后续实施过程中需进一步落实是否涉及雅鲁藏布大峡谷自然保护区核心区、缓冲区。建设项目应严格遵守《中华人民共和国自然保护区条例》相关要求不得对自然保护区造成破坏及生态环境污染，不得降低自然保护区环境质量。在尊重自然规律，有利于保护、恢复与发展森林生态系统及珍稀、濒危野生动植物的前提下开展生态旅游等活动。确保区内有一个良好的生态环境，建立生态环境与旅游开发良性循环的可持续发展系统，实现旅游资源的可持续开发利用。</w:t>
      </w:r>
    </w:p>
    <w:p>
      <w:pPr>
        <w:pStyle w:val="6"/>
        <w:ind w:firstLine="480"/>
      </w:pPr>
      <w:r>
        <w:rPr>
          <w:rFonts w:hint="eastAsia"/>
        </w:rPr>
        <w:t>综上，“林芝市全域旅游发展规划（2018-2025年）”与《西藏雅鲁藏布大峡谷国家级自然保护区总体规划（2011~2020）》的相符合。</w:t>
      </w:r>
    </w:p>
    <w:p>
      <w:pPr>
        <w:pStyle w:val="2"/>
        <w:bidi w:val="0"/>
        <w:rPr>
          <w:rFonts w:hint="eastAsia"/>
          <w:highlight w:val="none"/>
        </w:rPr>
      </w:pPr>
      <w:r>
        <w:rPr>
          <w:rFonts w:hint="eastAsia"/>
          <w:highlight w:val="none"/>
          <w:lang w:val="en-US" w:eastAsia="zh-CN"/>
        </w:rPr>
        <w:t>2.2.5.2</w:t>
      </w:r>
      <w:r>
        <w:rPr>
          <w:rFonts w:hint="eastAsia"/>
          <w:highlight w:val="none"/>
        </w:rPr>
        <w:t>与《西藏察隅慈巴沟国家级自然保护区总体规划</w:t>
      </w:r>
      <w:r>
        <w:rPr>
          <w:rFonts w:hint="eastAsia"/>
          <w:highlight w:val="none"/>
          <w:lang w:eastAsia="zh-CN"/>
        </w:rPr>
        <w:t>（</w:t>
      </w:r>
      <w:r>
        <w:rPr>
          <w:rFonts w:hint="eastAsia"/>
          <w:highlight w:val="none"/>
          <w:lang w:val="en-US" w:eastAsia="zh-CN"/>
        </w:rPr>
        <w:t>2011~2020</w:t>
      </w:r>
      <w:r>
        <w:rPr>
          <w:rFonts w:hint="eastAsia"/>
          <w:highlight w:val="none"/>
          <w:lang w:eastAsia="zh-CN"/>
        </w:rPr>
        <w:t>）</w:t>
      </w:r>
      <w:r>
        <w:rPr>
          <w:rFonts w:hint="eastAsia"/>
          <w:highlight w:val="none"/>
        </w:rPr>
        <w:t>》协调性分析</w:t>
      </w:r>
    </w:p>
    <w:p>
      <w:pPr>
        <w:pStyle w:val="6"/>
        <w:ind w:firstLine="482"/>
        <w:rPr>
          <w:rFonts w:hint="eastAsia"/>
          <w:b/>
          <w:bCs/>
        </w:rPr>
      </w:pPr>
      <w:r>
        <w:rPr>
          <w:rFonts w:hint="eastAsia"/>
          <w:b/>
          <w:bCs/>
        </w:rPr>
        <w:t>1、《西藏察隅慈巴沟国家级自然保护区总体规划（2011~2020）》概要</w:t>
      </w:r>
    </w:p>
    <w:p>
      <w:pPr>
        <w:pStyle w:val="6"/>
        <w:ind w:firstLine="480"/>
        <w:rPr>
          <w:rFonts w:hint="eastAsia"/>
        </w:rPr>
      </w:pPr>
      <w:r>
        <w:rPr>
          <w:rFonts w:hint="eastAsia"/>
        </w:rPr>
        <w:t>（1）主要保护对象</w:t>
      </w:r>
    </w:p>
    <w:p>
      <w:pPr>
        <w:pStyle w:val="6"/>
        <w:ind w:firstLine="480"/>
        <w:rPr>
          <w:rFonts w:hint="eastAsia"/>
        </w:rPr>
      </w:pPr>
      <w:r>
        <w:rPr>
          <w:rFonts w:hint="eastAsia"/>
        </w:rPr>
        <w:t>察隅慈巴沟国家级自然保护区主要保护对象为山地亚热带垂直森林生态系统及其栖息于其中的珍稀动植物物种。</w:t>
      </w:r>
    </w:p>
    <w:p>
      <w:pPr>
        <w:pStyle w:val="6"/>
        <w:ind w:firstLine="480"/>
        <w:rPr>
          <w:rFonts w:hint="eastAsia"/>
        </w:rPr>
      </w:pPr>
      <w:r>
        <w:rPr>
          <w:rFonts w:hint="eastAsia"/>
        </w:rPr>
        <w:t>（2）保护范围</w:t>
      </w:r>
    </w:p>
    <w:p>
      <w:pPr>
        <w:pStyle w:val="6"/>
        <w:ind w:firstLine="480"/>
        <w:rPr>
          <w:rFonts w:hint="eastAsia"/>
        </w:rPr>
      </w:pPr>
      <w:r>
        <w:rPr>
          <w:rFonts w:hint="eastAsia"/>
        </w:rPr>
        <w:t>西藏察隅慈巴沟国家级自然保护区位于西藏自治区林芝市东南部的察隅县，地处北纬28°34′～29°07′，东经96°52′～97°10′之间，东西宽33km，南北长76km，为一长方型地域。东与竹瓦根镇相连，南与下察隅镇相接，西与上察隅镇相依，北与古玉乡为邻。总面积101400hm</w:t>
      </w:r>
      <w:r>
        <w:rPr>
          <w:rFonts w:hint="eastAsia"/>
          <w:vertAlign w:val="superscript"/>
        </w:rPr>
        <w:t>2</w:t>
      </w:r>
      <w:r>
        <w:rPr>
          <w:rFonts w:hint="eastAsia"/>
        </w:rPr>
        <w:t>。</w:t>
      </w:r>
    </w:p>
    <w:p>
      <w:pPr>
        <w:pStyle w:val="6"/>
        <w:ind w:firstLine="480"/>
      </w:pPr>
      <w:r>
        <w:rPr>
          <w:rFonts w:hint="eastAsia"/>
        </w:rPr>
        <w:t>（3）功能区划</w:t>
      </w:r>
    </w:p>
    <w:p>
      <w:pPr>
        <w:pStyle w:val="6"/>
        <w:ind w:firstLine="480"/>
        <w:rPr>
          <w:rFonts w:hint="eastAsia"/>
        </w:rPr>
      </w:pPr>
      <w:r>
        <w:rPr>
          <w:rFonts w:hint="eastAsia"/>
        </w:rPr>
        <w:t>核心区：从格泥山顶－都拉山口—沿沟谷小路至甲瓦弄巴口—沿山脊至甲瓦弄巴东山顶（5489m）—甲米拉—贡麻山顶—牧苦弄巴北山顶—察东4961m山顶—金东拉卡—本格拉—格泥山顶。据此，核心区总面积53200hm</w:t>
      </w:r>
      <w:r>
        <w:rPr>
          <w:rFonts w:hint="eastAsia"/>
          <w:vertAlign w:val="superscript"/>
        </w:rPr>
        <w:t>2</w:t>
      </w:r>
      <w:r>
        <w:rPr>
          <w:rFonts w:hint="eastAsia"/>
        </w:rPr>
        <w:t>，占自然保护区总面积的52.5%。</w:t>
      </w:r>
    </w:p>
    <w:p>
      <w:pPr>
        <w:pStyle w:val="6"/>
        <w:ind w:firstLine="480"/>
        <w:rPr>
          <w:rFonts w:hint="eastAsia"/>
        </w:rPr>
      </w:pPr>
      <w:r>
        <w:rPr>
          <w:rFonts w:hint="eastAsia"/>
        </w:rPr>
        <w:t>缓冲区：核心区与实验区之间的地域。根据本区特点，缓冲区面积为23150hm</w:t>
      </w:r>
      <w:r>
        <w:rPr>
          <w:rFonts w:hint="eastAsia"/>
          <w:vertAlign w:val="superscript"/>
        </w:rPr>
        <w:t>2</w:t>
      </w:r>
      <w:r>
        <w:rPr>
          <w:rFonts w:hint="eastAsia"/>
        </w:rPr>
        <w:t>，占保护区总面积的22.8%。</w:t>
      </w:r>
    </w:p>
    <w:p>
      <w:pPr>
        <w:pStyle w:val="6"/>
        <w:ind w:firstLine="480"/>
        <w:rPr>
          <w:rFonts w:hint="eastAsia"/>
        </w:rPr>
      </w:pPr>
      <w:r>
        <w:rPr>
          <w:rFonts w:hint="eastAsia"/>
        </w:rPr>
        <w:t>实验区：慈巴沟桥—二十二道班—沿山脊—莫拉弄巴东北山顶—往东沿山脊至慈巴沟—沿山脊至4781m山顶—卡米日—沿山脊至错铁好梁子—慈巴沟桥和甲瓦弄巴两边谷坡及次走弄巴南面谷坡。实验区总面积25050 hm</w:t>
      </w:r>
      <w:r>
        <w:rPr>
          <w:rFonts w:hint="eastAsia"/>
          <w:vertAlign w:val="superscript"/>
        </w:rPr>
        <w:t>2</w:t>
      </w:r>
      <w:r>
        <w:rPr>
          <w:rFonts w:hint="eastAsia"/>
        </w:rPr>
        <w:t>，占保护区总面积的24.7%。</w:t>
      </w:r>
    </w:p>
    <w:p>
      <w:pPr>
        <w:pStyle w:val="6"/>
        <w:numPr>
          <w:ilvl w:val="0"/>
          <w:numId w:val="5"/>
        </w:numPr>
        <w:ind w:firstLine="480"/>
        <w:rPr>
          <w:rFonts w:hint="eastAsia"/>
        </w:rPr>
      </w:pPr>
      <w:r>
        <w:rPr>
          <w:rFonts w:hint="eastAsia"/>
        </w:rPr>
        <w:t>功能区保护措施</w:t>
      </w:r>
    </w:p>
    <w:p>
      <w:pPr>
        <w:pStyle w:val="6"/>
        <w:ind w:firstLine="480"/>
        <w:rPr>
          <w:rFonts w:hint="eastAsia"/>
          <w:color w:val="2A26F7"/>
        </w:rPr>
      </w:pPr>
      <w:r>
        <w:rPr>
          <w:rFonts w:hint="eastAsia"/>
          <w:color w:val="2A26F7"/>
        </w:rPr>
        <w:t>1）严格保护区域</w:t>
      </w:r>
    </w:p>
    <w:p>
      <w:pPr>
        <w:pStyle w:val="6"/>
        <w:ind w:firstLine="480"/>
        <w:rPr>
          <w:rFonts w:hint="eastAsia"/>
          <w:color w:val="2A26F7"/>
        </w:rPr>
      </w:pPr>
      <w:r>
        <w:rPr>
          <w:rFonts w:hint="eastAsia"/>
          <w:color w:val="2A26F7"/>
        </w:rPr>
        <w:t>包括功能区的核心区和缓冲区。以保护森林生态系统及珍稀野生动植物，研究森林生态系统和国家重点保护珍稀、濒危野生动植物及其栖息地为目的，禁止任何形式的生产经营活动，只允许从事监测、观察活动，并可用作区域生态系统基本规律研究的场所。在工程布局上，除必要的定位观测设施外，不得设置和从事任何影响或干扰生态环境的设施与活动</w:t>
      </w:r>
    </w:p>
    <w:p>
      <w:pPr>
        <w:pStyle w:val="6"/>
        <w:ind w:firstLine="480"/>
        <w:rPr>
          <w:rFonts w:hint="eastAsia"/>
          <w:color w:val="2A26F7"/>
        </w:rPr>
      </w:pPr>
      <w:r>
        <w:rPr>
          <w:rFonts w:hint="eastAsia"/>
          <w:color w:val="2A26F7"/>
        </w:rPr>
        <w:t>2）一般保护区域</w:t>
      </w:r>
    </w:p>
    <w:p>
      <w:pPr>
        <w:pStyle w:val="6"/>
        <w:ind w:firstLine="480"/>
        <w:rPr>
          <w:rFonts w:hint="eastAsia"/>
        </w:rPr>
      </w:pPr>
      <w:r>
        <w:rPr>
          <w:rFonts w:hint="eastAsia"/>
          <w:color w:val="2A26F7"/>
        </w:rPr>
        <w:t>一般保护区域范围在实验区内，在尊重自然规律，有利于保护、恢复与发展森林生态系统及珍稀、濒危野生动物的前提下，积极开展科学实验、参观考察和生态旅游等活动，以增强自然保护区的经济实力。对周边社区实行技术上指导、资金上帮助的方法，扶持社区生产经营和生态旅游，变资源消耗型经营为科学集约型经营，最终实现自然资源保护和社区建设共同发展的目标。工程安排应充分利用已有建设基础和资源条件，避免重复建设和浪费。</w:t>
      </w:r>
    </w:p>
    <w:p>
      <w:pPr>
        <w:pStyle w:val="6"/>
        <w:ind w:firstLine="482"/>
        <w:rPr>
          <w:b/>
          <w:bCs/>
        </w:rPr>
      </w:pPr>
      <w:r>
        <w:rPr>
          <w:b/>
          <w:bCs/>
        </w:rPr>
        <w:t>2</w:t>
      </w:r>
      <w:r>
        <w:rPr>
          <w:rFonts w:hint="eastAsia"/>
          <w:b/>
          <w:bCs/>
        </w:rPr>
        <w:t>、</w:t>
      </w:r>
      <w:r>
        <w:rPr>
          <w:b/>
          <w:bCs/>
        </w:rPr>
        <w:t>本次</w:t>
      </w:r>
      <w:r>
        <w:rPr>
          <w:rFonts w:hint="eastAsia"/>
          <w:b/>
          <w:bCs/>
        </w:rPr>
        <w:t>“林芝市全域旅游发展规划（2018-2025年）”涉及《西藏察隅慈巴沟国家级自然保护区总体规划（2011~2020）》的相关内容</w:t>
      </w:r>
    </w:p>
    <w:p>
      <w:pPr>
        <w:pStyle w:val="6"/>
        <w:ind w:firstLine="480"/>
        <w:rPr>
          <w:rFonts w:hint="eastAsia"/>
        </w:rPr>
      </w:pPr>
      <w:r>
        <w:rPr>
          <w:rFonts w:hint="eastAsia"/>
        </w:rPr>
        <w:t>本次规划中可能涉及西藏察隅慈巴沟国家级自然保护区的建设项目见表2.2-11。</w:t>
      </w:r>
    </w:p>
    <w:p>
      <w:pPr>
        <w:pStyle w:val="27"/>
        <w:bidi w:val="0"/>
        <w:rPr>
          <w:highlight w:val="none"/>
        </w:rPr>
      </w:pPr>
      <w:r>
        <w:rPr>
          <w:rFonts w:hint="eastAsia"/>
          <w:highlight w:val="none"/>
        </w:rPr>
        <w:t>表</w:t>
      </w:r>
      <w:r>
        <w:rPr>
          <w:rFonts w:hint="eastAsia"/>
          <w:highlight w:val="none"/>
          <w:lang w:val="en-US" w:eastAsia="zh-CN"/>
        </w:rPr>
        <w:t xml:space="preserve">2.2-11  </w:t>
      </w:r>
      <w:r>
        <w:rPr>
          <w:rFonts w:hint="eastAsia"/>
          <w:highlight w:val="none"/>
        </w:rPr>
        <w:t>本次规划中可能涉及</w:t>
      </w:r>
      <w:r>
        <w:rPr>
          <w:rFonts w:hint="eastAsia"/>
          <w:color w:val="auto"/>
          <w:highlight w:val="none"/>
          <w:lang w:val="en-US" w:eastAsia="zh-CN"/>
        </w:rPr>
        <w:t>察隅慈巴沟国家级自然保护区</w:t>
      </w:r>
      <w:r>
        <w:rPr>
          <w:rFonts w:hint="eastAsia"/>
          <w:highlight w:val="none"/>
        </w:rPr>
        <w:t>的建设项目情况表</w:t>
      </w:r>
    </w:p>
    <w:tbl>
      <w:tblPr>
        <w:tblStyle w:val="2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100"/>
        <w:gridCol w:w="1698"/>
        <w:gridCol w:w="3667"/>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行政区域</w:t>
            </w:r>
          </w:p>
        </w:tc>
        <w:tc>
          <w:tcPr>
            <w:tcW w:w="646" w:type="pct"/>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kern w:val="2"/>
                <w:sz w:val="21"/>
                <w:szCs w:val="24"/>
                <w:highlight w:val="none"/>
                <w:lang w:val="en-US" w:eastAsia="zh-CN" w:bidi="ar-SA"/>
              </w:rPr>
            </w:pPr>
            <w:r>
              <w:rPr>
                <w:rFonts w:hint="eastAsia"/>
                <w:highlight w:val="none"/>
                <w:lang w:val="en-US" w:eastAsia="zh-CN"/>
              </w:rPr>
              <w:t>泛区分类</w:t>
            </w:r>
          </w:p>
        </w:tc>
        <w:tc>
          <w:tcPr>
            <w:tcW w:w="997" w:type="pct"/>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kern w:val="2"/>
                <w:sz w:val="21"/>
                <w:szCs w:val="24"/>
                <w:highlight w:val="none"/>
                <w:lang w:val="en-US" w:eastAsia="zh-CN" w:bidi="ar-SA"/>
              </w:rPr>
            </w:pPr>
            <w:r>
              <w:rPr>
                <w:rFonts w:hint="eastAsia"/>
                <w:highlight w:val="none"/>
                <w:lang w:val="en-US" w:eastAsia="zh-CN"/>
              </w:rPr>
              <w:t>景点名称</w:t>
            </w:r>
          </w:p>
        </w:tc>
        <w:tc>
          <w:tcPr>
            <w:tcW w:w="2153"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主要规划内容</w:t>
            </w:r>
          </w:p>
        </w:tc>
        <w:tc>
          <w:tcPr>
            <w:tcW w:w="764" w:type="pct"/>
            <w:vAlign w:val="center"/>
          </w:tcPr>
          <w:p>
            <w:pPr>
              <w:pStyle w:val="29"/>
              <w:keepNext w:val="0"/>
              <w:keepLines w:val="0"/>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涉及区域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9"/>
              <w:keepNext w:val="0"/>
              <w:keepLines w:val="0"/>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察隅县</w:t>
            </w:r>
          </w:p>
        </w:tc>
        <w:tc>
          <w:tcPr>
            <w:tcW w:w="646"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下察隅及周边地区</w:t>
            </w:r>
          </w:p>
        </w:tc>
        <w:tc>
          <w:tcPr>
            <w:tcW w:w="997"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慈巴沟旅游区</w:t>
            </w:r>
          </w:p>
        </w:tc>
        <w:tc>
          <w:tcPr>
            <w:tcW w:w="2153"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r>
              <w:rPr>
                <w:rFonts w:hint="eastAsia"/>
                <w:highlight w:val="none"/>
              </w:rPr>
              <w:t>在实验区开展科学考察和生态观光项目</w:t>
            </w:r>
          </w:p>
        </w:tc>
        <w:tc>
          <w:tcPr>
            <w:tcW w:w="764"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r>
              <w:rPr>
                <w:rFonts w:hint="eastAsia"/>
                <w:color w:val="auto"/>
                <w:highlight w:val="none"/>
                <w:lang w:val="en-US" w:eastAsia="zh-CN"/>
              </w:rPr>
              <w:t>察隅慈巴沟国家级自然保护区</w:t>
            </w:r>
            <w:r>
              <w:rPr>
                <w:rFonts w:hint="eastAsia"/>
                <w:highlight w:val="none"/>
                <w:lang w:val="en-US" w:eastAsia="zh-CN"/>
              </w:rPr>
              <w:t>实验区</w:t>
            </w:r>
          </w:p>
        </w:tc>
      </w:tr>
    </w:tbl>
    <w:p>
      <w:pPr>
        <w:pStyle w:val="6"/>
        <w:ind w:firstLine="480"/>
        <w:rPr>
          <w:rFonts w:hint="eastAsia"/>
          <w:color w:val="2A26F7"/>
        </w:rPr>
      </w:pPr>
      <w:r>
        <w:rPr>
          <w:rFonts w:hint="eastAsia"/>
          <w:color w:val="2A26F7"/>
        </w:rPr>
        <w:t>本次</w:t>
      </w:r>
      <w:r>
        <w:rPr>
          <w:rFonts w:hint="eastAsia"/>
          <w:color w:val="2A26F7"/>
          <w:lang w:val="en-US" w:eastAsia="zh-CN"/>
        </w:rPr>
        <w:t>全域旅游规划</w:t>
      </w:r>
      <w:r>
        <w:rPr>
          <w:rFonts w:hint="eastAsia"/>
          <w:color w:val="2A26F7"/>
        </w:rPr>
        <w:t>主要基于察隅慈巴沟国家级自然保护区的实验区部分。规划项目内容</w:t>
      </w:r>
      <w:r>
        <w:rPr>
          <w:rFonts w:hint="eastAsia" w:ascii="宋体" w:hAnsi="宋体" w:cs="宋体"/>
          <w:color w:val="2A26F7"/>
        </w:rPr>
        <w:t>主要</w:t>
      </w:r>
      <w:r>
        <w:rPr>
          <w:rFonts w:hint="eastAsia"/>
          <w:highlight w:val="none"/>
        </w:rPr>
        <w:t>在实验区开展科学考察和生态观光项目</w:t>
      </w:r>
      <w:r>
        <w:rPr>
          <w:rFonts w:hint="eastAsia" w:ascii="宋体" w:hAnsi="宋体" w:cs="宋体"/>
          <w:color w:val="2A26F7"/>
        </w:rPr>
        <w:t>；属于</w:t>
      </w:r>
      <w:r>
        <w:rPr>
          <w:rFonts w:hint="eastAsia"/>
          <w:color w:val="2A26F7"/>
        </w:rPr>
        <w:t>《西藏察隅慈巴沟国家级自然保护区总体规划（2011~2020）》中一般保护区域允许开展的活动。</w:t>
      </w:r>
    </w:p>
    <w:p>
      <w:pPr>
        <w:pStyle w:val="6"/>
        <w:bidi w:val="0"/>
        <w:rPr>
          <w:rFonts w:hint="eastAsia" w:ascii="宋体" w:hAnsi="宋体" w:cs="宋体"/>
          <w:b w:val="0"/>
          <w:bCs w:val="0"/>
          <w:i w:val="0"/>
          <w:iCs w:val="0"/>
          <w:color w:val="000000"/>
          <w:sz w:val="24"/>
          <w:szCs w:val="24"/>
          <w:highlight w:val="none"/>
          <w:lang w:val="en-US" w:eastAsia="zh-CN"/>
        </w:rPr>
      </w:pPr>
      <w:r>
        <w:rPr>
          <w:rFonts w:hint="eastAsia"/>
          <w:color w:val="2A26F7"/>
        </w:rPr>
        <w:t>由于本次的旅游资源为示意点位，叠图分析时可能存在一定误差以及旅游资源基础设施具体实施选址落地存在差异，最终可能会影响叠图判断，因此规划后续实施过程中需进一步落实是否涉及西藏察隅慈巴沟国家级自然保护区核心区、缓冲区。建设项目应严格遵守《中华人民共和国自然保护区条例》要求不得对自然保护区造成破坏及生态环境污染，不得降低自然保护区环境质量</w:t>
      </w:r>
    </w:p>
    <w:p>
      <w:pPr>
        <w:pStyle w:val="2"/>
        <w:bidi w:val="0"/>
        <w:rPr>
          <w:rFonts w:hint="eastAsia"/>
          <w:highlight w:val="none"/>
          <w:lang w:val="en-US" w:eastAsia="zh-CN"/>
        </w:rPr>
      </w:pPr>
      <w:r>
        <w:rPr>
          <w:rFonts w:hint="eastAsia"/>
          <w:highlight w:val="none"/>
          <w:lang w:val="en-US" w:eastAsia="zh-CN"/>
        </w:rPr>
        <w:t>2.2.5.3与《西藏工布自然保护区总体规划（2011~2020）》协调性分析</w:t>
      </w:r>
    </w:p>
    <w:p>
      <w:pPr>
        <w:pStyle w:val="6"/>
        <w:bidi w:val="0"/>
        <w:rPr>
          <w:rFonts w:hint="eastAsia"/>
          <w:b/>
          <w:bCs/>
          <w:color w:val="auto"/>
          <w:highlight w:val="none"/>
        </w:rPr>
      </w:pPr>
      <w:r>
        <w:rPr>
          <w:rFonts w:hint="eastAsia"/>
          <w:b/>
          <w:bCs/>
          <w:color w:val="auto"/>
          <w:highlight w:val="none"/>
        </w:rPr>
        <w:t>1、规划概要</w:t>
      </w:r>
    </w:p>
    <w:p>
      <w:pPr>
        <w:pStyle w:val="6"/>
        <w:ind w:firstLine="482"/>
        <w:rPr>
          <w:rFonts w:hint="eastAsia"/>
          <w:b/>
          <w:bCs/>
        </w:rPr>
      </w:pPr>
      <w:r>
        <w:rPr>
          <w:rFonts w:hint="eastAsia"/>
          <w:b/>
          <w:bCs/>
        </w:rPr>
        <w:t>1、《西藏工布自然保护区总体规划（2011~2020）》规划概要</w:t>
      </w:r>
    </w:p>
    <w:p>
      <w:pPr>
        <w:pStyle w:val="6"/>
        <w:ind w:firstLine="480"/>
        <w:rPr>
          <w:rFonts w:hint="eastAsia"/>
        </w:rPr>
      </w:pPr>
      <w:r>
        <w:rPr>
          <w:rFonts w:hint="eastAsia"/>
        </w:rPr>
        <w:t>（1）主要保护对象</w:t>
      </w:r>
    </w:p>
    <w:p>
      <w:pPr>
        <w:pStyle w:val="6"/>
        <w:ind w:firstLine="480"/>
        <w:rPr>
          <w:rFonts w:hint="eastAsia"/>
        </w:rPr>
      </w:pPr>
      <w:r>
        <w:rPr>
          <w:rFonts w:hint="eastAsia"/>
        </w:rPr>
        <w:t>西藏工布自然保护区的主要保护对象是高寒山地垂直生态系统、湿地生态系统和赤斑羚等珍稀野生动物</w:t>
      </w:r>
    </w:p>
    <w:p>
      <w:pPr>
        <w:pStyle w:val="6"/>
        <w:ind w:firstLine="480"/>
        <w:rPr>
          <w:rFonts w:hint="eastAsia"/>
        </w:rPr>
      </w:pPr>
      <w:r>
        <w:rPr>
          <w:rFonts w:hint="eastAsia"/>
        </w:rPr>
        <w:t>（2）保护范围</w:t>
      </w:r>
    </w:p>
    <w:p>
      <w:pPr>
        <w:pStyle w:val="6"/>
        <w:ind w:firstLine="480"/>
        <w:rPr>
          <w:rFonts w:hint="eastAsia"/>
        </w:rPr>
      </w:pPr>
      <w:r>
        <w:rPr>
          <w:rFonts w:hint="eastAsia"/>
        </w:rPr>
        <w:t>西藏工布自然保护区位于西藏东南部的林芝市，喜马拉雅山脉的西北隅，雅鲁藏布江和尼洋河在保护区交汇。保护区东起雅鲁藏布大峡谷国家级自然保护区西界，西至加查县县界，西北至工布江达县中部，西南至朗县中东部，南至隆子县县界，东南至墨脱县县界，北靠嘉黎县县界。地理坐标介于东经92°55′57"-94°54′36"，北纬28°39′2"-30°20′25"之间。总面积为20149.81km</w:t>
      </w:r>
      <w:r>
        <w:rPr>
          <w:rFonts w:hint="eastAsia"/>
          <w:vertAlign w:val="superscript"/>
        </w:rPr>
        <w:t>2</w:t>
      </w:r>
      <w:r>
        <w:rPr>
          <w:rFonts w:hint="eastAsia"/>
        </w:rPr>
        <w:t>。</w:t>
      </w:r>
    </w:p>
    <w:p>
      <w:pPr>
        <w:pStyle w:val="6"/>
        <w:numPr>
          <w:ilvl w:val="0"/>
          <w:numId w:val="7"/>
        </w:numPr>
        <w:ind w:firstLine="480"/>
        <w:rPr>
          <w:rFonts w:hint="eastAsia"/>
        </w:rPr>
      </w:pPr>
      <w:r>
        <w:rPr>
          <w:rFonts w:hint="eastAsia"/>
        </w:rPr>
        <w:t>功能区划</w:t>
      </w:r>
    </w:p>
    <w:p>
      <w:pPr>
        <w:pStyle w:val="6"/>
        <w:tabs>
          <w:tab w:val="left" w:pos="333"/>
        </w:tabs>
        <w:ind w:firstLine="482"/>
        <w:rPr>
          <w:b/>
          <w:bCs/>
        </w:rPr>
      </w:pPr>
      <w:r>
        <w:rPr>
          <w:rFonts w:hint="eastAsia"/>
          <w:b/>
          <w:bCs/>
        </w:rPr>
        <w:t>核心区</w:t>
      </w:r>
    </w:p>
    <w:p>
      <w:pPr>
        <w:pStyle w:val="6"/>
        <w:ind w:firstLine="480"/>
        <w:rPr>
          <w:rFonts w:hint="eastAsia"/>
        </w:rPr>
      </w:pPr>
      <w:r>
        <w:rPr>
          <w:rFonts w:hint="eastAsia"/>
        </w:rPr>
        <w:t>1）百巴—布久—卧龙核心区：位于保护区中部林芝和米林县交界地带，包括林芝县的百巴镇、布久乡和米林县的扎西绕登乡、卧龙乡等区域，面积3058.10km</w:t>
      </w:r>
      <w:r>
        <w:rPr>
          <w:rFonts w:hint="eastAsia"/>
          <w:vertAlign w:val="superscript"/>
        </w:rPr>
        <w:t>2</w:t>
      </w:r>
      <w:r>
        <w:rPr>
          <w:rFonts w:hint="eastAsia"/>
        </w:rPr>
        <w:t>，是保护区最大的核心区。</w:t>
      </w:r>
    </w:p>
    <w:p>
      <w:pPr>
        <w:pStyle w:val="6"/>
        <w:ind w:firstLine="480"/>
        <w:rPr>
          <w:rFonts w:hint="eastAsia"/>
        </w:rPr>
      </w:pPr>
      <w:r>
        <w:rPr>
          <w:rFonts w:hint="eastAsia"/>
        </w:rPr>
        <w:t>2）朱拉核心区：位于保护区北部工布江达县与嘉黎县、波密县交界地带，包括工布江达县朱拉、错高、雪卡等乡镇区域，面积1331.28km</w:t>
      </w:r>
      <w:r>
        <w:rPr>
          <w:rFonts w:hint="eastAsia"/>
          <w:vertAlign w:val="superscript"/>
        </w:rPr>
        <w:t>2</w:t>
      </w:r>
      <w:r>
        <w:rPr>
          <w:rFonts w:hint="eastAsia"/>
        </w:rPr>
        <w:t>。</w:t>
      </w:r>
    </w:p>
    <w:p>
      <w:pPr>
        <w:pStyle w:val="6"/>
        <w:ind w:firstLine="480"/>
        <w:rPr>
          <w:rFonts w:hint="eastAsia"/>
        </w:rPr>
      </w:pPr>
      <w:r>
        <w:rPr>
          <w:rFonts w:hint="eastAsia"/>
        </w:rPr>
        <w:t>3）错高核心区：位于保护区的东北部工布江达县与林芝县交界地带，包括工布江达县的错高乡、林芝县百巴镇、八一镇、鲁朗镇等乡镇区域，面积792.19km</w:t>
      </w:r>
      <w:r>
        <w:rPr>
          <w:rFonts w:hint="eastAsia"/>
          <w:vertAlign w:val="superscript"/>
        </w:rPr>
        <w:t>2</w:t>
      </w:r>
      <w:r>
        <w:rPr>
          <w:rFonts w:hint="eastAsia"/>
        </w:rPr>
        <w:t>。</w:t>
      </w:r>
    </w:p>
    <w:p>
      <w:pPr>
        <w:pStyle w:val="6"/>
        <w:ind w:firstLine="480"/>
        <w:rPr>
          <w:rFonts w:hint="eastAsia"/>
        </w:rPr>
      </w:pPr>
      <w:r>
        <w:rPr>
          <w:rFonts w:hint="eastAsia"/>
        </w:rPr>
        <w:t>4）羌纳—丹娘核心区：位于保护区东南部，林芝机场以南，米林县的羌纳乡和丹娘乡区域，面积647.46km</w:t>
      </w:r>
      <w:r>
        <w:rPr>
          <w:rFonts w:hint="eastAsia"/>
          <w:vertAlign w:val="superscript"/>
        </w:rPr>
        <w:t>2</w:t>
      </w:r>
      <w:r>
        <w:rPr>
          <w:rFonts w:hint="eastAsia"/>
        </w:rPr>
        <w:t>。</w:t>
      </w:r>
    </w:p>
    <w:p>
      <w:pPr>
        <w:pStyle w:val="6"/>
        <w:ind w:firstLine="480"/>
        <w:rPr>
          <w:rFonts w:hint="eastAsia"/>
        </w:rPr>
      </w:pPr>
      <w:r>
        <w:rPr>
          <w:rFonts w:hint="eastAsia"/>
        </w:rPr>
        <w:t>5）金东—卧龙—里龙核心区：位于保护区西南部米林县与朗县及与墨脱、隆子县交界地带，包括朗县的金东乡和米林县的卧龙镇、里龙乡南部，面积2635.92km</w:t>
      </w:r>
      <w:r>
        <w:rPr>
          <w:rFonts w:hint="eastAsia"/>
          <w:vertAlign w:val="superscript"/>
        </w:rPr>
        <w:t>2</w:t>
      </w:r>
      <w:r>
        <w:rPr>
          <w:rFonts w:hint="eastAsia"/>
        </w:rPr>
        <w:t>。</w:t>
      </w:r>
    </w:p>
    <w:p>
      <w:pPr>
        <w:pStyle w:val="6"/>
        <w:ind w:firstLine="480"/>
        <w:rPr>
          <w:rFonts w:hint="eastAsia"/>
        </w:rPr>
      </w:pPr>
      <w:r>
        <w:rPr>
          <w:rFonts w:hint="eastAsia"/>
        </w:rPr>
        <w:t>6）工布江达核心区：位于保护区西部米林县与工布江达县及加查县、朗县交界地带，包括工布江达县仲沙乡和米林县卧龙镇区域，面积1806.46km</w:t>
      </w:r>
      <w:r>
        <w:rPr>
          <w:rFonts w:hint="eastAsia"/>
          <w:vertAlign w:val="superscript"/>
        </w:rPr>
        <w:t>2</w:t>
      </w:r>
      <w:r>
        <w:rPr>
          <w:rFonts w:hint="eastAsia"/>
        </w:rPr>
        <w:t>。</w:t>
      </w:r>
    </w:p>
    <w:p>
      <w:pPr>
        <w:pStyle w:val="6"/>
        <w:ind w:firstLine="482"/>
        <w:rPr>
          <w:rFonts w:hint="eastAsia"/>
        </w:rPr>
      </w:pPr>
      <w:r>
        <w:rPr>
          <w:rFonts w:hint="eastAsia"/>
          <w:b/>
          <w:bCs/>
        </w:rPr>
        <w:t>缓冲区：</w:t>
      </w:r>
      <w:r>
        <w:rPr>
          <w:rFonts w:hint="eastAsia"/>
        </w:rPr>
        <w:t>缓冲区位于核心区外围，缓冲区的区划基本以自然山脊和沿等高线进行综合区划。缓冲区面积为3801.89km</w:t>
      </w:r>
      <w:r>
        <w:rPr>
          <w:rFonts w:hint="eastAsia"/>
          <w:vertAlign w:val="superscript"/>
        </w:rPr>
        <w:t>2</w:t>
      </w:r>
      <w:r>
        <w:rPr>
          <w:rFonts w:hint="eastAsia"/>
        </w:rPr>
        <w:t>，占保护区总面积的18.87%。</w:t>
      </w:r>
    </w:p>
    <w:p>
      <w:pPr>
        <w:pStyle w:val="6"/>
        <w:ind w:firstLine="482"/>
        <w:rPr>
          <w:rFonts w:hint="eastAsia"/>
        </w:rPr>
      </w:pPr>
      <w:r>
        <w:rPr>
          <w:rFonts w:hint="eastAsia"/>
          <w:b/>
          <w:bCs/>
        </w:rPr>
        <w:t>试验区：</w:t>
      </w:r>
      <w:r>
        <w:rPr>
          <w:rFonts w:hint="eastAsia"/>
        </w:rPr>
        <w:t>工布自然保护区内有尼洋河和雅鲁藏布江两条主要河流以及沿河流的318国道和306省道是主要的人口分布区，以此为主干结合实际情况来划分实验区。实验区面积6076.50km</w:t>
      </w:r>
      <w:r>
        <w:rPr>
          <w:rFonts w:hint="eastAsia"/>
          <w:vertAlign w:val="superscript"/>
        </w:rPr>
        <w:t>2</w:t>
      </w:r>
      <w:r>
        <w:rPr>
          <w:rFonts w:hint="eastAsia"/>
        </w:rPr>
        <w:t>，占保护区总面积的30.15%。</w:t>
      </w:r>
    </w:p>
    <w:p>
      <w:pPr>
        <w:pStyle w:val="6"/>
        <w:ind w:firstLine="480"/>
        <w:rPr>
          <w:rFonts w:hint="eastAsia"/>
        </w:rPr>
      </w:pPr>
      <w:r>
        <w:rPr>
          <w:rFonts w:hint="eastAsia"/>
        </w:rPr>
        <w:t>（4）功能区保护措施</w:t>
      </w:r>
    </w:p>
    <w:p>
      <w:pPr>
        <w:pStyle w:val="6"/>
        <w:ind w:firstLine="480"/>
        <w:rPr>
          <w:rFonts w:hint="eastAsia"/>
          <w:color w:val="2A26F7"/>
        </w:rPr>
      </w:pPr>
      <w:r>
        <w:rPr>
          <w:rFonts w:hint="eastAsia"/>
          <w:color w:val="2A26F7"/>
        </w:rPr>
        <w:t>1）严格保护区域</w:t>
      </w:r>
    </w:p>
    <w:p>
      <w:pPr>
        <w:pStyle w:val="6"/>
        <w:ind w:firstLine="480"/>
        <w:rPr>
          <w:rFonts w:hint="eastAsia"/>
          <w:color w:val="2A26F7"/>
        </w:rPr>
      </w:pPr>
      <w:r>
        <w:rPr>
          <w:rFonts w:hint="eastAsia"/>
          <w:color w:val="2A26F7"/>
        </w:rPr>
        <w:t>严格保护区域是指核心区和缓冲区，最大限度地保护区内森林自然演替不受干扰，保护动物资源及其栖息地环境，维持现有森林生态系统的稳定。保护区内的主要保护对象实行就地保护。对保护区的核心区和缓冲区采用相对封闭的管理方式，以保护管理人员加强入山管理和日常巡护管理为主。</w:t>
      </w:r>
    </w:p>
    <w:p>
      <w:pPr>
        <w:pStyle w:val="6"/>
        <w:ind w:firstLine="480"/>
        <w:rPr>
          <w:rFonts w:hint="eastAsia"/>
          <w:color w:val="2A26F7"/>
        </w:rPr>
      </w:pPr>
      <w:r>
        <w:rPr>
          <w:rFonts w:hint="eastAsia"/>
          <w:color w:val="2A26F7"/>
        </w:rPr>
        <w:t>——核心区。该功能区是绝对保护区域，实行相对封闭性保护。除进行必要的定位监测和科学考查外，不得安排其它任何生产经营活动。除必要的定位监测设施建设外，不得安排其它任何建设项目。</w:t>
      </w:r>
    </w:p>
    <w:p>
      <w:pPr>
        <w:pStyle w:val="6"/>
        <w:ind w:firstLine="480"/>
        <w:rPr>
          <w:rFonts w:hint="eastAsia"/>
          <w:color w:val="2A26F7"/>
        </w:rPr>
      </w:pPr>
      <w:r>
        <w:rPr>
          <w:rFonts w:hint="eastAsia"/>
          <w:color w:val="2A26F7"/>
        </w:rPr>
        <w:t>——缓冲区。该功能区是严格保护区域，可以安排科学研究、实验观察、监测项目，可以开展必要的野外巡护工作，可以进行必要的保护设施建设，可采取封育等措施恢复植被，改善珍稀野生动植物的生存条件，使其逐步恢复为核心区。</w:t>
      </w:r>
    </w:p>
    <w:p>
      <w:pPr>
        <w:pStyle w:val="6"/>
        <w:ind w:firstLine="480"/>
        <w:rPr>
          <w:rFonts w:hint="eastAsia"/>
          <w:color w:val="2A26F7"/>
        </w:rPr>
      </w:pPr>
      <w:r>
        <w:rPr>
          <w:rFonts w:hint="eastAsia"/>
          <w:color w:val="2A26F7"/>
        </w:rPr>
        <w:t>2）一般保护区域</w:t>
      </w:r>
    </w:p>
    <w:p>
      <w:pPr>
        <w:pStyle w:val="6"/>
        <w:ind w:firstLine="480"/>
        <w:rPr>
          <w:rFonts w:hint="eastAsia"/>
          <w:color w:val="2A26F7"/>
        </w:rPr>
      </w:pPr>
      <w:r>
        <w:rPr>
          <w:rFonts w:hint="eastAsia"/>
          <w:color w:val="2A26F7"/>
        </w:rPr>
        <w:t>一般保护区域是指实验区部分。在本区可适度集中建设和安排生物保护、资源恢复、科学实验、珍稀动植物资源的繁育、科普宣传教育、生态旅游、参观考察、资源综合利用和社区发展项目，以及必要的办公基础设施和道路等配套工程项目，以增强保护区保护能力、科研能力、经济实力和改善工作、生活条件，使其成为进行科学研究、教学实习、参观考察的基地。</w:t>
      </w:r>
    </w:p>
    <w:p>
      <w:pPr>
        <w:pStyle w:val="6"/>
        <w:ind w:firstLine="482"/>
        <w:rPr>
          <w:b/>
          <w:bCs/>
        </w:rPr>
      </w:pPr>
      <w:r>
        <w:rPr>
          <w:b/>
          <w:bCs/>
        </w:rPr>
        <w:t>2</w:t>
      </w:r>
      <w:r>
        <w:rPr>
          <w:rFonts w:hint="eastAsia"/>
          <w:b/>
          <w:bCs/>
        </w:rPr>
        <w:t>、</w:t>
      </w:r>
      <w:r>
        <w:rPr>
          <w:b/>
          <w:bCs/>
        </w:rPr>
        <w:t>本次</w:t>
      </w:r>
      <w:r>
        <w:rPr>
          <w:rFonts w:hint="eastAsia"/>
          <w:b/>
          <w:bCs/>
        </w:rPr>
        <w:t>“林芝市全域旅游发展规划（2018-2025年）”涉及《西藏工布自然保护区总体规划（2011~2020）》的相关内容</w:t>
      </w:r>
    </w:p>
    <w:p>
      <w:pPr>
        <w:pStyle w:val="6"/>
        <w:bidi w:val="0"/>
        <w:rPr>
          <w:rFonts w:hint="default"/>
          <w:color w:val="auto"/>
          <w:highlight w:val="none"/>
          <w:lang w:val="en-US" w:eastAsia="zh-CN"/>
        </w:rPr>
      </w:pPr>
      <w:r>
        <w:rPr>
          <w:rFonts w:hint="eastAsia"/>
        </w:rPr>
        <w:t>本次规划中可能涉及工布自然保护区的建设项目见表2.2-12。</w:t>
      </w:r>
    </w:p>
    <w:p>
      <w:pPr>
        <w:pStyle w:val="6"/>
        <w:bidi w:val="0"/>
        <w:ind w:left="0" w:leftChars="0" w:firstLine="0" w:firstLineChars="0"/>
        <w:rPr>
          <w:rFonts w:hint="eastAsia"/>
          <w:color w:val="auto"/>
          <w:highlight w:val="none"/>
        </w:rPr>
        <w:sectPr>
          <w:pgSz w:w="11906" w:h="16838"/>
          <w:pgMar w:top="1440" w:right="1800" w:bottom="1440" w:left="1800" w:header="851" w:footer="992" w:gutter="0"/>
          <w:pgNumType w:fmt="decimal"/>
          <w:cols w:space="425" w:num="1"/>
          <w:docGrid w:type="lines" w:linePitch="312" w:charSpace="0"/>
        </w:sectPr>
      </w:pPr>
    </w:p>
    <w:p>
      <w:pPr>
        <w:pStyle w:val="27"/>
        <w:bidi w:val="0"/>
        <w:rPr>
          <w:rFonts w:hint="eastAsia"/>
          <w:highlight w:val="none"/>
        </w:rPr>
      </w:pPr>
      <w:r>
        <w:rPr>
          <w:rFonts w:hint="eastAsia"/>
          <w:highlight w:val="none"/>
        </w:rPr>
        <w:t>表</w:t>
      </w:r>
      <w:r>
        <w:rPr>
          <w:rFonts w:hint="eastAsia"/>
          <w:highlight w:val="none"/>
          <w:lang w:val="en-US" w:eastAsia="zh-CN"/>
        </w:rPr>
        <w:t xml:space="preserve">2.2-12  </w:t>
      </w:r>
      <w:r>
        <w:rPr>
          <w:rFonts w:hint="eastAsia"/>
          <w:highlight w:val="none"/>
        </w:rPr>
        <w:t>本次规划中可能涉及</w:t>
      </w:r>
      <w:r>
        <w:rPr>
          <w:rFonts w:hint="eastAsia"/>
          <w:color w:val="auto"/>
          <w:highlight w:val="none"/>
          <w:lang w:val="en-US" w:eastAsia="zh-CN"/>
        </w:rPr>
        <w:t>工布</w:t>
      </w:r>
      <w:r>
        <w:rPr>
          <w:rFonts w:hint="eastAsia"/>
          <w:highlight w:val="none"/>
        </w:rPr>
        <w:t>自然保护区的建设项目情况表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323"/>
        <w:gridCol w:w="1173"/>
        <w:gridCol w:w="2462"/>
        <w:gridCol w:w="6703"/>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序号</w:t>
            </w:r>
          </w:p>
        </w:tc>
        <w:tc>
          <w:tcPr>
            <w:tcW w:w="467" w:type="pct"/>
            <w:vAlign w:val="center"/>
          </w:tcPr>
          <w:p>
            <w:pPr>
              <w:pStyle w:val="28"/>
              <w:keepNext w:val="0"/>
              <w:keepLines w:val="0"/>
              <w:suppressLineNumbers w:val="0"/>
              <w:bidi w:val="0"/>
              <w:spacing w:beforeAutospacing="0" w:afterAutospacing="0" w:line="276" w:lineRule="auto"/>
              <w:ind w:left="0" w:right="0"/>
              <w:rPr>
                <w:rFonts w:hint="eastAsia"/>
                <w:b/>
                <w:bCs/>
                <w:highlight w:val="none"/>
                <w:lang w:val="en-US" w:eastAsia="zh-CN"/>
              </w:rPr>
            </w:pPr>
            <w:r>
              <w:rPr>
                <w:rFonts w:hint="eastAsia"/>
                <w:b/>
                <w:bCs/>
                <w:highlight w:val="none"/>
              </w:rPr>
              <w:t>泛景区</w:t>
            </w:r>
            <w:r>
              <w:rPr>
                <w:rFonts w:hint="eastAsia"/>
                <w:b/>
                <w:bCs/>
                <w:highlight w:val="none"/>
                <w:lang w:val="en-US" w:eastAsia="zh-CN"/>
              </w:rPr>
              <w:t>名称</w:t>
            </w:r>
          </w:p>
        </w:tc>
        <w:tc>
          <w:tcPr>
            <w:tcW w:w="414"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行政区域</w:t>
            </w:r>
          </w:p>
        </w:tc>
        <w:tc>
          <w:tcPr>
            <w:tcW w:w="869"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景点名称</w:t>
            </w:r>
          </w:p>
        </w:tc>
        <w:tc>
          <w:tcPr>
            <w:tcW w:w="2366"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建设内容</w:t>
            </w:r>
          </w:p>
        </w:tc>
        <w:tc>
          <w:tcPr>
            <w:tcW w:w="679"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依托资源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04"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1</w:t>
            </w:r>
          </w:p>
        </w:tc>
        <w:tc>
          <w:tcPr>
            <w:tcW w:w="467"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南伊沟景区及周边地区</w:t>
            </w:r>
          </w:p>
        </w:tc>
        <w:tc>
          <w:tcPr>
            <w:tcW w:w="414"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米林县</w:t>
            </w:r>
          </w:p>
        </w:tc>
        <w:tc>
          <w:tcPr>
            <w:tcW w:w="869" w:type="pct"/>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r>
              <w:rPr>
                <w:rFonts w:hint="eastAsia"/>
                <w:highlight w:val="none"/>
              </w:rPr>
              <w:t>南伊沟景区</w:t>
            </w:r>
          </w:p>
        </w:tc>
        <w:tc>
          <w:tcPr>
            <w:tcW w:w="23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完善</w:t>
            </w:r>
            <w:r>
              <w:rPr>
                <w:rFonts w:hint="eastAsia"/>
                <w:highlight w:val="none"/>
              </w:rPr>
              <w:t>游客接待中心、停车场、</w:t>
            </w:r>
            <w:r>
              <w:rPr>
                <w:rFonts w:hint="eastAsia"/>
                <w:highlight w:val="none"/>
                <w:lang w:val="en-US" w:eastAsia="zh-CN"/>
              </w:rPr>
              <w:t>新建</w:t>
            </w:r>
            <w:r>
              <w:rPr>
                <w:rFonts w:hint="eastAsia"/>
                <w:highlight w:val="none"/>
              </w:rPr>
              <w:t>观景平台、生态厕所</w:t>
            </w:r>
          </w:p>
        </w:tc>
        <w:tc>
          <w:tcPr>
            <w:tcW w:w="679"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西藏</w:t>
            </w:r>
            <w:r>
              <w:rPr>
                <w:rFonts w:hint="eastAsia"/>
                <w:highlight w:val="none"/>
                <w:lang w:val="en-US" w:eastAsia="zh-CN"/>
              </w:rPr>
              <w:t>工布自然保护区实验区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04"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7"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86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扎贡沟景区</w:t>
            </w:r>
          </w:p>
        </w:tc>
        <w:tc>
          <w:tcPr>
            <w:tcW w:w="23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建设藏医药微型博物馆，充分利用VR、全息投影等高科技，打造科普性与趣味性互融的藏医药展厅，进一步丰富游客体验，增强藏医药知识科普、文化传承</w:t>
            </w:r>
          </w:p>
        </w:tc>
        <w:tc>
          <w:tcPr>
            <w:tcW w:w="67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0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86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南伊洛巴民族乡</w:t>
            </w:r>
          </w:p>
        </w:tc>
        <w:tc>
          <w:tcPr>
            <w:tcW w:w="2366"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完善旅游交通、住宿、餐饮配套</w:t>
            </w:r>
            <w:r>
              <w:rPr>
                <w:rFonts w:hint="eastAsia"/>
                <w:highlight w:val="none"/>
                <w:lang w:val="en-US" w:eastAsia="zh-CN"/>
              </w:rPr>
              <w:t>设施</w:t>
            </w:r>
          </w:p>
        </w:tc>
        <w:tc>
          <w:tcPr>
            <w:tcW w:w="67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0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86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才召民俗村、</w:t>
            </w:r>
          </w:p>
        </w:tc>
        <w:tc>
          <w:tcPr>
            <w:tcW w:w="23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打造度假牧居和骑行绿道</w:t>
            </w:r>
          </w:p>
        </w:tc>
        <w:tc>
          <w:tcPr>
            <w:tcW w:w="67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0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86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琼林珞巴民族村</w:t>
            </w:r>
          </w:p>
        </w:tc>
        <w:tc>
          <w:tcPr>
            <w:tcW w:w="23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改善乡村人居环境，开设庭院式乡村精品民宿</w:t>
            </w:r>
          </w:p>
        </w:tc>
        <w:tc>
          <w:tcPr>
            <w:tcW w:w="67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2</w:t>
            </w:r>
          </w:p>
        </w:tc>
        <w:tc>
          <w:tcPr>
            <w:tcW w:w="467"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r>
              <w:rPr>
                <w:rFonts w:hint="eastAsia"/>
                <w:highlight w:val="none"/>
              </w:rPr>
              <w:t>巴松措及周边地区</w:t>
            </w:r>
            <w:r>
              <w:rPr>
                <w:rFonts w:hint="eastAsia"/>
                <w:highlight w:val="none"/>
                <w:lang w:eastAsia="zh-CN"/>
              </w:rPr>
              <w:t>（</w:t>
            </w:r>
            <w:r>
              <w:rPr>
                <w:rFonts w:hint="eastAsia"/>
                <w:highlight w:val="none"/>
                <w:lang w:val="en-US" w:eastAsia="zh-CN"/>
              </w:rPr>
              <w:t>工布江达</w:t>
            </w:r>
            <w:r>
              <w:rPr>
                <w:rFonts w:hint="eastAsia"/>
                <w:highlight w:val="none"/>
                <w:lang w:eastAsia="zh-CN"/>
              </w:rPr>
              <w:t>）</w:t>
            </w:r>
          </w:p>
        </w:tc>
        <w:tc>
          <w:tcPr>
            <w:tcW w:w="414"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工布江达</w:t>
            </w:r>
          </w:p>
        </w:tc>
        <w:tc>
          <w:tcPr>
            <w:tcW w:w="86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游客中心</w:t>
            </w:r>
          </w:p>
        </w:tc>
        <w:tc>
          <w:tcPr>
            <w:tcW w:w="23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对照 5A 级景区标准，聘请专业团队，完善外语翻译、厕所标识、电线埋地等工作</w:t>
            </w:r>
          </w:p>
        </w:tc>
        <w:tc>
          <w:tcPr>
            <w:tcW w:w="679"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西藏</w:t>
            </w:r>
            <w:r>
              <w:rPr>
                <w:rFonts w:hint="eastAsia"/>
                <w:highlight w:val="none"/>
                <w:lang w:val="en-US" w:eastAsia="zh-CN"/>
              </w:rPr>
              <w:t>工布自然保护实验区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67"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86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湖区</w:t>
            </w:r>
          </w:p>
        </w:tc>
        <w:tc>
          <w:tcPr>
            <w:tcW w:w="23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通过完善巴松湖、新措、仲措环湖风景道路系统，建立统一标识体系，将“三措”区域连成一体；适当增加水吧、观景平台等设施</w:t>
            </w:r>
          </w:p>
        </w:tc>
        <w:tc>
          <w:tcPr>
            <w:tcW w:w="67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86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措高村</w:t>
            </w:r>
          </w:p>
        </w:tc>
        <w:tc>
          <w:tcPr>
            <w:tcW w:w="236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重点发展结巴村、错高村、乡村生态旅游住宿产品和周边生态旅游活动产品</w:t>
            </w:r>
          </w:p>
        </w:tc>
        <w:tc>
          <w:tcPr>
            <w:tcW w:w="67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86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结巴村</w:t>
            </w:r>
          </w:p>
        </w:tc>
        <w:tc>
          <w:tcPr>
            <w:tcW w:w="236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67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86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巴河镇农业观光园</w:t>
            </w:r>
          </w:p>
        </w:tc>
        <w:tc>
          <w:tcPr>
            <w:tcW w:w="23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连体温室大棚、住宿酒店、服务区，集住宿、餐饮、休闲、采摘、科普、培训为一体</w:t>
            </w:r>
          </w:p>
        </w:tc>
        <w:tc>
          <w:tcPr>
            <w:tcW w:w="67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869"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杂拉沟</w:t>
            </w:r>
          </w:p>
        </w:tc>
        <w:tc>
          <w:tcPr>
            <w:tcW w:w="2366"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发展旅游综合接待、配套户外商品售卖</w:t>
            </w:r>
          </w:p>
        </w:tc>
        <w:tc>
          <w:tcPr>
            <w:tcW w:w="67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bl>
    <w:p>
      <w:pPr>
        <w:pStyle w:val="6"/>
        <w:rPr>
          <w:rFonts w:hint="eastAsia"/>
          <w:highlight w:val="none"/>
        </w:rPr>
        <w:sectPr>
          <w:pgSz w:w="16838" w:h="11906" w:orient="landscape"/>
          <w:pgMar w:top="1800" w:right="1440" w:bottom="1800" w:left="1440" w:header="851" w:footer="992" w:gutter="0"/>
          <w:pgNumType w:fmt="decimal"/>
          <w:cols w:space="425" w:num="1"/>
          <w:docGrid w:type="lines" w:linePitch="312" w:charSpace="0"/>
        </w:sectPr>
      </w:pPr>
    </w:p>
    <w:p>
      <w:pPr>
        <w:pStyle w:val="6"/>
        <w:ind w:firstLine="480"/>
        <w:rPr>
          <w:rFonts w:hint="eastAsia"/>
          <w:color w:val="2A26F7"/>
        </w:rPr>
      </w:pPr>
      <w:r>
        <w:rPr>
          <w:rFonts w:hint="eastAsia"/>
          <w:color w:val="2A26F7"/>
        </w:rPr>
        <w:t>经过初步叠图分析，规划中可能涉及工布自然保护区的建设项目见表2.2-10。</w:t>
      </w:r>
      <w:r>
        <w:rPr>
          <w:rFonts w:hint="eastAsia"/>
          <w:b w:val="0"/>
          <w:bCs w:val="0"/>
        </w:rPr>
        <w:t>“</w:t>
      </w:r>
      <w:r>
        <w:rPr>
          <w:rFonts w:hint="eastAsia"/>
          <w:b w:val="0"/>
          <w:bCs w:val="0"/>
          <w:color w:val="auto"/>
          <w:lang w:val="en-US" w:eastAsia="zh-CN"/>
        </w:rPr>
        <w:t>林芝市全域旅游发展规划（2018-2025年）</w:t>
      </w:r>
      <w:r>
        <w:rPr>
          <w:rFonts w:hint="eastAsia"/>
          <w:b w:val="0"/>
          <w:bCs w:val="0"/>
        </w:rPr>
        <w:t>”</w:t>
      </w:r>
      <w:r>
        <w:rPr>
          <w:rFonts w:hint="eastAsia"/>
          <w:b w:val="0"/>
          <w:bCs w:val="0"/>
          <w:color w:val="2A26F7"/>
        </w:rPr>
        <w:t>主要基于西藏工布自然保护区的</w:t>
      </w:r>
      <w:r>
        <w:rPr>
          <w:rFonts w:hint="eastAsia"/>
          <w:color w:val="2A26F7"/>
        </w:rPr>
        <w:t>实验区部分。规划项目内容</w:t>
      </w:r>
      <w:r>
        <w:rPr>
          <w:rFonts w:hint="eastAsia" w:ascii="宋体" w:hAnsi="宋体" w:cs="宋体"/>
          <w:color w:val="2A26F7"/>
        </w:rPr>
        <w:t>主要为完善生态徒步路线、完善解说系统、修建简易休憩中心、整合乡村旅游成立集体旅游经济组织。属于</w:t>
      </w:r>
      <w:r>
        <w:rPr>
          <w:rFonts w:hint="eastAsia"/>
          <w:color w:val="2A26F7"/>
        </w:rPr>
        <w:t>《西藏工布自然保护区总体规划（2011~2020）》中一般保护区域允许开展的活动。</w:t>
      </w:r>
    </w:p>
    <w:p>
      <w:pPr>
        <w:pStyle w:val="6"/>
        <w:ind w:firstLine="480"/>
        <w:rPr>
          <w:rFonts w:hint="eastAsia"/>
          <w:color w:val="2A26F7"/>
        </w:rPr>
      </w:pPr>
      <w:r>
        <w:rPr>
          <w:rFonts w:hint="eastAsia"/>
          <w:color w:val="2A26F7"/>
        </w:rPr>
        <w:t>由于本次的旅游资源为示意点位，叠图分析时可能存在一定误差以及旅游资源基础设施具体实施选址落地存在差异，最终可能会影响叠图判断，因此规划后续实施过程中需进一步落实是否涉及西藏工布自然保护区核心区、缓冲区。建设项目应严格遵守《中华人民共和国自然保护区条例》要求不得对自然保护区造成破坏及生态环境污染，不得降低自然保护区环境质量。</w:t>
      </w:r>
    </w:p>
    <w:p>
      <w:pPr>
        <w:pStyle w:val="2"/>
      </w:pPr>
      <w:r>
        <w:rPr>
          <w:rFonts w:hint="eastAsia"/>
        </w:rPr>
        <w:t>2.2.5.4与《西藏雅尼国家湿地公园总体规划（2009~2018）》协调性分析</w:t>
      </w:r>
    </w:p>
    <w:p>
      <w:pPr>
        <w:pStyle w:val="6"/>
        <w:ind w:firstLine="482"/>
        <w:rPr>
          <w:b/>
          <w:bCs/>
        </w:rPr>
      </w:pPr>
      <w:r>
        <w:rPr>
          <w:rFonts w:hint="eastAsia"/>
          <w:b/>
          <w:bCs/>
        </w:rPr>
        <w:t>1、《西藏雅尼国家湿地公园总体规划（2009~2018）》规划概要</w:t>
      </w:r>
    </w:p>
    <w:p>
      <w:pPr>
        <w:pStyle w:val="6"/>
        <w:ind w:firstLine="482"/>
        <w:rPr>
          <w:b/>
          <w:bCs/>
        </w:rPr>
      </w:pPr>
      <w:r>
        <w:rPr>
          <w:rFonts w:hint="eastAsia"/>
          <w:b/>
          <w:bCs/>
        </w:rPr>
        <w:t>（1）公园范围</w:t>
      </w:r>
    </w:p>
    <w:p>
      <w:pPr>
        <w:pStyle w:val="6"/>
        <w:ind w:firstLine="480"/>
        <w:rPr>
          <w:rFonts w:hint="eastAsia"/>
        </w:rPr>
      </w:pPr>
      <w:r>
        <w:rPr>
          <w:rFonts w:hint="eastAsia"/>
        </w:rPr>
        <w:t>雅尼国家湿地公园地处西藏自治区林芝市尼洋河与雅鲁藏布交汇点处，行政上隶属林芝县和米林县，距林芝市所在地八一镇20km，北纬29°24′～29°39′，东径 94°24′～94°38′之间，总面积为6973.44hm</w:t>
      </w:r>
      <w:r>
        <w:rPr>
          <w:rFonts w:hint="eastAsia"/>
          <w:vertAlign w:val="superscript"/>
        </w:rPr>
        <w:t>2</w:t>
      </w:r>
      <w:r>
        <w:rPr>
          <w:rFonts w:hint="eastAsia"/>
        </w:rPr>
        <w:t>。</w:t>
      </w:r>
    </w:p>
    <w:p>
      <w:pPr>
        <w:pStyle w:val="6"/>
        <w:ind w:firstLine="482"/>
        <w:rPr>
          <w:b/>
          <w:bCs/>
        </w:rPr>
      </w:pPr>
      <w:r>
        <w:rPr>
          <w:rFonts w:hint="eastAsia"/>
          <w:b/>
          <w:bCs/>
        </w:rPr>
        <w:t>（2）公园分区</w:t>
      </w:r>
    </w:p>
    <w:p>
      <w:pPr>
        <w:pStyle w:val="6"/>
        <w:ind w:firstLine="480"/>
      </w:pPr>
      <w:r>
        <w:rPr>
          <w:rFonts w:hint="eastAsia"/>
        </w:rPr>
        <w:t>雅尼国家湿地公园分为以下五个功能区：保育区、合理利用区、恢复重建区、宣教展示区和管理服务区。保护区分区如下：</w:t>
      </w:r>
    </w:p>
    <w:p>
      <w:pPr>
        <w:pStyle w:val="6"/>
        <w:ind w:firstLine="480"/>
        <w:rPr>
          <w:rFonts w:hint="eastAsia"/>
        </w:rPr>
      </w:pPr>
      <w:r>
        <w:rPr>
          <w:rFonts w:hint="eastAsia"/>
        </w:rPr>
        <w:t>一级保护区：主要针对湿地公园的湿地保育区，部分生态特征较敏感、水质净化要求较高的湿地功能展示区，以保护为主，除开展必要的管护、科研活动以外，禁止其它一切人为干扰。湿地公园的保护管理活动应围绕保育区和功能展示区的保护进行。</w:t>
      </w:r>
    </w:p>
    <w:p>
      <w:pPr>
        <w:pStyle w:val="6"/>
        <w:ind w:firstLine="480"/>
        <w:rPr>
          <w:rFonts w:hint="eastAsia"/>
        </w:rPr>
      </w:pPr>
      <w:r>
        <w:rPr>
          <w:rFonts w:hint="eastAsia"/>
        </w:rPr>
        <w:t>二级保护区：主要针对湿地公园的湿地功能展示区，游客需要在有保护措施的情况下进行参观。</w:t>
      </w:r>
    </w:p>
    <w:p>
      <w:pPr>
        <w:pStyle w:val="6"/>
        <w:ind w:firstLine="480"/>
        <w:rPr>
          <w:rFonts w:hint="eastAsia"/>
        </w:rPr>
      </w:pPr>
      <w:r>
        <w:rPr>
          <w:rFonts w:hint="eastAsia"/>
        </w:rPr>
        <w:t>三级保护区：主要针对湿地公园的湿地体验区和服务管理区，可以有组织、有目的地开展科研、宣教、生态旅游和合理利用等活动，但必须以不破坏自然景观、不影响资源保护为前提。</w:t>
      </w:r>
    </w:p>
    <w:p>
      <w:pPr>
        <w:pStyle w:val="6"/>
        <w:ind w:firstLine="482"/>
        <w:rPr>
          <w:b/>
          <w:bCs/>
        </w:rPr>
      </w:pPr>
      <w:r>
        <w:rPr>
          <w:b/>
          <w:bCs/>
        </w:rPr>
        <w:t>2</w:t>
      </w:r>
      <w:r>
        <w:rPr>
          <w:rFonts w:hint="eastAsia"/>
          <w:b/>
          <w:bCs/>
        </w:rPr>
        <w:t>、</w:t>
      </w:r>
      <w:r>
        <w:rPr>
          <w:b/>
          <w:bCs/>
        </w:rPr>
        <w:t>本次</w:t>
      </w:r>
      <w:r>
        <w:rPr>
          <w:rFonts w:hint="eastAsia"/>
          <w:b/>
          <w:bCs/>
        </w:rPr>
        <w:t>“林芝市全域旅游发展规划（2018-2025年）”涉及《西藏雅尼国家湿地公园总体规划（2009~2018）》的相关内容</w:t>
      </w:r>
    </w:p>
    <w:p>
      <w:pPr>
        <w:pStyle w:val="6"/>
        <w:ind w:firstLine="480"/>
        <w:rPr>
          <w:rFonts w:hint="eastAsia"/>
        </w:rPr>
      </w:pPr>
      <w:r>
        <w:rPr>
          <w:rFonts w:hint="eastAsia"/>
        </w:rPr>
        <w:t>本次规划中可能涉及雅尼湿地公园的建设项目见表2.2-13。</w:t>
      </w:r>
    </w:p>
    <w:p>
      <w:pPr>
        <w:pStyle w:val="27"/>
        <w:bidi w:val="0"/>
        <w:rPr>
          <w:rFonts w:hint="eastAsia"/>
          <w:highlight w:val="none"/>
        </w:rPr>
      </w:pPr>
      <w:r>
        <w:rPr>
          <w:rFonts w:hint="eastAsia"/>
          <w:highlight w:val="none"/>
        </w:rPr>
        <w:t>表</w:t>
      </w:r>
      <w:r>
        <w:rPr>
          <w:rFonts w:hint="eastAsia"/>
          <w:highlight w:val="none"/>
          <w:lang w:val="en-US" w:eastAsia="zh-CN"/>
        </w:rPr>
        <w:t xml:space="preserve">2.2-13  </w:t>
      </w:r>
      <w:r>
        <w:rPr>
          <w:rFonts w:hint="eastAsia"/>
          <w:highlight w:val="none"/>
        </w:rPr>
        <w:t>本次规划中可能涉及西藏</w:t>
      </w:r>
      <w:r>
        <w:rPr>
          <w:rFonts w:hint="eastAsia"/>
          <w:highlight w:val="none"/>
          <w:lang w:val="en-US" w:eastAsia="zh-CN"/>
        </w:rPr>
        <w:t>比日神山</w:t>
      </w:r>
      <w:r>
        <w:rPr>
          <w:rFonts w:hint="eastAsia"/>
          <w:highlight w:val="none"/>
        </w:rPr>
        <w:t>国家森林公园的建设项目情况表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53"/>
        <w:gridCol w:w="767"/>
        <w:gridCol w:w="1210"/>
        <w:gridCol w:w="2578"/>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序号</w:t>
            </w:r>
          </w:p>
        </w:tc>
        <w:tc>
          <w:tcPr>
            <w:tcW w:w="559"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泛景区</w:t>
            </w:r>
            <w:r>
              <w:rPr>
                <w:rFonts w:hint="eastAsia"/>
                <w:highlight w:val="none"/>
                <w:lang w:val="en-US" w:eastAsia="zh-CN"/>
              </w:rPr>
              <w:t>名称</w:t>
            </w:r>
          </w:p>
        </w:tc>
        <w:tc>
          <w:tcPr>
            <w:tcW w:w="450"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行政区域</w:t>
            </w:r>
          </w:p>
        </w:tc>
        <w:tc>
          <w:tcPr>
            <w:tcW w:w="710"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景点名称</w:t>
            </w:r>
          </w:p>
        </w:tc>
        <w:tc>
          <w:tcPr>
            <w:tcW w:w="1513"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建设内容</w:t>
            </w:r>
          </w:p>
        </w:tc>
        <w:tc>
          <w:tcPr>
            <w:tcW w:w="1516"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依托资源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250"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1</w:t>
            </w:r>
          </w:p>
        </w:tc>
        <w:tc>
          <w:tcPr>
            <w:tcW w:w="559"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鲁朗小镇及周边地区</w:t>
            </w:r>
          </w:p>
        </w:tc>
        <w:tc>
          <w:tcPr>
            <w:tcW w:w="450"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巴宜区</w:t>
            </w:r>
          </w:p>
        </w:tc>
        <w:tc>
          <w:tcPr>
            <w:tcW w:w="710" w:type="pct"/>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雅尼国家湿地公园</w:t>
            </w:r>
          </w:p>
        </w:tc>
        <w:tc>
          <w:tcPr>
            <w:tcW w:w="1513" w:type="pct"/>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建设观景平台、栈道</w:t>
            </w:r>
          </w:p>
        </w:tc>
        <w:tc>
          <w:tcPr>
            <w:tcW w:w="1516" w:type="pct"/>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雅尼国家湿地公园</w:t>
            </w:r>
          </w:p>
        </w:tc>
      </w:tr>
    </w:tbl>
    <w:p>
      <w:pPr>
        <w:pStyle w:val="6"/>
        <w:ind w:firstLine="480"/>
      </w:pPr>
      <w:r>
        <w:rPr>
          <w:rFonts w:hint="eastAsia"/>
        </w:rPr>
        <w:t>规划中可能涉及雅尼国家湿地公园的建设项目见表2.2-10。经过初步叠图分析，本次</w:t>
      </w:r>
      <w:r>
        <w:rPr>
          <w:rFonts w:hint="eastAsia"/>
          <w:lang w:val="en-US" w:eastAsia="zh-CN"/>
        </w:rPr>
        <w:t>全域旅游规划</w:t>
      </w:r>
      <w:r>
        <w:rPr>
          <w:rFonts w:hint="eastAsia"/>
        </w:rPr>
        <w:t>主要基于雅尼国家湿地公园的宣教展示区、湿地体验区和服务管理区部分。宣教展示区、湿地体验区和服务管理区部分属于三级保护区，不涉及一级保护区及二级保护区。三级保护区可以有组织、有目的地开展科研、宣教、生态旅游和合理利用等活动。符合《西藏雅尼国家湿地公园总体规划（2009~2018）》相关要求。</w:t>
      </w:r>
    </w:p>
    <w:p>
      <w:pPr>
        <w:pStyle w:val="6"/>
        <w:ind w:firstLine="480"/>
        <w:rPr>
          <w:rFonts w:hint="eastAsia"/>
        </w:rPr>
      </w:pPr>
      <w:r>
        <w:rPr>
          <w:rFonts w:hint="eastAsia"/>
        </w:rPr>
        <w:t>但本次规划项目由于存在不确定性，环评要求，后续规划实施过程中进一步落实建设项目是否涉及一级保护区，对涉及雅尼国家湿地公园的旅游项目不得占用一级保护区，同时建设项目应严格遵守《中华人民共和国湿地保护法》、《湿地保护管理规定》、《西藏自治区湿地保护条例》相关要求对进行管理，进一步维护湿地资源的可持续利用。</w:t>
      </w:r>
    </w:p>
    <w:p>
      <w:pPr>
        <w:pStyle w:val="2"/>
        <w:bidi w:val="0"/>
        <w:rPr>
          <w:rFonts w:hint="default"/>
          <w:highlight w:val="none"/>
          <w:lang w:val="en-US"/>
        </w:rPr>
      </w:pPr>
      <w:r>
        <w:rPr>
          <w:rFonts w:hint="eastAsia"/>
          <w:highlight w:val="none"/>
          <w:lang w:val="en-US" w:eastAsia="zh-CN"/>
        </w:rPr>
        <w:t>2.2.5.5与《</w:t>
      </w:r>
      <w:r>
        <w:rPr>
          <w:rFonts w:hint="eastAsia"/>
          <w:highlight w:val="none"/>
        </w:rPr>
        <w:t>西藏林芝嘎朗国家湿地公园总体规划（2009</w:t>
      </w:r>
      <w:r>
        <w:rPr>
          <w:rFonts w:hint="eastAsia"/>
          <w:highlight w:val="none"/>
          <w:lang w:val="en-US" w:eastAsia="zh-CN"/>
        </w:rPr>
        <w:t>~</w:t>
      </w:r>
      <w:r>
        <w:rPr>
          <w:rFonts w:hint="eastAsia"/>
          <w:highlight w:val="none"/>
        </w:rPr>
        <w:t>2018</w:t>
      </w:r>
      <w:r>
        <w:rPr>
          <w:rFonts w:hint="eastAsia"/>
          <w:highlight w:val="none"/>
          <w:lang w:eastAsia="zh-CN"/>
        </w:rPr>
        <w:t>）</w:t>
      </w:r>
      <w:r>
        <w:rPr>
          <w:rFonts w:hint="eastAsia"/>
          <w:highlight w:val="none"/>
          <w:lang w:val="en-US" w:eastAsia="zh-CN"/>
        </w:rPr>
        <w:t>》协调性分析</w:t>
      </w:r>
    </w:p>
    <w:p>
      <w:pPr>
        <w:pStyle w:val="6"/>
        <w:ind w:firstLine="482"/>
        <w:rPr>
          <w:b/>
          <w:bCs/>
        </w:rPr>
      </w:pPr>
      <w:r>
        <w:rPr>
          <w:rFonts w:hint="eastAsia"/>
          <w:b/>
          <w:bCs/>
        </w:rPr>
        <w:t>1、《西藏林芝嘎朗国家湿地公园总体规划（2009~2018）》规划概要</w:t>
      </w:r>
    </w:p>
    <w:p>
      <w:pPr>
        <w:pStyle w:val="6"/>
        <w:ind w:firstLine="482"/>
        <w:rPr>
          <w:b/>
          <w:bCs/>
        </w:rPr>
      </w:pPr>
      <w:r>
        <w:rPr>
          <w:rFonts w:hint="eastAsia"/>
          <w:b/>
          <w:bCs/>
        </w:rPr>
        <w:t>（1）公园范围</w:t>
      </w:r>
    </w:p>
    <w:p>
      <w:pPr>
        <w:pStyle w:val="6"/>
        <w:ind w:firstLine="480"/>
        <w:rPr>
          <w:rFonts w:hint="eastAsia"/>
        </w:rPr>
      </w:pPr>
      <w:r>
        <w:rPr>
          <w:rFonts w:hint="eastAsia"/>
        </w:rPr>
        <w:t>规划范围为彼得藏布和帕隆藏布两江交汇处，该处涵盖了具有典型高山湖泊湿地特征的嘎朗湖，以及具有典型河流湿地特征的区域。面积为44.8km</w:t>
      </w:r>
      <w:r>
        <w:rPr>
          <w:rFonts w:hint="eastAsia"/>
          <w:vertAlign w:val="superscript"/>
        </w:rPr>
        <w:t>2</w:t>
      </w:r>
      <w:r>
        <w:rPr>
          <w:rFonts w:hint="eastAsia"/>
        </w:rPr>
        <w:t>。</w:t>
      </w:r>
    </w:p>
    <w:p>
      <w:pPr>
        <w:pStyle w:val="6"/>
        <w:ind w:firstLine="482"/>
        <w:rPr>
          <w:b/>
          <w:bCs/>
        </w:rPr>
      </w:pPr>
      <w:r>
        <w:rPr>
          <w:rFonts w:hint="eastAsia"/>
          <w:b/>
          <w:bCs/>
        </w:rPr>
        <w:t>（2）公园分区</w:t>
      </w:r>
    </w:p>
    <w:p>
      <w:pPr>
        <w:pStyle w:val="6"/>
        <w:ind w:firstLine="480"/>
        <w:rPr>
          <w:rFonts w:hint="eastAsia"/>
          <w:color w:val="2A26F7"/>
        </w:rPr>
      </w:pPr>
      <w:r>
        <w:rPr>
          <w:rFonts w:hint="eastAsia"/>
          <w:color w:val="2A26F7"/>
        </w:rPr>
        <w:t>一级保护区：涉及湿地保育区及部分湿地生态功能展示区两大功能区，指湿地保育区内帕隆藏布和彼得藏布的两江交汇处的中心、帕隆藏布的上游、嘎朗湖湖面。区内只允许开展各项湿地科学研究、保护与观察工作。可根据需要设置一些小型设施，为各种生物提供栖息场所和迁徙通道。区内减少设施，为动植物的生长、繁育创造良好环境。</w:t>
      </w:r>
    </w:p>
    <w:p>
      <w:pPr>
        <w:pStyle w:val="6"/>
        <w:ind w:firstLine="480"/>
        <w:rPr>
          <w:rFonts w:hint="eastAsia"/>
          <w:color w:val="2A26F7"/>
        </w:rPr>
      </w:pPr>
      <w:r>
        <w:rPr>
          <w:rFonts w:hint="eastAsia"/>
          <w:color w:val="2A26F7"/>
        </w:rPr>
        <w:t>二级保护区：该区域环绕或与一级保护区毗邻。在该区域内只允许开展生态旅游、基础研究等与生态实践相应的活动，可以向游人提供少量必需的简朴服务设施以及卫生保健、医疗救助设施。</w:t>
      </w:r>
    </w:p>
    <w:p>
      <w:pPr>
        <w:pStyle w:val="6"/>
        <w:ind w:firstLine="480"/>
        <w:rPr>
          <w:rFonts w:hint="eastAsia"/>
          <w:color w:val="2A26F7"/>
        </w:rPr>
      </w:pPr>
      <w:r>
        <w:rPr>
          <w:rFonts w:hint="eastAsia"/>
          <w:color w:val="2A26F7"/>
        </w:rPr>
        <w:t xml:space="preserve">三级保护区：指帕隆藏布和彼得藏布区域属于湿地生态系统敏感度相对较低的区域，部分适度向游人开放并提供观赏、野外活动的区域及公园的服务管理区。 </w:t>
      </w:r>
    </w:p>
    <w:p>
      <w:pPr>
        <w:pStyle w:val="6"/>
        <w:ind w:firstLine="482"/>
        <w:rPr>
          <w:b/>
          <w:bCs/>
        </w:rPr>
      </w:pPr>
      <w:r>
        <w:rPr>
          <w:rFonts w:hint="eastAsia"/>
          <w:b/>
          <w:bCs/>
          <w:color w:val="2A26F7"/>
        </w:rPr>
        <w:t>2、</w:t>
      </w:r>
      <w:r>
        <w:rPr>
          <w:b/>
          <w:bCs/>
          <w:color w:val="2A26F7"/>
        </w:rPr>
        <w:t>本次</w:t>
      </w:r>
      <w:r>
        <w:rPr>
          <w:rFonts w:hint="eastAsia"/>
          <w:b/>
          <w:bCs/>
          <w:color w:val="2A26F7"/>
        </w:rPr>
        <w:t>“林芝市全域旅游发展规划（2018-2025年）”涉及《西</w:t>
      </w:r>
      <w:r>
        <w:rPr>
          <w:rFonts w:hint="eastAsia"/>
          <w:b/>
          <w:bCs/>
        </w:rPr>
        <w:t>藏林芝嘎朗国家湿地公园总体规划（2009~2018）》的相关内容</w:t>
      </w:r>
    </w:p>
    <w:p>
      <w:pPr>
        <w:pStyle w:val="6"/>
        <w:bidi w:val="0"/>
        <w:rPr>
          <w:rFonts w:hint="eastAsia"/>
          <w:color w:val="auto"/>
          <w:highlight w:val="none"/>
        </w:rPr>
      </w:pPr>
      <w:r>
        <w:rPr>
          <w:rFonts w:hint="eastAsia"/>
          <w:color w:val="auto"/>
          <w:highlight w:val="none"/>
        </w:rPr>
        <w:t>本次规划中可能涉及</w:t>
      </w:r>
      <w:r>
        <w:rPr>
          <w:rFonts w:hint="eastAsia"/>
          <w:color w:val="auto"/>
          <w:highlight w:val="none"/>
          <w:lang w:val="en-US" w:eastAsia="zh-CN"/>
        </w:rPr>
        <w:t>嘎朗湿地公园</w:t>
      </w:r>
      <w:r>
        <w:rPr>
          <w:rFonts w:hint="eastAsia"/>
          <w:color w:val="auto"/>
          <w:highlight w:val="none"/>
        </w:rPr>
        <w:t>的建设项目见表</w:t>
      </w:r>
      <w:r>
        <w:rPr>
          <w:rFonts w:hint="eastAsia"/>
          <w:color w:val="auto"/>
          <w:highlight w:val="none"/>
          <w:lang w:val="en-US" w:eastAsia="zh-CN"/>
        </w:rPr>
        <w:t>2.2-14</w:t>
      </w:r>
      <w:r>
        <w:rPr>
          <w:rFonts w:hint="eastAsia"/>
          <w:color w:val="auto"/>
          <w:highlight w:val="none"/>
        </w:rPr>
        <w:t>。</w:t>
      </w:r>
    </w:p>
    <w:p>
      <w:pPr>
        <w:pStyle w:val="27"/>
        <w:bidi w:val="0"/>
        <w:rPr>
          <w:rFonts w:hint="eastAsia"/>
          <w:highlight w:val="none"/>
        </w:rPr>
      </w:pPr>
      <w:r>
        <w:rPr>
          <w:rFonts w:hint="eastAsia"/>
          <w:highlight w:val="none"/>
        </w:rPr>
        <w:t>表</w:t>
      </w:r>
      <w:r>
        <w:rPr>
          <w:rFonts w:hint="eastAsia"/>
          <w:highlight w:val="none"/>
          <w:lang w:val="en-US" w:eastAsia="zh-CN"/>
        </w:rPr>
        <w:t xml:space="preserve">2.2-14 </w:t>
      </w:r>
      <w:r>
        <w:rPr>
          <w:rFonts w:hint="eastAsia"/>
          <w:highlight w:val="none"/>
        </w:rPr>
        <w:t>本次规划中可能涉及</w:t>
      </w:r>
      <w:r>
        <w:rPr>
          <w:rFonts w:hint="eastAsia"/>
          <w:highlight w:val="none"/>
          <w:lang w:val="en-US" w:eastAsia="zh-CN"/>
        </w:rPr>
        <w:t>嘎朗湿地公园</w:t>
      </w:r>
      <w:r>
        <w:rPr>
          <w:rFonts w:hint="eastAsia"/>
          <w:highlight w:val="none"/>
        </w:rPr>
        <w:t>的建设项目情况表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
        <w:gridCol w:w="424"/>
        <w:gridCol w:w="769"/>
        <w:gridCol w:w="2"/>
        <w:gridCol w:w="938"/>
        <w:gridCol w:w="2"/>
        <w:gridCol w:w="1208"/>
        <w:gridCol w:w="3"/>
        <w:gridCol w:w="2581"/>
        <w:gridCol w:w="3"/>
        <w:gridCol w:w="2584"/>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jc w:val="center"/>
        </w:trPr>
        <w:tc>
          <w:tcPr>
            <w:tcW w:w="249" w:type="pct"/>
            <w:gridSpan w:val="2"/>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序号</w:t>
            </w:r>
          </w:p>
        </w:tc>
        <w:tc>
          <w:tcPr>
            <w:tcW w:w="451"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泛景区</w:t>
            </w:r>
            <w:r>
              <w:rPr>
                <w:rFonts w:hint="eastAsia"/>
                <w:highlight w:val="none"/>
                <w:lang w:val="en-US" w:eastAsia="zh-CN"/>
              </w:rPr>
              <w:t>名称</w:t>
            </w:r>
          </w:p>
        </w:tc>
        <w:tc>
          <w:tcPr>
            <w:tcW w:w="551" w:type="pct"/>
            <w:gridSpan w:val="2"/>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行政区域</w:t>
            </w:r>
          </w:p>
        </w:tc>
        <w:tc>
          <w:tcPr>
            <w:tcW w:w="709" w:type="pct"/>
            <w:gridSpan w:val="2"/>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景点名称</w:t>
            </w:r>
          </w:p>
        </w:tc>
        <w:tc>
          <w:tcPr>
            <w:tcW w:w="1515" w:type="pct"/>
            <w:gridSpan w:val="2"/>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建设内容</w:t>
            </w:r>
          </w:p>
        </w:tc>
        <w:tc>
          <w:tcPr>
            <w:tcW w:w="1517" w:type="pct"/>
            <w:gridSpan w:val="2"/>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依托资源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9" w:hRule="atLeast"/>
          <w:jc w:val="center"/>
        </w:trPr>
        <w:tc>
          <w:tcPr>
            <w:tcW w:w="249" w:type="pct"/>
            <w:vMerge w:val="restar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1</w:t>
            </w:r>
          </w:p>
        </w:tc>
        <w:tc>
          <w:tcPr>
            <w:tcW w:w="452" w:type="pct"/>
            <w:gridSpan w:val="2"/>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帕隆藏布一河两岸</w:t>
            </w:r>
          </w:p>
        </w:tc>
        <w:tc>
          <w:tcPr>
            <w:tcW w:w="551" w:type="pct"/>
            <w:gridSpan w:val="2"/>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波密县</w:t>
            </w:r>
          </w:p>
        </w:tc>
        <w:tc>
          <w:tcPr>
            <w:tcW w:w="71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嘎朗国家湿地公园</w:t>
            </w:r>
          </w:p>
        </w:tc>
        <w:tc>
          <w:tcPr>
            <w:tcW w:w="1515"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完善观光体验、森林康养、自然教育等业态的布局；充分利用现有的消防瞭望台，开放予游客作森林防火教育和观光摄影之用</w:t>
            </w:r>
          </w:p>
        </w:tc>
        <w:tc>
          <w:tcPr>
            <w:tcW w:w="1518" w:type="pct"/>
            <w:gridSpan w:val="2"/>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西藏</w:t>
            </w:r>
            <w:r>
              <w:rPr>
                <w:rFonts w:hint="eastAsia"/>
                <w:highlight w:val="none"/>
              </w:rPr>
              <w:t>嘎朗国家湿地公园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9" w:hRule="atLeast"/>
          <w:jc w:val="center"/>
        </w:trPr>
        <w:tc>
          <w:tcPr>
            <w:tcW w:w="24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2" w:type="pct"/>
            <w:gridSpan w:val="2"/>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51" w:type="pct"/>
            <w:gridSpan w:val="2"/>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1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嘎朗村</w:t>
            </w:r>
          </w:p>
        </w:tc>
        <w:tc>
          <w:tcPr>
            <w:tcW w:w="1515"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增设停车、咨询、厕所、解说、环卫等基础设施</w:t>
            </w:r>
          </w:p>
        </w:tc>
        <w:tc>
          <w:tcPr>
            <w:tcW w:w="1518" w:type="pct"/>
            <w:gridSpan w:val="2"/>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399" w:hRule="atLeast"/>
          <w:jc w:val="center"/>
        </w:trPr>
        <w:tc>
          <w:tcPr>
            <w:tcW w:w="24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2" w:type="pct"/>
            <w:gridSpan w:val="2"/>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51" w:type="pct"/>
            <w:gridSpan w:val="2"/>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10"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古乡</w:t>
            </w:r>
          </w:p>
        </w:tc>
        <w:tc>
          <w:tcPr>
            <w:tcW w:w="1515" w:type="pct"/>
            <w:gridSpan w:val="2"/>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布设花池、停车场、公共厕所、标识系统，以及特产商铺群</w:t>
            </w:r>
          </w:p>
        </w:tc>
        <w:tc>
          <w:tcPr>
            <w:tcW w:w="1518" w:type="pct"/>
            <w:gridSpan w:val="2"/>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bl>
    <w:p>
      <w:pPr>
        <w:pStyle w:val="6"/>
        <w:ind w:firstLine="480"/>
        <w:rPr>
          <w:color w:val="2A26F7"/>
        </w:rPr>
      </w:pPr>
      <w:r>
        <w:rPr>
          <w:rFonts w:hint="eastAsia"/>
          <w:color w:val="2A26F7"/>
        </w:rPr>
        <w:t>规划中可能涉及嘎朗国家湿地公园的建设项目见表2.2-14。经过初步叠图分析，本次规划项目只涉及嘎朗国家湿地公园二级保护区和三级保护区。根据规划建设内容“</w:t>
      </w:r>
      <w:r>
        <w:rPr>
          <w:rFonts w:hint="eastAsia"/>
          <w:highlight w:val="none"/>
        </w:rPr>
        <w:t>完善观光体验、森林康养、自然教育等业态的布局；充分利用现有的消防瞭望台，开放予游客作森林防火教育和观光摄影之用</w:t>
      </w:r>
      <w:r>
        <w:rPr>
          <w:rFonts w:hint="eastAsia"/>
          <w:color w:val="2A26F7"/>
        </w:rPr>
        <w:t>”，属于二级保护区与三级保护区的允许的活动。</w:t>
      </w:r>
    </w:p>
    <w:p>
      <w:pPr>
        <w:pStyle w:val="6"/>
        <w:ind w:firstLine="480"/>
        <w:rPr>
          <w:rFonts w:hint="eastAsia"/>
          <w:color w:val="2A26F7"/>
        </w:rPr>
      </w:pPr>
      <w:r>
        <w:rPr>
          <w:rFonts w:hint="eastAsia"/>
          <w:color w:val="2A26F7"/>
        </w:rPr>
        <w:t>但本次规划项目由于存在不确定性，环评要求，后续规划实施过程中进一步落实建设项目是否涉及一级保护区，对涉及嘎朗国家湿地公园的旅游项目不得占用一级保护区，同时建设项目应严格遵守《中华人民共和国湿地保护法》、《湿地保护管理规定》、《西藏自治区湿地保护条例》相关要求对进行管理，进一步维护湿地资源的可持续利用。</w:t>
      </w:r>
    </w:p>
    <w:p>
      <w:pPr>
        <w:pStyle w:val="2"/>
        <w:bidi w:val="0"/>
        <w:rPr>
          <w:rFonts w:hint="default"/>
          <w:highlight w:val="none"/>
          <w:lang w:val="en-US"/>
        </w:rPr>
      </w:pPr>
      <w:r>
        <w:rPr>
          <w:rFonts w:hint="eastAsia"/>
          <w:highlight w:val="none"/>
          <w:lang w:val="en-US" w:eastAsia="zh-CN"/>
        </w:rPr>
        <w:t>2.2.5.6与《</w:t>
      </w:r>
      <w:r>
        <w:rPr>
          <w:rFonts w:hint="eastAsia"/>
          <w:highlight w:val="none"/>
        </w:rPr>
        <w:t>西藏</w:t>
      </w:r>
      <w:r>
        <w:rPr>
          <w:rFonts w:hint="eastAsia"/>
          <w:highlight w:val="none"/>
          <w:lang w:val="en-US" w:eastAsia="zh-CN"/>
        </w:rPr>
        <w:t>自治区朱拉河</w:t>
      </w:r>
      <w:r>
        <w:rPr>
          <w:rFonts w:hint="eastAsia"/>
          <w:highlight w:val="none"/>
        </w:rPr>
        <w:t>国家湿地公园总体规划（20</w:t>
      </w:r>
      <w:r>
        <w:rPr>
          <w:rFonts w:hint="eastAsia"/>
          <w:highlight w:val="none"/>
          <w:lang w:val="en-US" w:eastAsia="zh-CN"/>
        </w:rPr>
        <w:t>12~2020</w:t>
      </w:r>
      <w:r>
        <w:rPr>
          <w:rFonts w:hint="eastAsia"/>
          <w:highlight w:val="none"/>
        </w:rPr>
        <w:t>）</w:t>
      </w:r>
      <w:r>
        <w:rPr>
          <w:rFonts w:hint="eastAsia"/>
          <w:highlight w:val="none"/>
          <w:lang w:val="en-US" w:eastAsia="zh-CN"/>
        </w:rPr>
        <w:t>》协调性分析</w:t>
      </w:r>
    </w:p>
    <w:p>
      <w:pPr>
        <w:pStyle w:val="6"/>
        <w:bidi w:val="0"/>
        <w:rPr>
          <w:b/>
          <w:bCs/>
        </w:rPr>
      </w:pPr>
      <w:r>
        <w:rPr>
          <w:rFonts w:hint="eastAsia"/>
          <w:b/>
          <w:bCs/>
        </w:rPr>
        <w:t>1、《西藏自治区朱拉河国家湿地公园总体规划（2012~2020）》规划概要</w:t>
      </w:r>
    </w:p>
    <w:p>
      <w:pPr>
        <w:pStyle w:val="6"/>
        <w:ind w:firstLine="482"/>
        <w:rPr>
          <w:b/>
          <w:bCs/>
        </w:rPr>
      </w:pPr>
      <w:r>
        <w:rPr>
          <w:rFonts w:hint="eastAsia"/>
          <w:b/>
          <w:bCs/>
        </w:rPr>
        <w:t>（1）公园范围</w:t>
      </w:r>
    </w:p>
    <w:p>
      <w:pPr>
        <w:pStyle w:val="6"/>
        <w:ind w:firstLine="480"/>
        <w:rPr>
          <w:rFonts w:hint="eastAsia"/>
        </w:rPr>
      </w:pPr>
      <w:r>
        <w:rPr>
          <w:rFonts w:hint="eastAsia"/>
        </w:rPr>
        <w:t>规划范围北至朱拉乡嘎当，南至扎堆—帮阿，主要包括朱拉河主河道、洪泛区和河岸高地边缘过渡带。地理坐标为：东经93°22′32″~93°29′09″，北纬30°02′51″~30°06′31″。规划总面积为1269.40hm</w:t>
      </w:r>
      <w:r>
        <w:rPr>
          <w:rFonts w:hint="eastAsia"/>
          <w:vertAlign w:val="superscript"/>
        </w:rPr>
        <w:t>2</w:t>
      </w:r>
      <w:r>
        <w:rPr>
          <w:rFonts w:hint="eastAsia"/>
        </w:rPr>
        <w:t>，其中湿地面积为940.20hm</w:t>
      </w:r>
      <w:r>
        <w:rPr>
          <w:rFonts w:hint="eastAsia"/>
          <w:vertAlign w:val="superscript"/>
        </w:rPr>
        <w:t>2</w:t>
      </w:r>
      <w:r>
        <w:rPr>
          <w:rFonts w:hint="eastAsia"/>
        </w:rPr>
        <w:t>。</w:t>
      </w:r>
    </w:p>
    <w:p>
      <w:pPr>
        <w:pStyle w:val="6"/>
        <w:ind w:firstLine="482"/>
        <w:rPr>
          <w:b/>
          <w:bCs/>
          <w:color w:val="2A26F7"/>
        </w:rPr>
      </w:pPr>
      <w:r>
        <w:rPr>
          <w:rFonts w:hint="eastAsia"/>
          <w:b/>
          <w:bCs/>
          <w:color w:val="2A26F7"/>
        </w:rPr>
        <w:t>（2）公园分区</w:t>
      </w:r>
    </w:p>
    <w:p>
      <w:pPr>
        <w:pStyle w:val="6"/>
        <w:ind w:firstLine="480"/>
        <w:rPr>
          <w:rFonts w:hint="eastAsia"/>
          <w:color w:val="2A26F7"/>
        </w:rPr>
      </w:pPr>
      <w:r>
        <w:rPr>
          <w:rFonts w:hint="eastAsia"/>
          <w:color w:val="2A26F7"/>
        </w:rPr>
        <w:t>根据湿地公园规划区的实际情况和分区原则，将湿地公园分为保育区、恢复重建区、宣教展示区、合理利用区、管理服务区。</w:t>
      </w:r>
    </w:p>
    <w:p>
      <w:pPr>
        <w:pStyle w:val="6"/>
        <w:ind w:firstLine="480"/>
        <w:rPr>
          <w:rFonts w:hint="eastAsia"/>
          <w:color w:val="2A26F7"/>
        </w:rPr>
      </w:pPr>
      <w:r>
        <w:rPr>
          <w:rFonts w:hint="eastAsia"/>
          <w:color w:val="2A26F7"/>
        </w:rPr>
        <w:t>保育区：朱拉河水体及部分草本沼泽湿地。可开展保护、监测等必需的保护管理活动，不得进行任何与湿地生态系统保护和管理无关的其他活动。</w:t>
      </w:r>
    </w:p>
    <w:p>
      <w:pPr>
        <w:pStyle w:val="6"/>
        <w:ind w:firstLine="480"/>
        <w:rPr>
          <w:rFonts w:hint="eastAsia"/>
          <w:color w:val="2A26F7"/>
        </w:rPr>
      </w:pPr>
      <w:r>
        <w:rPr>
          <w:rFonts w:hint="eastAsia"/>
          <w:color w:val="2A26F7"/>
        </w:rPr>
        <w:t>恢复重建区：朱拉河两岸的沼泽湿地、草甸和森林生态系统。本区域是湿地公园内开展湿地恢复工程的重点示范区域。主要开展退化湿地的恢复重建和培育活动。</w:t>
      </w:r>
    </w:p>
    <w:p>
      <w:pPr>
        <w:pStyle w:val="6"/>
        <w:ind w:firstLine="480"/>
        <w:rPr>
          <w:rFonts w:hint="eastAsia"/>
          <w:color w:val="2A26F7"/>
        </w:rPr>
      </w:pPr>
      <w:r>
        <w:rPr>
          <w:rFonts w:hint="eastAsia"/>
          <w:color w:val="2A26F7"/>
        </w:rPr>
        <w:t>宣教展示区：位于湿地公园规划区扎堆桑巴的西北部。是开展湿地科普宣教的重要场所，是湿地公园发挥科普宣教功能的物质载体，可开展湿地服务功能展示、宣传教育活动。但要注意人为活动、场馆建设的扰动限制。</w:t>
      </w:r>
    </w:p>
    <w:p>
      <w:pPr>
        <w:pStyle w:val="6"/>
        <w:ind w:firstLine="480"/>
        <w:rPr>
          <w:rFonts w:hint="eastAsia"/>
          <w:color w:val="2A26F7"/>
        </w:rPr>
      </w:pPr>
      <w:r>
        <w:rPr>
          <w:rFonts w:hint="eastAsia"/>
          <w:color w:val="2A26F7"/>
        </w:rPr>
        <w:t>合理利用区：有组织、有目的地开展生态旅游，须以不破坏自然景观、不影响生态系统保护、不损害湿地生态系统为前提。</w:t>
      </w:r>
    </w:p>
    <w:p>
      <w:pPr>
        <w:pStyle w:val="6"/>
        <w:ind w:firstLine="480"/>
        <w:rPr>
          <w:rFonts w:hint="eastAsia"/>
          <w:color w:val="2A26F7"/>
        </w:rPr>
      </w:pPr>
      <w:r>
        <w:rPr>
          <w:rFonts w:hint="eastAsia"/>
          <w:color w:val="2A26F7"/>
        </w:rPr>
        <w:t>管理服务区：位于湿地公园规划区东南角。主要为湿地公园管理者开展管理和服务活动的区域。</w:t>
      </w:r>
    </w:p>
    <w:p>
      <w:pPr>
        <w:pStyle w:val="6"/>
        <w:ind w:firstLine="482"/>
        <w:rPr>
          <w:b/>
          <w:bCs/>
        </w:rPr>
      </w:pPr>
      <w:r>
        <w:rPr>
          <w:rFonts w:hint="eastAsia"/>
          <w:b/>
          <w:bCs/>
        </w:rPr>
        <w:t>2、</w:t>
      </w:r>
      <w:r>
        <w:rPr>
          <w:b/>
          <w:bCs/>
        </w:rPr>
        <w:t>本次</w:t>
      </w:r>
      <w:r>
        <w:rPr>
          <w:rFonts w:hint="eastAsia"/>
          <w:b/>
          <w:bCs/>
        </w:rPr>
        <w:t>“林芝市全域旅游发展规划（2018-2025年）”涉及《西藏自治区朱拉河国家湿地公园总体规划（2012~2020）》的相关内容</w:t>
      </w:r>
    </w:p>
    <w:p>
      <w:pPr>
        <w:pStyle w:val="6"/>
        <w:ind w:firstLine="480"/>
        <w:rPr>
          <w:rFonts w:hint="eastAsia"/>
        </w:rPr>
      </w:pPr>
      <w:r>
        <w:rPr>
          <w:rFonts w:hint="eastAsia"/>
        </w:rPr>
        <w:t>本次规划中可能涉及朱拉河湿地公园的建设项目见表2.2-15。</w:t>
      </w:r>
    </w:p>
    <w:p>
      <w:pPr>
        <w:pStyle w:val="27"/>
        <w:bidi w:val="0"/>
        <w:rPr>
          <w:rFonts w:hint="eastAsia"/>
          <w:highlight w:val="none"/>
        </w:rPr>
      </w:pPr>
      <w:r>
        <w:rPr>
          <w:rFonts w:hint="eastAsia"/>
          <w:highlight w:val="none"/>
        </w:rPr>
        <w:t>表</w:t>
      </w:r>
      <w:r>
        <w:rPr>
          <w:rFonts w:hint="eastAsia"/>
          <w:highlight w:val="none"/>
          <w:lang w:val="en-US" w:eastAsia="zh-CN"/>
        </w:rPr>
        <w:t xml:space="preserve">2.2-15 </w:t>
      </w:r>
      <w:r>
        <w:rPr>
          <w:rFonts w:hint="eastAsia"/>
          <w:highlight w:val="none"/>
        </w:rPr>
        <w:t>本次规划中可能涉及</w:t>
      </w:r>
      <w:r>
        <w:rPr>
          <w:rFonts w:hint="eastAsia"/>
          <w:highlight w:val="none"/>
          <w:lang w:val="en-US" w:eastAsia="zh-CN"/>
        </w:rPr>
        <w:t>朱拉河</w:t>
      </w:r>
      <w:r>
        <w:rPr>
          <w:rFonts w:hint="eastAsia"/>
          <w:highlight w:val="none"/>
        </w:rPr>
        <w:t>国家森林公园的建设项目情况表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74"/>
        <w:gridCol w:w="946"/>
        <w:gridCol w:w="1210"/>
        <w:gridCol w:w="3349"/>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50"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序号</w:t>
            </w:r>
          </w:p>
        </w:tc>
        <w:tc>
          <w:tcPr>
            <w:tcW w:w="454"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泛景区</w:t>
            </w:r>
            <w:r>
              <w:rPr>
                <w:rFonts w:hint="eastAsia"/>
                <w:highlight w:val="none"/>
                <w:lang w:val="en-US" w:eastAsia="zh-CN"/>
              </w:rPr>
              <w:t>名称</w:t>
            </w:r>
          </w:p>
        </w:tc>
        <w:tc>
          <w:tcPr>
            <w:tcW w:w="555"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行政区域</w:t>
            </w:r>
          </w:p>
        </w:tc>
        <w:tc>
          <w:tcPr>
            <w:tcW w:w="710"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景点名称</w:t>
            </w:r>
          </w:p>
        </w:tc>
        <w:tc>
          <w:tcPr>
            <w:tcW w:w="1965"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建设内容</w:t>
            </w:r>
          </w:p>
        </w:tc>
        <w:tc>
          <w:tcPr>
            <w:tcW w:w="1064"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依托资源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250"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1</w:t>
            </w:r>
          </w:p>
        </w:tc>
        <w:tc>
          <w:tcPr>
            <w:tcW w:w="454"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r>
              <w:rPr>
                <w:rFonts w:hint="eastAsia"/>
                <w:highlight w:val="none"/>
              </w:rPr>
              <w:t>巴松措及周边地区</w:t>
            </w:r>
          </w:p>
        </w:tc>
        <w:tc>
          <w:tcPr>
            <w:tcW w:w="555"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工布江达</w:t>
            </w:r>
          </w:p>
        </w:tc>
        <w:tc>
          <w:tcPr>
            <w:tcW w:w="710"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杂拉沟</w:t>
            </w:r>
          </w:p>
        </w:tc>
        <w:tc>
          <w:tcPr>
            <w:tcW w:w="1965"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发展旅游综合接待、配套户外商品售卖</w:t>
            </w:r>
          </w:p>
        </w:tc>
        <w:tc>
          <w:tcPr>
            <w:tcW w:w="1064"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西藏</w:t>
            </w:r>
            <w:r>
              <w:rPr>
                <w:rFonts w:hint="eastAsia"/>
                <w:highlight w:val="none"/>
                <w:lang w:eastAsia="zh-CN"/>
              </w:rPr>
              <w:t>朱拉河国家湿地公园</w:t>
            </w:r>
            <w:r>
              <w:rPr>
                <w:rFonts w:hint="eastAsia"/>
                <w:highlight w:val="none"/>
                <w:lang w:val="en-US" w:eastAsia="zh-CN"/>
              </w:rPr>
              <w:t>合理利用区、宣教展示区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250"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2</w:t>
            </w:r>
          </w:p>
        </w:tc>
        <w:tc>
          <w:tcPr>
            <w:tcW w:w="45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55"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p>
        </w:tc>
        <w:tc>
          <w:tcPr>
            <w:tcW w:w="710"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朱拉河湿地公园</w:t>
            </w:r>
          </w:p>
        </w:tc>
        <w:tc>
          <w:tcPr>
            <w:tcW w:w="1965"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神山山脚空地设置简易营地、以“合作社”形式，发展雪卡村的虫草加工产业</w:t>
            </w:r>
          </w:p>
        </w:tc>
        <w:tc>
          <w:tcPr>
            <w:tcW w:w="106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bl>
    <w:p>
      <w:pPr>
        <w:pStyle w:val="6"/>
        <w:ind w:firstLine="480"/>
        <w:rPr>
          <w:color w:val="2A26F7"/>
        </w:rPr>
      </w:pPr>
      <w:r>
        <w:rPr>
          <w:rFonts w:hint="eastAsia"/>
          <w:color w:val="2A26F7"/>
        </w:rPr>
        <w:t>规划中可能涉及朱拉河国家湿地公园的建设项目见表2.2-15。经过初步叠图分析，本次规划项目只涉及朱拉河国家湿地公园合理利用区和管理服务区。根据规划建设内容“</w:t>
      </w:r>
      <w:r>
        <w:rPr>
          <w:rFonts w:hint="eastAsia"/>
          <w:highlight w:val="none"/>
        </w:rPr>
        <w:t>发展旅游综合接待、配套户外商品售卖</w:t>
      </w:r>
      <w:r>
        <w:rPr>
          <w:rFonts w:hint="eastAsia"/>
          <w:highlight w:val="none"/>
          <w:lang w:eastAsia="zh-CN"/>
        </w:rPr>
        <w:t>、</w:t>
      </w:r>
      <w:r>
        <w:rPr>
          <w:rFonts w:hint="eastAsia"/>
          <w:highlight w:val="none"/>
        </w:rPr>
        <w:t>设置简易营地</w:t>
      </w:r>
      <w:r>
        <w:rPr>
          <w:rFonts w:hint="eastAsia"/>
          <w:color w:val="2A26F7"/>
        </w:rPr>
        <w:t>”，属于湿地公园合理利用区和管理服务区允许的活动。</w:t>
      </w:r>
    </w:p>
    <w:p>
      <w:pPr>
        <w:pStyle w:val="6"/>
        <w:ind w:firstLine="480"/>
        <w:rPr>
          <w:rFonts w:hint="eastAsia"/>
          <w:color w:val="2A26F7"/>
        </w:rPr>
      </w:pPr>
      <w:r>
        <w:rPr>
          <w:rFonts w:hint="eastAsia"/>
          <w:color w:val="2A26F7"/>
        </w:rPr>
        <w:t>但本次规划项目由于存在不确定性，环评要求，后续规划实施过程中进一步落实建设项目是否涉及保育区，对涉及朱拉河国家湿地公园的旅游项目不得占用保育区，同时建设项目应严格遵守《中华人民共和国湿地保护法》、《湿地保护管理规定》、《西藏自治区湿地保护条例》相关要求对进行管理，进一步维护湿地资源的可持续利用。</w:t>
      </w:r>
    </w:p>
    <w:p>
      <w:pPr>
        <w:pStyle w:val="2"/>
        <w:bidi w:val="0"/>
        <w:rPr>
          <w:rFonts w:hint="eastAsia"/>
          <w:highlight w:val="none"/>
        </w:rPr>
      </w:pPr>
      <w:r>
        <w:rPr>
          <w:rFonts w:hint="eastAsia"/>
          <w:highlight w:val="none"/>
        </w:rPr>
        <w:t>2.2.5.</w:t>
      </w:r>
      <w:r>
        <w:rPr>
          <w:rFonts w:hint="eastAsia"/>
          <w:highlight w:val="none"/>
          <w:lang w:val="en-US" w:eastAsia="zh-CN"/>
        </w:rPr>
        <w:t>7</w:t>
      </w:r>
      <w:r>
        <w:rPr>
          <w:rFonts w:hint="eastAsia"/>
          <w:highlight w:val="none"/>
        </w:rPr>
        <w:t>与《西藏比日神山国家森林公园总体规划（2013～2020）》协调性分析</w:t>
      </w:r>
    </w:p>
    <w:p>
      <w:pPr>
        <w:pStyle w:val="6"/>
        <w:ind w:firstLine="482"/>
        <w:rPr>
          <w:b/>
          <w:bCs/>
        </w:rPr>
      </w:pPr>
      <w:r>
        <w:rPr>
          <w:rFonts w:hint="eastAsia"/>
          <w:b/>
          <w:bCs/>
        </w:rPr>
        <w:t>1、《西藏比日神山国家森林公园总体规划（2013～2020）》规划概要</w:t>
      </w:r>
    </w:p>
    <w:p>
      <w:pPr>
        <w:pStyle w:val="6"/>
        <w:ind w:firstLine="482"/>
        <w:rPr>
          <w:b/>
          <w:bCs/>
        </w:rPr>
      </w:pPr>
      <w:r>
        <w:rPr>
          <w:rFonts w:hint="eastAsia"/>
          <w:b/>
          <w:bCs/>
        </w:rPr>
        <w:t>（1）公园范围</w:t>
      </w:r>
    </w:p>
    <w:p>
      <w:pPr>
        <w:pStyle w:val="6"/>
        <w:ind w:firstLine="480"/>
        <w:rPr>
          <w:rFonts w:hint="eastAsia"/>
        </w:rPr>
      </w:pPr>
      <w:r>
        <w:rPr>
          <w:rFonts w:hint="eastAsia"/>
        </w:rPr>
        <w:t>《西藏比日神山国家森林公园总体规划（2013～2020）》规划范围包括措木及日景区、比日神山生态景区和藏东南文化遗产博物馆及尼洋河部分；森林公园总面积22594.15公顷，主要地类有草地、林地、水域及水利设施用地和其它土地。其中森林面积12632.51公顷，森林覆盖率55.91%。</w:t>
      </w:r>
    </w:p>
    <w:p>
      <w:pPr>
        <w:pStyle w:val="6"/>
        <w:ind w:firstLine="482"/>
        <w:rPr>
          <w:b/>
          <w:bCs/>
        </w:rPr>
      </w:pPr>
      <w:r>
        <w:rPr>
          <w:rFonts w:hint="eastAsia"/>
          <w:b/>
          <w:bCs/>
        </w:rPr>
        <w:t>（2）功能分区</w:t>
      </w:r>
    </w:p>
    <w:p>
      <w:pPr>
        <w:pStyle w:val="6"/>
        <w:ind w:firstLine="480"/>
        <w:rPr>
          <w:rFonts w:hint="eastAsia"/>
        </w:rPr>
      </w:pPr>
      <w:r>
        <w:rPr>
          <w:rFonts w:hint="eastAsia"/>
        </w:rPr>
        <w:t>功能分区为：一轴、七区、两板块；一轴：八及曲生态旅游轴。七区：措木及日观光游览区、夏弄布森林探险区、比日神山生态文化体验区、尼洋河水上游乐区、管理服务区、森林生态保育区。两板块：措木及日板块、比日神山板块。</w:t>
      </w:r>
    </w:p>
    <w:p>
      <w:pPr>
        <w:pStyle w:val="6"/>
        <w:ind w:firstLine="482"/>
        <w:rPr>
          <w:b/>
          <w:bCs/>
        </w:rPr>
      </w:pPr>
      <w:r>
        <w:rPr>
          <w:rFonts w:hint="eastAsia"/>
          <w:b/>
          <w:bCs/>
        </w:rPr>
        <w:t>2、</w:t>
      </w:r>
      <w:r>
        <w:rPr>
          <w:b/>
          <w:bCs/>
        </w:rPr>
        <w:t>本次</w:t>
      </w:r>
      <w:r>
        <w:rPr>
          <w:rFonts w:hint="eastAsia"/>
          <w:b/>
          <w:bCs/>
        </w:rPr>
        <w:t>“林芝市全域旅游发展规划（2018-2025年）”涉及《西藏比日神山国家森林公园总体规划（2013～2020）》的相关内容</w:t>
      </w:r>
    </w:p>
    <w:p>
      <w:pPr>
        <w:pStyle w:val="6"/>
        <w:ind w:firstLine="480"/>
        <w:rPr>
          <w:rFonts w:hint="eastAsia"/>
        </w:rPr>
      </w:pPr>
      <w:r>
        <w:rPr>
          <w:rFonts w:hint="eastAsia"/>
        </w:rPr>
        <w:t>本次规划中可能涉及比日神山森林公园的建设项目见表2.2-16。根据初步叠图分析，规划项目位于西藏比日神山国家森林公园一般游憩区、管理服务区。</w:t>
      </w:r>
    </w:p>
    <w:p>
      <w:pPr>
        <w:pStyle w:val="6"/>
        <w:ind w:firstLine="480"/>
        <w:rPr>
          <w:rFonts w:hint="eastAsia"/>
        </w:rPr>
      </w:pPr>
    </w:p>
    <w:p>
      <w:pPr>
        <w:pStyle w:val="6"/>
        <w:ind w:firstLine="480"/>
        <w:rPr>
          <w:rFonts w:hint="eastAsia"/>
        </w:rPr>
      </w:pPr>
    </w:p>
    <w:p>
      <w:pPr>
        <w:pStyle w:val="6"/>
        <w:ind w:firstLine="480"/>
        <w:rPr>
          <w:rFonts w:hint="eastAsia"/>
        </w:rPr>
      </w:pPr>
    </w:p>
    <w:p>
      <w:pPr>
        <w:pStyle w:val="6"/>
        <w:ind w:firstLine="480"/>
        <w:rPr>
          <w:rFonts w:hint="eastAsia"/>
        </w:rPr>
      </w:pPr>
    </w:p>
    <w:p>
      <w:pPr>
        <w:pStyle w:val="27"/>
        <w:rPr>
          <w:rFonts w:hint="eastAsia"/>
        </w:rPr>
      </w:pPr>
      <w:r>
        <w:rPr>
          <w:rFonts w:hint="eastAsia"/>
        </w:rPr>
        <w:t>表2.2-16  本次规划中可能涉及西藏比日神山国家森林公园的建设项目情况表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49"/>
        <w:gridCol w:w="929"/>
        <w:gridCol w:w="1438"/>
        <w:gridCol w:w="3078"/>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序号</w:t>
            </w:r>
          </w:p>
        </w:tc>
        <w:tc>
          <w:tcPr>
            <w:tcW w:w="674"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泛景区</w:t>
            </w:r>
            <w:r>
              <w:rPr>
                <w:rFonts w:hint="eastAsia"/>
                <w:highlight w:val="none"/>
                <w:lang w:val="en-US" w:eastAsia="zh-CN"/>
              </w:rPr>
              <w:t>名称</w:t>
            </w:r>
          </w:p>
        </w:tc>
        <w:tc>
          <w:tcPr>
            <w:tcW w:w="545"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行政区域</w:t>
            </w:r>
          </w:p>
        </w:tc>
        <w:tc>
          <w:tcPr>
            <w:tcW w:w="844"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景点名称</w:t>
            </w:r>
          </w:p>
        </w:tc>
        <w:tc>
          <w:tcPr>
            <w:tcW w:w="1806"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建设内容</w:t>
            </w:r>
          </w:p>
        </w:tc>
        <w:tc>
          <w:tcPr>
            <w:tcW w:w="879"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依托资源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250"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1</w:t>
            </w:r>
          </w:p>
        </w:tc>
        <w:tc>
          <w:tcPr>
            <w:tcW w:w="674"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鲁朗小镇及周边地区</w:t>
            </w:r>
          </w:p>
        </w:tc>
        <w:tc>
          <w:tcPr>
            <w:tcW w:w="545"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巴宜区</w:t>
            </w:r>
          </w:p>
        </w:tc>
        <w:tc>
          <w:tcPr>
            <w:tcW w:w="844" w:type="pct"/>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措木及日景区</w:t>
            </w:r>
          </w:p>
        </w:tc>
        <w:tc>
          <w:tcPr>
            <w:tcW w:w="1806" w:type="pct"/>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设置游览及接待设施</w:t>
            </w:r>
            <w:r>
              <w:rPr>
                <w:rFonts w:hint="eastAsia"/>
                <w:highlight w:val="none"/>
                <w:lang w:eastAsia="zh-CN"/>
              </w:rPr>
              <w:t>：</w:t>
            </w:r>
            <w:r>
              <w:rPr>
                <w:rFonts w:hint="eastAsia"/>
                <w:highlight w:val="none"/>
              </w:rPr>
              <w:t>游客咨询点、停车场、电瓶车道、游步道、观景平台，开展骑马、摄影、观鸟、观湖等。</w:t>
            </w:r>
          </w:p>
        </w:tc>
        <w:tc>
          <w:tcPr>
            <w:tcW w:w="879" w:type="pct"/>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比日神山国家森林公园</w:t>
            </w:r>
          </w:p>
        </w:tc>
      </w:tr>
    </w:tbl>
    <w:p>
      <w:pPr>
        <w:pStyle w:val="6"/>
        <w:ind w:firstLine="482"/>
        <w:rPr>
          <w:b/>
          <w:bCs/>
        </w:rPr>
      </w:pPr>
      <w:r>
        <w:rPr>
          <w:rFonts w:hint="eastAsia"/>
          <w:b/>
          <w:bCs/>
        </w:rPr>
        <w:t>3、符合性分析</w:t>
      </w:r>
    </w:p>
    <w:p>
      <w:pPr>
        <w:pStyle w:val="6"/>
        <w:ind w:firstLine="480"/>
        <w:rPr>
          <w:rFonts w:hint="eastAsia"/>
          <w:color w:val="auto"/>
          <w:highlight w:val="none"/>
        </w:rPr>
      </w:pPr>
      <w:r>
        <w:rPr>
          <w:rFonts w:hint="eastAsia"/>
        </w:rPr>
        <w:t>“林芝市全域旅游发展规划（2018-2025年）”</w:t>
      </w:r>
      <w:r>
        <w:rPr>
          <w:rFonts w:hint="eastAsia"/>
          <w:lang w:val="en-US" w:eastAsia="zh-CN"/>
        </w:rPr>
        <w:t>与</w:t>
      </w:r>
      <w:r>
        <w:rPr>
          <w:rFonts w:hint="eastAsia"/>
        </w:rPr>
        <w:t>《西藏比日神山国家森林公园总体规划（2013～2020）》中环境保护要求符合性分析见表2.2-17。</w:t>
      </w:r>
    </w:p>
    <w:p>
      <w:pPr>
        <w:spacing w:line="360" w:lineRule="auto"/>
        <w:ind w:firstLine="560" w:firstLineChars="200"/>
        <w:rPr>
          <w:rFonts w:ascii="Times New Roman" w:hAnsi="Times New Roman" w:eastAsia="宋体" w:cs="Times New Roman"/>
          <w:color w:val="000000" w:themeColor="text1"/>
          <w:sz w:val="28"/>
          <w:szCs w:val="28"/>
          <w:highlight w:val="none"/>
          <w14:textFill>
            <w14:solidFill>
              <w14:schemeClr w14:val="tx1"/>
            </w14:solidFill>
          </w14:textFill>
        </w:rPr>
      </w:pPr>
    </w:p>
    <w:p>
      <w:pPr>
        <w:spacing w:line="360" w:lineRule="auto"/>
        <w:rPr>
          <w:rFonts w:ascii="黑体" w:hAnsi="黑体" w:eastAsia="黑体" w:cs="宋体"/>
          <w:b/>
          <w:bCs/>
          <w:color w:val="333333"/>
          <w:w w:val="75"/>
          <w:kern w:val="0"/>
          <w:sz w:val="24"/>
          <w:szCs w:val="24"/>
          <w:highlight w:val="none"/>
        </w:rPr>
        <w:sectPr>
          <w:pgSz w:w="11906" w:h="16838"/>
          <w:pgMar w:top="1440" w:right="1797" w:bottom="1440" w:left="1797" w:header="851" w:footer="992" w:gutter="0"/>
          <w:pgNumType w:fmt="decimal"/>
          <w:cols w:space="425" w:num="1"/>
          <w:docGrid w:linePitch="312" w:charSpace="0"/>
        </w:sectPr>
      </w:pPr>
    </w:p>
    <w:p>
      <w:pPr>
        <w:pStyle w:val="27"/>
        <w:bidi w:val="0"/>
        <w:rPr>
          <w:rFonts w:hint="eastAsia"/>
          <w:highlight w:val="none"/>
        </w:rPr>
      </w:pPr>
      <w:r>
        <w:rPr>
          <w:rFonts w:hint="eastAsia"/>
          <w:highlight w:val="none"/>
          <w:lang w:val="en-US" w:eastAsia="zh-CN"/>
        </w:rPr>
        <w:t>表2.2-17  本次规划与《</w:t>
      </w:r>
      <w:r>
        <w:rPr>
          <w:rFonts w:hint="eastAsia"/>
          <w:highlight w:val="none"/>
        </w:rPr>
        <w:t>西藏比日神山国家森林公园总体规划</w:t>
      </w:r>
      <w:r>
        <w:rPr>
          <w:rFonts w:hint="eastAsia"/>
          <w:highlight w:val="none"/>
          <w:lang w:val="en-US" w:eastAsia="zh-CN"/>
        </w:rPr>
        <w:t>（2013-2020）》中环境保护相关要求的协调性分析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818"/>
        <w:gridCol w:w="8198"/>
        <w:gridCol w:w="3029"/>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要求</w:t>
            </w:r>
          </w:p>
        </w:tc>
        <w:tc>
          <w:tcPr>
            <w:tcW w:w="9016" w:type="dxa"/>
            <w:gridSpan w:val="2"/>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内容</w:t>
            </w:r>
          </w:p>
        </w:tc>
        <w:tc>
          <w:tcPr>
            <w:tcW w:w="3029"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lang w:val="en-US" w:eastAsia="zh-CN"/>
              </w:rPr>
              <w:t>本次</w:t>
            </w:r>
            <w:r>
              <w:rPr>
                <w:rFonts w:hint="eastAsia"/>
                <w:highlight w:val="none"/>
              </w:rPr>
              <w:t>规划</w:t>
            </w:r>
            <w:r>
              <w:rPr>
                <w:rFonts w:hint="eastAsia"/>
                <w:highlight w:val="none"/>
                <w:lang w:val="en-US" w:eastAsia="zh-CN"/>
              </w:rPr>
              <w:t>涉及</w:t>
            </w:r>
            <w:r>
              <w:rPr>
                <w:rFonts w:hint="eastAsia"/>
                <w:highlight w:val="none"/>
              </w:rPr>
              <w:t>内容</w:t>
            </w:r>
          </w:p>
        </w:tc>
        <w:tc>
          <w:tcPr>
            <w:tcW w:w="1507"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restart"/>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自然生态</w:t>
            </w:r>
            <w:r>
              <w:rPr>
                <w:rFonts w:hint="eastAsia"/>
                <w:highlight w:val="none"/>
              </w:rPr>
              <w:t>环境保护</w:t>
            </w:r>
          </w:p>
        </w:tc>
        <w:tc>
          <w:tcPr>
            <w:tcW w:w="818"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水体环境保护</w:t>
            </w:r>
          </w:p>
        </w:tc>
        <w:tc>
          <w:tcPr>
            <w:tcW w:w="8198"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1、新建和改建的公路、游道，要严格按道路建设的有关要求进行设计和施工。森林公园内规划修建的其他建筑设施，完工后应及时恢复被损毁的植被，在坡度较大的地段要修建土墙，要特别防止塌方和水土流失。2、园内禁止建设对水体有污染的建设项目和娱乐设施，在生活污水相对集中的地方，建设污水处理设施，杜绝将污水直接排放到水体。</w:t>
            </w:r>
          </w:p>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3、在森林公园农业耕作区，应积极推广生态农业，尽量减少化肥和农药的使用量，避免过多化肥和农药残留物进入水体。4、遵循《中国地表水资源质量年报编制技术大纲》要求，做好园内水质监测和水环境监测工作，保障园内水质达到II类以上水质标准。</w:t>
            </w:r>
          </w:p>
        </w:tc>
        <w:tc>
          <w:tcPr>
            <w:tcW w:w="3029" w:type="dxa"/>
            <w:vAlign w:val="center"/>
          </w:tcPr>
          <w:p>
            <w:pPr>
              <w:pStyle w:val="29"/>
              <w:keepNext w:val="0"/>
              <w:keepLines w:val="0"/>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本次规划涉及措木及日观光游览区，主要内容完善基础设施建设，如完善标识系统、市内公交路线、道路设施、消防防火设备、景区监控系统。不涉及对水体有污染的建设项目和娱乐设施</w:t>
            </w:r>
          </w:p>
        </w:tc>
        <w:tc>
          <w:tcPr>
            <w:tcW w:w="1507" w:type="dxa"/>
            <w:vAlign w:val="center"/>
          </w:tcPr>
          <w:p>
            <w:pPr>
              <w:pStyle w:val="29"/>
              <w:keepNext w:val="0"/>
              <w:keepLines w:val="0"/>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818"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声学环境保护</w:t>
            </w:r>
          </w:p>
        </w:tc>
        <w:tc>
          <w:tcPr>
            <w:tcW w:w="8198"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1、园内所有单位均达到《工业企业厂界噪声标准》（GB12348-90）一类标准要求。对宾馆等接待设施必须采用动力设备或其他噪声设备时，必须配套安装相应降噪系统。</w:t>
            </w:r>
          </w:p>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2、园内车辆不得鸣高音喇叭，以减少噪音污染。</w:t>
            </w:r>
          </w:p>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3、园内进行施工建设项目时，应采取有效措施，减轻或消除噪声对周围环境的影响。</w:t>
            </w:r>
          </w:p>
        </w:tc>
        <w:tc>
          <w:tcPr>
            <w:tcW w:w="3029"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按照要求对景区内的声环境严格管理，遵照上述要求执行，避免噪声污染。</w:t>
            </w:r>
          </w:p>
        </w:tc>
        <w:tc>
          <w:tcPr>
            <w:tcW w:w="1507" w:type="dxa"/>
            <w:vAlign w:val="center"/>
          </w:tcPr>
          <w:p>
            <w:pPr>
              <w:pStyle w:val="29"/>
              <w:keepNext w:val="0"/>
              <w:keepLines w:val="0"/>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遵守、符合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818" w:type="dxa"/>
            <w:vMerge w:val="restart"/>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“三废”处理</w:t>
            </w:r>
          </w:p>
        </w:tc>
        <w:tc>
          <w:tcPr>
            <w:tcW w:w="8198" w:type="dxa"/>
            <w:vAlign w:val="center"/>
          </w:tcPr>
          <w:p>
            <w:pPr>
              <w:pStyle w:val="29"/>
              <w:keepNext w:val="0"/>
              <w:keepLines w:val="0"/>
              <w:suppressLineNumbers w:val="0"/>
              <w:bidi w:val="0"/>
              <w:spacing w:before="0" w:beforeAutospacing="0" w:after="0" w:afterAutospacing="0"/>
              <w:ind w:left="0" w:right="0"/>
              <w:jc w:val="both"/>
              <w:rPr>
                <w:rFonts w:hint="eastAsia"/>
                <w:highlight w:val="none"/>
              </w:rPr>
            </w:pPr>
            <w:r>
              <w:rPr>
                <w:rFonts w:hint="eastAsia"/>
                <w:highlight w:val="none"/>
              </w:rPr>
              <w:t>1、废水处理</w:t>
            </w:r>
            <w:r>
              <w:rPr>
                <w:rFonts w:hint="eastAsia"/>
                <w:highlight w:val="none"/>
                <w:lang w:eastAsia="zh-CN"/>
              </w:rPr>
              <w:t>：</w:t>
            </w:r>
            <w:r>
              <w:rPr>
                <w:rFonts w:hint="eastAsia"/>
                <w:highlight w:val="none"/>
              </w:rPr>
              <w:t>在森林公园住宿、餐饮接待服务区，建立生活废水排放系统（详见排水工程设计），将生活废水经有效处理达到国家废水排放标准后，才能排放</w:t>
            </w:r>
          </w:p>
        </w:tc>
        <w:tc>
          <w:tcPr>
            <w:tcW w:w="3029"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eastAsia="宋体" w:cs="Times New Roman" w:asciiTheme="minorEastAsia" w:hAnsiTheme="minorEastAsia"/>
                <w:kern w:val="0"/>
                <w:sz w:val="20"/>
                <w:szCs w:val="21"/>
                <w:highlight w:val="none"/>
              </w:rPr>
              <w:t>在规划实施期间所有项目都要求对产生的</w:t>
            </w:r>
            <w:r>
              <w:rPr>
                <w:rFonts w:hint="eastAsia" w:eastAsia="宋体" w:cs="Times New Roman" w:asciiTheme="minorEastAsia" w:hAnsiTheme="minorEastAsia"/>
                <w:kern w:val="0"/>
                <w:sz w:val="20"/>
                <w:szCs w:val="21"/>
                <w:highlight w:val="none"/>
                <w:lang w:val="en-US" w:eastAsia="zh-CN"/>
              </w:rPr>
              <w:t>废水</w:t>
            </w:r>
            <w:r>
              <w:rPr>
                <w:rFonts w:hint="eastAsia" w:eastAsia="宋体" w:cs="Times New Roman" w:asciiTheme="minorEastAsia" w:hAnsiTheme="minorEastAsia"/>
                <w:kern w:val="0"/>
                <w:sz w:val="20"/>
                <w:szCs w:val="21"/>
                <w:highlight w:val="none"/>
              </w:rPr>
              <w:t>进行</w:t>
            </w:r>
            <w:r>
              <w:rPr>
                <w:rFonts w:hint="eastAsia" w:eastAsia="宋体" w:cs="Times New Roman" w:asciiTheme="minorEastAsia" w:hAnsiTheme="minorEastAsia"/>
                <w:kern w:val="0"/>
                <w:sz w:val="20"/>
                <w:szCs w:val="21"/>
                <w:highlight w:val="none"/>
                <w:lang w:val="en-US" w:eastAsia="zh-CN"/>
              </w:rPr>
              <w:t>100%处理并达标排放</w:t>
            </w:r>
          </w:p>
        </w:tc>
        <w:tc>
          <w:tcPr>
            <w:tcW w:w="1507"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遵守、符合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818" w:type="dxa"/>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8198"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2、废气处理</w:t>
            </w:r>
            <w:r>
              <w:rPr>
                <w:rFonts w:hint="eastAsia"/>
                <w:highlight w:val="none"/>
                <w:lang w:eastAsia="zh-CN"/>
              </w:rPr>
              <w:t>：</w:t>
            </w:r>
            <w:r>
              <w:rPr>
                <w:rFonts w:hint="eastAsia"/>
                <w:highlight w:val="none"/>
              </w:rPr>
              <w:t>①森林公园内宾馆、餐饮等接待服务场所，减少使用化石燃料，尽量统一使用电能或风能清洁能源。②园内的所有餐厅必须安装油烟净化器，以减少油烟对周围环境的污染。③垃圾转运站采用封闭式转运站，以减少垃圾恶臭对周围环境的污染。④园内机动车辆要严格控制数量，并安装净化设施，以减少车辆尾气的污染。</w:t>
            </w:r>
          </w:p>
        </w:tc>
        <w:tc>
          <w:tcPr>
            <w:tcW w:w="3029"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规划涉及景区内项目采取措施降低餐饮业油烟排放，采用清洁能源游览车等措施保持景区良好的空气环境。</w:t>
            </w:r>
          </w:p>
        </w:tc>
        <w:tc>
          <w:tcPr>
            <w:tcW w:w="1507" w:type="dxa"/>
            <w:vAlign w:val="center"/>
          </w:tcPr>
          <w:p>
            <w:pPr>
              <w:pStyle w:val="29"/>
              <w:keepNext w:val="0"/>
              <w:keepLines w:val="0"/>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遵守、符合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818" w:type="dxa"/>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8198"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3、固体废弃物处理</w:t>
            </w:r>
            <w:r>
              <w:rPr>
                <w:rFonts w:hint="eastAsia"/>
                <w:highlight w:val="none"/>
                <w:lang w:eastAsia="zh-CN"/>
              </w:rPr>
              <w:t>：</w:t>
            </w:r>
            <w:r>
              <w:rPr>
                <w:rFonts w:hint="eastAsia"/>
                <w:highlight w:val="none"/>
              </w:rPr>
              <w:t>垃圾箱应设垃圾分类指示标志，让游客主动将垃圾按垃圾类型投入垃圾箱内。及时收集，及时将垃圾外运至垃圾场或垃圾填埋场进行处理或处置。设立环卫所，职责清扫园内垃圾及垃圾分类处理。</w:t>
            </w:r>
          </w:p>
        </w:tc>
        <w:tc>
          <w:tcPr>
            <w:tcW w:w="3029"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规划</w:t>
            </w:r>
            <w:r>
              <w:rPr>
                <w:rFonts w:hint="eastAsia"/>
                <w:highlight w:val="none"/>
              </w:rPr>
              <w:t>景区产生的垃圾进行全部处理、处置，不破坏环境。</w:t>
            </w:r>
          </w:p>
        </w:tc>
        <w:tc>
          <w:tcPr>
            <w:tcW w:w="1507" w:type="dxa"/>
            <w:vAlign w:val="center"/>
          </w:tcPr>
          <w:p>
            <w:pPr>
              <w:pStyle w:val="29"/>
              <w:keepNext w:val="0"/>
              <w:keepLines w:val="0"/>
              <w:suppressLineNumbers w:val="0"/>
              <w:bidi w:val="0"/>
              <w:spacing w:before="0" w:beforeAutospacing="0" w:after="0" w:afterAutospacing="0"/>
              <w:ind w:left="0" w:right="0"/>
              <w:rPr>
                <w:rFonts w:hint="default"/>
                <w:highlight w:val="none"/>
                <w:lang w:val="en-US"/>
              </w:rPr>
            </w:pPr>
            <w:r>
              <w:rPr>
                <w:rFonts w:hint="eastAsia"/>
                <w:highlight w:val="none"/>
                <w:lang w:val="en-US" w:eastAsia="zh-CN"/>
              </w:rPr>
              <w:t>遵守、符合</w:t>
            </w:r>
          </w:p>
        </w:tc>
      </w:tr>
    </w:tbl>
    <w:p>
      <w:pPr>
        <w:spacing w:line="360" w:lineRule="auto"/>
        <w:ind w:firstLine="560" w:firstLineChars="200"/>
        <w:rPr>
          <w:rFonts w:ascii="Times New Roman" w:hAnsi="Times New Roman" w:eastAsia="宋体" w:cs="Times New Roman"/>
          <w:sz w:val="28"/>
          <w:szCs w:val="28"/>
          <w:highlight w:val="none"/>
        </w:rPr>
      </w:pPr>
    </w:p>
    <w:p>
      <w:pPr>
        <w:spacing w:line="360" w:lineRule="auto"/>
        <w:ind w:firstLine="560" w:firstLineChars="200"/>
        <w:rPr>
          <w:rFonts w:ascii="黑体" w:hAnsi="黑体" w:eastAsia="黑体"/>
          <w:sz w:val="28"/>
          <w:szCs w:val="28"/>
          <w:highlight w:val="none"/>
        </w:rPr>
        <w:sectPr>
          <w:pgSz w:w="16838" w:h="11906" w:orient="landscape"/>
          <w:pgMar w:top="1797" w:right="1440" w:bottom="1797" w:left="1440" w:header="851" w:footer="992" w:gutter="0"/>
          <w:pgNumType w:fmt="decimal"/>
          <w:cols w:space="425" w:num="1"/>
          <w:docGrid w:linePitch="312" w:charSpace="0"/>
        </w:sectPr>
      </w:pPr>
    </w:p>
    <w:p>
      <w:pPr>
        <w:pStyle w:val="2"/>
        <w:bidi w:val="0"/>
        <w:rPr>
          <w:rFonts w:hint="eastAsia"/>
          <w:highlight w:val="none"/>
        </w:rPr>
      </w:pPr>
      <w:r>
        <w:rPr>
          <w:rFonts w:hint="eastAsia"/>
          <w:highlight w:val="none"/>
        </w:rPr>
        <w:t>2.2.5.</w:t>
      </w:r>
      <w:r>
        <w:rPr>
          <w:rFonts w:hint="eastAsia"/>
          <w:highlight w:val="none"/>
          <w:lang w:val="en-US" w:eastAsia="zh-CN"/>
        </w:rPr>
        <w:t>8</w:t>
      </w:r>
      <w:r>
        <w:rPr>
          <w:rFonts w:hint="eastAsia"/>
          <w:highlight w:val="none"/>
        </w:rPr>
        <w:t>与《西藏</w:t>
      </w:r>
      <w:r>
        <w:rPr>
          <w:rFonts w:hint="eastAsia"/>
          <w:highlight w:val="none"/>
          <w:lang w:val="en-US" w:eastAsia="zh-CN"/>
        </w:rPr>
        <w:t>色季拉</w:t>
      </w:r>
      <w:r>
        <w:rPr>
          <w:rFonts w:hint="eastAsia"/>
          <w:highlight w:val="none"/>
        </w:rPr>
        <w:t>国家森林公园总体规划（2013～202</w:t>
      </w:r>
      <w:r>
        <w:rPr>
          <w:rFonts w:hint="eastAsia"/>
          <w:highlight w:val="none"/>
          <w:lang w:val="en-US" w:eastAsia="zh-CN"/>
        </w:rPr>
        <w:t>2</w:t>
      </w:r>
      <w:r>
        <w:rPr>
          <w:rFonts w:hint="eastAsia"/>
          <w:highlight w:val="none"/>
        </w:rPr>
        <w:t>）》协调性分析</w:t>
      </w:r>
    </w:p>
    <w:p>
      <w:pPr>
        <w:pStyle w:val="6"/>
        <w:ind w:firstLine="482"/>
        <w:rPr>
          <w:b/>
          <w:bCs/>
        </w:rPr>
      </w:pPr>
      <w:r>
        <w:rPr>
          <w:rFonts w:hint="eastAsia"/>
          <w:b/>
          <w:bCs/>
        </w:rPr>
        <w:t>1、《西藏色季拉国家森林公园总体规划（2013～2022）》规划概要</w:t>
      </w:r>
    </w:p>
    <w:p>
      <w:pPr>
        <w:pStyle w:val="6"/>
        <w:ind w:firstLine="482"/>
        <w:rPr>
          <w:b/>
          <w:bCs/>
        </w:rPr>
      </w:pPr>
      <w:r>
        <w:rPr>
          <w:rFonts w:hint="eastAsia"/>
          <w:b/>
          <w:bCs/>
        </w:rPr>
        <w:t>（1）公园范围</w:t>
      </w:r>
    </w:p>
    <w:p>
      <w:pPr>
        <w:pStyle w:val="6"/>
        <w:ind w:firstLine="480"/>
        <w:rPr>
          <w:rFonts w:hint="eastAsia"/>
        </w:rPr>
      </w:pPr>
      <w:r>
        <w:rPr>
          <w:rFonts w:hint="eastAsia"/>
        </w:rPr>
        <w:t>色季拉国家森林公园位于西藏自治区林芝市的林芝县和米林县境内，地理位置位于东经94°08′～94°51′，北纬29°20′～30°30′之间，总面积400000hm</w:t>
      </w:r>
      <w:r>
        <w:rPr>
          <w:rFonts w:hint="eastAsia"/>
          <w:vertAlign w:val="superscript"/>
        </w:rPr>
        <w:t>2</w:t>
      </w:r>
      <w:r>
        <w:rPr>
          <w:rFonts w:hint="eastAsia"/>
        </w:rPr>
        <w:t>（4000km</w:t>
      </w:r>
      <w:r>
        <w:rPr>
          <w:rFonts w:hint="eastAsia"/>
          <w:vertAlign w:val="superscript"/>
        </w:rPr>
        <w:t>2</w:t>
      </w:r>
      <w:r>
        <w:rPr>
          <w:rFonts w:hint="eastAsia"/>
        </w:rPr>
        <w:t>）行政区域包括林芝县林芝镇、鲁朗镇、米瑞乡和米林县的派镇、丹娘乡、羌纳乡。</w:t>
      </w:r>
    </w:p>
    <w:p>
      <w:pPr>
        <w:pStyle w:val="6"/>
        <w:ind w:firstLine="482"/>
        <w:rPr>
          <w:b/>
          <w:bCs/>
          <w:color w:val="2A26F7"/>
        </w:rPr>
      </w:pPr>
      <w:r>
        <w:rPr>
          <w:rFonts w:hint="eastAsia"/>
          <w:b/>
          <w:bCs/>
          <w:color w:val="2A26F7"/>
        </w:rPr>
        <w:t>（2）功能分区</w:t>
      </w:r>
    </w:p>
    <w:p>
      <w:pPr>
        <w:pStyle w:val="6"/>
        <w:ind w:firstLine="480"/>
        <w:rPr>
          <w:color w:val="2A26F7"/>
        </w:rPr>
      </w:pPr>
      <w:r>
        <w:rPr>
          <w:color w:val="2A26F7"/>
        </w:rPr>
        <w:t>色季拉国家森林公园区划森林公园功能分区类型包括核心景观区、一般游憩区、管理服务区和生态保育区等。</w:t>
      </w:r>
    </w:p>
    <w:p>
      <w:pPr>
        <w:pStyle w:val="6"/>
        <w:ind w:firstLine="480"/>
        <w:rPr>
          <w:color w:val="2A26F7"/>
        </w:rPr>
      </w:pPr>
      <w:r>
        <w:rPr>
          <w:color w:val="2A26F7"/>
        </w:rPr>
        <w:t>（1）核心景观区是指拥有特别珍贵的森林风景资源，必须进行严格保护的区域。在核心景观区，除了必要的保护、解说、游览、休憩和安全、环卫、景区管护站等设施以外，不得规划建设住宿、餐饮、购物、娱乐等设施。</w:t>
      </w:r>
    </w:p>
    <w:p>
      <w:pPr>
        <w:pStyle w:val="6"/>
        <w:ind w:firstLine="480"/>
        <w:rPr>
          <w:color w:val="2A26F7"/>
        </w:rPr>
      </w:pPr>
      <w:r>
        <w:rPr>
          <w:color w:val="2A26F7"/>
        </w:rPr>
        <w:t>（2）一般游憩区是指森林风景资源相对平常，且方便开展旅游活动的区域。一般游憩区内可以规划少量旅游公路、停车场、宣教设施、娱乐设施、景区管护站及小规模的餐饮点、购物亭等。</w:t>
      </w:r>
    </w:p>
    <w:p>
      <w:pPr>
        <w:pStyle w:val="6"/>
        <w:ind w:firstLine="480"/>
        <w:rPr>
          <w:color w:val="2A26F7"/>
        </w:rPr>
      </w:pPr>
      <w:r>
        <w:rPr>
          <w:color w:val="2A26F7"/>
        </w:rPr>
        <w:t>（3）管理服务区是指为满足森林公园管理和旅游接待服务需要而划定的区域。管理服务区内应当规划入口管理区、游客中心、停车场和一定数量的住宿、餐饮、购物、娱乐等接待服务设施，以及必要的管理和职工生活用房。</w:t>
      </w:r>
    </w:p>
    <w:p>
      <w:pPr>
        <w:pStyle w:val="6"/>
        <w:ind w:firstLine="480"/>
        <w:rPr>
          <w:color w:val="2A26F7"/>
        </w:rPr>
      </w:pPr>
      <w:r>
        <w:rPr>
          <w:color w:val="2A26F7"/>
        </w:rPr>
        <w:t>（4）生态保育区是指在本规划期内以生态保护修复为主，基本不进行开发建设、不对游客开放的区域。</w:t>
      </w:r>
    </w:p>
    <w:p>
      <w:pPr>
        <w:pStyle w:val="6"/>
        <w:ind w:firstLine="482"/>
        <w:rPr>
          <w:b/>
          <w:bCs/>
        </w:rPr>
      </w:pPr>
      <w:r>
        <w:rPr>
          <w:rFonts w:hint="eastAsia"/>
          <w:b/>
          <w:bCs/>
        </w:rPr>
        <w:t>2、</w:t>
      </w:r>
      <w:r>
        <w:rPr>
          <w:b/>
          <w:bCs/>
        </w:rPr>
        <w:t>本次</w:t>
      </w:r>
      <w:r>
        <w:rPr>
          <w:rFonts w:hint="eastAsia"/>
          <w:b/>
          <w:bCs/>
        </w:rPr>
        <w:t>“林芝市全域旅游发展规划（2018-2025年）”涉及《西藏色季拉国家森林公园总体规划（2013～2022）》的相关内容</w:t>
      </w:r>
    </w:p>
    <w:p>
      <w:pPr>
        <w:pStyle w:val="6"/>
        <w:ind w:firstLine="480"/>
      </w:pPr>
      <w:r>
        <w:rPr>
          <w:rFonts w:hint="eastAsia"/>
        </w:rPr>
        <w:t>本次规划中可能涉及色季拉国家森林公园的建设项目见表2.2-18。</w:t>
      </w:r>
    </w:p>
    <w:p>
      <w:pPr>
        <w:pStyle w:val="27"/>
        <w:rPr>
          <w:rFonts w:hint="eastAsia"/>
        </w:rPr>
      </w:pPr>
      <w:r>
        <w:rPr>
          <w:rFonts w:hint="eastAsia"/>
        </w:rPr>
        <w:t>表2.2-18  本次规划中可能涉及西藏色季拉国家森林公园的建设项目情况表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77"/>
        <w:gridCol w:w="946"/>
        <w:gridCol w:w="1210"/>
        <w:gridCol w:w="2578"/>
        <w:gridCol w:w="2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序号</w:t>
            </w:r>
          </w:p>
        </w:tc>
        <w:tc>
          <w:tcPr>
            <w:tcW w:w="456"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泛景区</w:t>
            </w:r>
            <w:r>
              <w:rPr>
                <w:rFonts w:hint="eastAsia"/>
                <w:highlight w:val="none"/>
                <w:lang w:val="en-US" w:eastAsia="zh-CN"/>
              </w:rPr>
              <w:t>名称</w:t>
            </w:r>
          </w:p>
        </w:tc>
        <w:tc>
          <w:tcPr>
            <w:tcW w:w="555"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行政区域</w:t>
            </w:r>
          </w:p>
        </w:tc>
        <w:tc>
          <w:tcPr>
            <w:tcW w:w="710"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景点名称</w:t>
            </w:r>
          </w:p>
        </w:tc>
        <w:tc>
          <w:tcPr>
            <w:tcW w:w="1513"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建设内容</w:t>
            </w:r>
          </w:p>
        </w:tc>
        <w:tc>
          <w:tcPr>
            <w:tcW w:w="1514"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依托资源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50"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1</w:t>
            </w:r>
          </w:p>
        </w:tc>
        <w:tc>
          <w:tcPr>
            <w:tcW w:w="45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鲁朗小镇及周边地区</w:t>
            </w:r>
          </w:p>
        </w:tc>
        <w:tc>
          <w:tcPr>
            <w:tcW w:w="555"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巴宜区</w:t>
            </w:r>
          </w:p>
        </w:tc>
        <w:tc>
          <w:tcPr>
            <w:tcW w:w="71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鲁朗小镇</w:t>
            </w:r>
          </w:p>
        </w:tc>
        <w:tc>
          <w:tcPr>
            <w:tcW w:w="1513"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增设停机坪和航空应急、补给设施</w:t>
            </w:r>
          </w:p>
        </w:tc>
        <w:tc>
          <w:tcPr>
            <w:tcW w:w="1514" w:type="pct"/>
            <w:vMerge w:val="restart"/>
            <w:vAlign w:val="center"/>
          </w:tcPr>
          <w:p>
            <w:pPr>
              <w:pStyle w:val="28"/>
              <w:keepNext w:val="0"/>
              <w:keepLines w:val="0"/>
              <w:suppressLineNumbers w:val="0"/>
              <w:bidi w:val="0"/>
              <w:spacing w:beforeAutospacing="0" w:afterAutospacing="0" w:line="276" w:lineRule="auto"/>
              <w:ind w:left="0" w:right="0"/>
              <w:rPr>
                <w:rFonts w:hint="eastAsia" w:eastAsia="宋体"/>
                <w:highlight w:val="none"/>
                <w:lang w:val="en-US" w:eastAsia="zh-CN"/>
              </w:rPr>
            </w:pPr>
            <w:r>
              <w:rPr>
                <w:rFonts w:hint="eastAsia"/>
                <w:highlight w:val="none"/>
              </w:rPr>
              <w:t>西藏色季拉森林公园</w:t>
            </w:r>
            <w:r>
              <w:rPr>
                <w:rFonts w:hint="eastAsia"/>
                <w:highlight w:val="none"/>
                <w:lang w:val="en-US" w:eastAsia="zh-CN"/>
              </w:rPr>
              <w:t>一般休息区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50"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55"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1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扎西岗村</w:t>
            </w:r>
          </w:p>
        </w:tc>
        <w:tc>
          <w:tcPr>
            <w:tcW w:w="1513"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改造村内民宿，开拓全屋智能家居、农牧远程养殖等服务</w:t>
            </w:r>
          </w:p>
        </w:tc>
        <w:tc>
          <w:tcPr>
            <w:tcW w:w="15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50"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55"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1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鲁朗林海</w:t>
            </w:r>
          </w:p>
        </w:tc>
        <w:tc>
          <w:tcPr>
            <w:tcW w:w="1513"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开展城郊休闲和花卉摄影活动</w:t>
            </w:r>
          </w:p>
        </w:tc>
        <w:tc>
          <w:tcPr>
            <w:tcW w:w="15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50"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55"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1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鲁朗花海牧场</w:t>
            </w:r>
          </w:p>
        </w:tc>
        <w:tc>
          <w:tcPr>
            <w:tcW w:w="1513"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结合现有的雅鲁藏布大峡谷高空观光航拍产品，发展空中特种旅游活动</w:t>
            </w:r>
          </w:p>
        </w:tc>
        <w:tc>
          <w:tcPr>
            <w:tcW w:w="15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50"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55"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1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雅伊沟</w:t>
            </w:r>
          </w:p>
        </w:tc>
        <w:tc>
          <w:tcPr>
            <w:tcW w:w="1513"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结合茶马古道，以雅伊湖为终点，开展徒步穿越、观南迦巴瓦以及科考活动</w:t>
            </w:r>
          </w:p>
        </w:tc>
        <w:tc>
          <w:tcPr>
            <w:tcW w:w="15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bl>
    <w:p>
      <w:pPr>
        <w:pStyle w:val="6"/>
        <w:ind w:firstLine="482"/>
        <w:rPr>
          <w:b/>
          <w:bCs/>
        </w:rPr>
      </w:pPr>
      <w:r>
        <w:rPr>
          <w:rFonts w:hint="eastAsia"/>
          <w:b/>
          <w:bCs/>
        </w:rPr>
        <w:t>3、符合性分析</w:t>
      </w:r>
    </w:p>
    <w:p>
      <w:pPr>
        <w:pStyle w:val="6"/>
        <w:ind w:firstLine="480"/>
        <w:rPr>
          <w:rFonts w:hint="eastAsia"/>
          <w:color w:val="2A26F7"/>
        </w:rPr>
      </w:pPr>
      <w:r>
        <w:rPr>
          <w:rFonts w:hint="eastAsia"/>
          <w:color w:val="2A26F7"/>
        </w:rPr>
        <w:t>次规划中可能涉及色季拉国家森林公园的建设项目见表2.2-18。由于本次规划的建设项目大部分处于概念阶段，具体建设范围及建设内容未确定，经过初步叠图分析，项目主要基于色季拉森林公园的一般游憩区部分。不涉及保育区。以上规划项目主要内容是增设停机坪和航空应急</w:t>
      </w:r>
      <w:r>
        <w:rPr>
          <w:rFonts w:hint="eastAsia"/>
          <w:color w:val="2A26F7"/>
          <w:lang w:eastAsia="zh-CN"/>
        </w:rPr>
        <w:t>，</w:t>
      </w:r>
      <w:r>
        <w:rPr>
          <w:rFonts w:hint="eastAsia"/>
          <w:color w:val="2A26F7"/>
        </w:rPr>
        <w:t>改造村内民宿，开展城郊休闲和花卉摄影活动</w:t>
      </w:r>
      <w:r>
        <w:rPr>
          <w:rFonts w:hint="eastAsia"/>
          <w:color w:val="2A26F7"/>
          <w:lang w:eastAsia="zh-CN"/>
        </w:rPr>
        <w:t>，</w:t>
      </w:r>
      <w:r>
        <w:rPr>
          <w:rFonts w:hint="eastAsia"/>
          <w:color w:val="2A26F7"/>
        </w:rPr>
        <w:t>结合现有的雅鲁藏布大峡谷高空观光航拍产品，发展空中特种旅游活动</w:t>
      </w:r>
      <w:r>
        <w:rPr>
          <w:rFonts w:hint="eastAsia"/>
          <w:color w:val="2A26F7"/>
          <w:lang w:eastAsia="zh-CN"/>
        </w:rPr>
        <w:t>，</w:t>
      </w:r>
      <w:r>
        <w:rPr>
          <w:rFonts w:hint="eastAsia"/>
          <w:color w:val="2A26F7"/>
        </w:rPr>
        <w:t>开展徒步穿越、科考活动；属于《西藏色季拉国家森林公园总体规划（2013～2022）》一般游憩区允许的活动。</w:t>
      </w:r>
    </w:p>
    <w:p>
      <w:pPr>
        <w:pStyle w:val="6"/>
        <w:ind w:firstLine="480"/>
        <w:rPr>
          <w:rFonts w:hint="eastAsia"/>
          <w:color w:val="2A26F7"/>
        </w:rPr>
      </w:pPr>
      <w:r>
        <w:rPr>
          <w:rFonts w:hint="eastAsia"/>
          <w:color w:val="2A26F7"/>
        </w:rPr>
        <w:t>“林芝市全域旅游发展规划（2018-2025年）”</w:t>
      </w:r>
      <w:r>
        <w:rPr>
          <w:rFonts w:hint="eastAsia"/>
          <w:color w:val="2A26F7"/>
          <w:lang w:val="en-US" w:eastAsia="zh-CN"/>
        </w:rPr>
        <w:t>与</w:t>
      </w:r>
      <w:r>
        <w:rPr>
          <w:rFonts w:hint="eastAsia"/>
          <w:color w:val="2A26F7"/>
        </w:rPr>
        <w:t>《西藏色季拉国家森林公园总体规划（2013～2022）》中环境保护要求符合性分析见表2.2-19。</w:t>
      </w:r>
    </w:p>
    <w:p>
      <w:pPr>
        <w:pStyle w:val="27"/>
        <w:bidi w:val="0"/>
        <w:rPr>
          <w:rFonts w:hint="eastAsia"/>
          <w:highlight w:val="none"/>
        </w:rPr>
      </w:pPr>
      <w:r>
        <w:rPr>
          <w:rFonts w:hint="eastAsia"/>
          <w:highlight w:val="none"/>
          <w:lang w:val="en-US" w:eastAsia="zh-CN"/>
        </w:rPr>
        <w:t>表2.2-19  本次规划与</w:t>
      </w:r>
      <w:r>
        <w:rPr>
          <w:rFonts w:hint="eastAsia"/>
          <w:highlight w:val="none"/>
        </w:rPr>
        <w:t>《西藏</w:t>
      </w:r>
      <w:r>
        <w:rPr>
          <w:rFonts w:hint="eastAsia"/>
          <w:highlight w:val="none"/>
          <w:lang w:val="en-US" w:eastAsia="zh-CN"/>
        </w:rPr>
        <w:t>色季拉</w:t>
      </w:r>
      <w:r>
        <w:rPr>
          <w:rFonts w:hint="eastAsia"/>
          <w:highlight w:val="none"/>
        </w:rPr>
        <w:t>国家森林公园总体规划（2013～202</w:t>
      </w:r>
      <w:r>
        <w:rPr>
          <w:rFonts w:hint="eastAsia"/>
          <w:highlight w:val="none"/>
          <w:lang w:val="en-US" w:eastAsia="zh-CN"/>
        </w:rPr>
        <w:t>2</w:t>
      </w:r>
      <w:r>
        <w:rPr>
          <w:rFonts w:hint="eastAsia"/>
          <w:highlight w:val="none"/>
        </w:rPr>
        <w:t>）》</w:t>
      </w:r>
      <w:r>
        <w:rPr>
          <w:rFonts w:hint="eastAsia"/>
          <w:highlight w:val="none"/>
          <w:lang w:val="en-US" w:eastAsia="zh-CN"/>
        </w:rPr>
        <w:t>中环境保护相关要求的符合性分析</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4363"/>
        <w:gridCol w:w="2652"/>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要求</w:t>
            </w:r>
          </w:p>
        </w:tc>
        <w:tc>
          <w:tcPr>
            <w:tcW w:w="2558" w:type="pct"/>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内容</w:t>
            </w:r>
          </w:p>
        </w:tc>
        <w:tc>
          <w:tcPr>
            <w:tcW w:w="1555" w:type="pct"/>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lang w:val="en-US" w:eastAsia="zh-CN"/>
              </w:rPr>
              <w:t>本次</w:t>
            </w:r>
            <w:r>
              <w:rPr>
                <w:rFonts w:hint="eastAsia"/>
                <w:highlight w:val="none"/>
              </w:rPr>
              <w:t>规划</w:t>
            </w:r>
            <w:r>
              <w:rPr>
                <w:rFonts w:hint="eastAsia"/>
                <w:highlight w:val="none"/>
                <w:lang w:val="en-US" w:eastAsia="zh-CN"/>
              </w:rPr>
              <w:t>涉及</w:t>
            </w:r>
            <w:r>
              <w:rPr>
                <w:rFonts w:hint="eastAsia"/>
                <w:highlight w:val="none"/>
              </w:rPr>
              <w:t>内容</w:t>
            </w:r>
          </w:p>
        </w:tc>
        <w:tc>
          <w:tcPr>
            <w:tcW w:w="432" w:type="pct"/>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restart"/>
            <w:vAlign w:val="center"/>
          </w:tcPr>
          <w:p>
            <w:pPr>
              <w:pStyle w:val="29"/>
              <w:keepNext w:val="0"/>
              <w:keepLines w:val="0"/>
              <w:suppressLineNumbers w:val="0"/>
              <w:bidi w:val="0"/>
              <w:spacing w:before="0" w:beforeAutospacing="0" w:after="0" w:afterAutospacing="0"/>
              <w:ind w:left="0" w:right="0"/>
              <w:rPr>
                <w:rFonts w:hint="eastAsia" w:eastAsia="宋体"/>
                <w:highlight w:val="none"/>
                <w:lang w:eastAsia="zh-CN"/>
              </w:rPr>
            </w:pPr>
            <w:r>
              <w:rPr>
                <w:rFonts w:hint="eastAsia" w:eastAsia="宋体"/>
                <w:highlight w:val="none"/>
                <w:lang w:eastAsia="zh-CN"/>
              </w:rPr>
              <w:t>森林公园建设的“三废”处理</w:t>
            </w:r>
          </w:p>
        </w:tc>
        <w:tc>
          <w:tcPr>
            <w:tcW w:w="2558" w:type="pct"/>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（1）废气：废气主要为汽车尾气和烟尘。在森林公园内，尽量使用公园统一购置的环保汽车。或车辆烟尘排放安装除尘设备。</w:t>
            </w:r>
          </w:p>
        </w:tc>
        <w:tc>
          <w:tcPr>
            <w:tcW w:w="1555" w:type="pct"/>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规划涉及景区内项目采用清洁能源游览车等措施保持景区良好的空气环境。</w:t>
            </w:r>
          </w:p>
        </w:tc>
        <w:tc>
          <w:tcPr>
            <w:tcW w:w="432" w:type="pct"/>
            <w:vAlign w:val="center"/>
          </w:tcPr>
          <w:p>
            <w:pPr>
              <w:pStyle w:val="29"/>
              <w:keepNext w:val="0"/>
              <w:keepLines w:val="0"/>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2558" w:type="pct"/>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2）废水：产生的污水严禁直接排入河流水体，粪便污水经化粪池预处理，餐厅污水经隔油池预处理后再经生物接触氧化污水设施（埋地式）处理达标后排放。为节省水资源，污水经处理达标后尽量用于浇洒区域内的树木、花草。</w:t>
            </w:r>
          </w:p>
        </w:tc>
        <w:tc>
          <w:tcPr>
            <w:tcW w:w="1555" w:type="pct"/>
            <w:vMerge w:val="restart"/>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规划涉及景区内项目对景区产生的污水和垃圾进行全部处理、处置，不破坏环境</w:t>
            </w:r>
          </w:p>
        </w:tc>
        <w:tc>
          <w:tcPr>
            <w:tcW w:w="432" w:type="pct"/>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遵守符合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2558" w:type="pct"/>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（3）固体废弃物：近期森林公园购置环卫车4辆，游路上设置环卫标志，宣传环境卫生注意事项。</w:t>
            </w:r>
          </w:p>
        </w:tc>
        <w:tc>
          <w:tcPr>
            <w:tcW w:w="1555"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432" w:type="pct"/>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遵守符合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2558" w:type="pct"/>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（4）噪声：景区内不得使用高音喇叭，对交通噪声实行限速和禁鸣喇叭。</w:t>
            </w:r>
          </w:p>
        </w:tc>
        <w:tc>
          <w:tcPr>
            <w:tcW w:w="1555" w:type="pct"/>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按照要求对景区内的声环境严格管理，遵照上述要求执行，避免噪声污染。</w:t>
            </w:r>
          </w:p>
        </w:tc>
        <w:tc>
          <w:tcPr>
            <w:tcW w:w="432" w:type="pct"/>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遵守符合</w:t>
            </w:r>
          </w:p>
        </w:tc>
      </w:tr>
    </w:tbl>
    <w:p>
      <w:pPr>
        <w:pStyle w:val="2"/>
        <w:bidi w:val="0"/>
        <w:rPr>
          <w:rFonts w:hint="eastAsia"/>
          <w:highlight w:val="none"/>
        </w:rPr>
      </w:pPr>
      <w:r>
        <w:rPr>
          <w:rFonts w:hint="eastAsia"/>
          <w:highlight w:val="none"/>
        </w:rPr>
        <w:t>2.2.5.</w:t>
      </w:r>
      <w:r>
        <w:rPr>
          <w:rFonts w:hint="eastAsia"/>
          <w:highlight w:val="none"/>
          <w:lang w:val="en-US" w:eastAsia="zh-CN"/>
        </w:rPr>
        <w:t>9</w:t>
      </w:r>
      <w:r>
        <w:rPr>
          <w:rFonts w:hint="eastAsia"/>
          <w:highlight w:val="none"/>
        </w:rPr>
        <w:t>与《西藏巴松湖国家森林公园总体规划（201</w:t>
      </w:r>
      <w:r>
        <w:rPr>
          <w:rFonts w:hint="eastAsia"/>
          <w:highlight w:val="none"/>
          <w:lang w:val="en-US" w:eastAsia="zh-CN"/>
        </w:rPr>
        <w:t>4</w:t>
      </w:r>
      <w:r>
        <w:rPr>
          <w:rFonts w:hint="eastAsia"/>
          <w:highlight w:val="none"/>
        </w:rPr>
        <w:t>~202</w:t>
      </w:r>
      <w:r>
        <w:rPr>
          <w:rFonts w:hint="eastAsia"/>
          <w:highlight w:val="none"/>
          <w:lang w:val="en-US" w:eastAsia="zh-CN"/>
        </w:rPr>
        <w:t>3</w:t>
      </w:r>
      <w:r>
        <w:rPr>
          <w:rFonts w:hint="eastAsia"/>
          <w:highlight w:val="none"/>
        </w:rPr>
        <w:t>）》协调性分析</w:t>
      </w:r>
    </w:p>
    <w:p>
      <w:pPr>
        <w:pStyle w:val="6"/>
        <w:ind w:firstLine="482"/>
        <w:rPr>
          <w:rFonts w:hint="eastAsia"/>
          <w:b/>
          <w:bCs/>
        </w:rPr>
      </w:pPr>
      <w:r>
        <w:rPr>
          <w:rFonts w:hint="eastAsia"/>
          <w:b/>
          <w:bCs/>
        </w:rPr>
        <w:t>1、《西藏巴松湖国家森林公园总体规划（2014~2023）》规划概要</w:t>
      </w:r>
    </w:p>
    <w:p>
      <w:pPr>
        <w:pStyle w:val="6"/>
        <w:ind w:firstLine="480"/>
        <w:rPr>
          <w:rFonts w:hint="eastAsia"/>
        </w:rPr>
      </w:pPr>
      <w:r>
        <w:rPr>
          <w:rFonts w:hint="eastAsia"/>
        </w:rPr>
        <w:t>（1）地理位置</w:t>
      </w:r>
    </w:p>
    <w:p>
      <w:pPr>
        <w:pStyle w:val="6"/>
        <w:ind w:firstLine="480"/>
        <w:rPr>
          <w:rFonts w:hint="eastAsia"/>
        </w:rPr>
      </w:pPr>
      <w:r>
        <w:rPr>
          <w:rFonts w:hint="eastAsia"/>
        </w:rPr>
        <w:t>巴松湖国家森林公园地处西藏自治区工布江达县境内。北与嘉黎县交界，东与林芝、波密两县接壤，最南部抵巴河镇，紧邻川藏公路（318国道），西以朱拉乡行政区域为界。国土总面积4100.0000km</w:t>
      </w:r>
      <w:r>
        <w:rPr>
          <w:rFonts w:hint="eastAsia"/>
          <w:vertAlign w:val="superscript"/>
        </w:rPr>
        <w:t>2</w:t>
      </w:r>
      <w:r>
        <w:rPr>
          <w:rFonts w:hint="eastAsia"/>
        </w:rPr>
        <w:t>。</w:t>
      </w:r>
    </w:p>
    <w:p>
      <w:pPr>
        <w:pStyle w:val="6"/>
        <w:ind w:firstLine="480"/>
        <w:rPr>
          <w:color w:val="2A26F7"/>
        </w:rPr>
      </w:pPr>
      <w:r>
        <w:rPr>
          <w:rFonts w:hint="eastAsia"/>
          <w:color w:val="2A26F7"/>
        </w:rPr>
        <w:t>（2）功能分区</w:t>
      </w:r>
    </w:p>
    <w:p>
      <w:pPr>
        <w:pStyle w:val="6"/>
        <w:ind w:firstLine="480"/>
        <w:rPr>
          <w:rFonts w:hint="eastAsia"/>
          <w:color w:val="2A26F7"/>
        </w:rPr>
      </w:pPr>
      <w:r>
        <w:rPr>
          <w:rFonts w:hint="eastAsia"/>
          <w:color w:val="2A26F7"/>
        </w:rPr>
        <w:t>规划分为四类功能区域：即核心景观区、一般游憩区、管理服务区和生态保育区。</w:t>
      </w:r>
    </w:p>
    <w:p>
      <w:pPr>
        <w:pStyle w:val="6"/>
        <w:ind w:firstLine="480"/>
        <w:rPr>
          <w:rFonts w:hint="eastAsia"/>
          <w:color w:val="2A26F7"/>
        </w:rPr>
      </w:pPr>
      <w:r>
        <w:rPr>
          <w:rFonts w:hint="eastAsia"/>
          <w:color w:val="2A26F7"/>
        </w:rPr>
        <w:t>核心景观区：包括巴松措、钟措原始森林-湖泊湿地-冰川、新措原始森林-湖泊湿地-冰川、朱拉河湿地、朱拉弄巴峡谷等区域。</w:t>
      </w:r>
    </w:p>
    <w:p>
      <w:pPr>
        <w:pStyle w:val="6"/>
        <w:ind w:firstLine="480"/>
        <w:rPr>
          <w:rFonts w:hint="eastAsia"/>
          <w:color w:val="2A26F7"/>
        </w:rPr>
      </w:pPr>
      <w:r>
        <w:rPr>
          <w:rFonts w:hint="eastAsia"/>
          <w:color w:val="2A26F7"/>
        </w:rPr>
        <w:t>一般游憩区：朱拉河景区公路沿线、巴河沿岸、巴松措沿岸、错高-扎拉公路沿线、钟措核心景区至错高村、新措结巴至核心景区公路沿线、结巴村至普措沟谷沿线、阿桑度假休闲旅游区、结巴工布民俗风情游览区等。</w:t>
      </w:r>
    </w:p>
    <w:p>
      <w:pPr>
        <w:pStyle w:val="6"/>
        <w:ind w:firstLine="480"/>
        <w:rPr>
          <w:rFonts w:hint="eastAsia"/>
          <w:color w:val="2A26F7"/>
        </w:rPr>
      </w:pPr>
      <w:r>
        <w:rPr>
          <w:rFonts w:hint="eastAsia"/>
          <w:color w:val="2A26F7"/>
        </w:rPr>
        <w:t>管理服务区：错高旅游集镇综合管理服务区、朱拉河湿地公园管理服务小区、新措管理服务小区。</w:t>
      </w:r>
    </w:p>
    <w:p>
      <w:pPr>
        <w:pStyle w:val="6"/>
        <w:ind w:firstLine="480"/>
        <w:rPr>
          <w:rFonts w:hint="eastAsia"/>
        </w:rPr>
      </w:pPr>
      <w:r>
        <w:rPr>
          <w:rFonts w:hint="eastAsia"/>
          <w:color w:val="2A26F7"/>
        </w:rPr>
        <w:t>生态保育区：由于公园面积大、覆盖范围宽，且与西藏工布自然保护区部分重叠，将自然保护区核心区、缓冲区以及部分游客无法涉足的区域区划为公园的生态保育区。生态保育区分</w:t>
      </w:r>
      <w:r>
        <w:rPr>
          <w:rFonts w:hint="eastAsia"/>
        </w:rPr>
        <w:t>布在各个景区范围内，人迹罕至，开发难度巨大，以生态保护和修复为主。强化森林和植被保护，通过封山育林、封育管护、森林抚育等措施，以促进公园森林植被和自然生态系统的修复，原则上不安排建设活动。</w:t>
      </w:r>
    </w:p>
    <w:p>
      <w:pPr>
        <w:pStyle w:val="6"/>
        <w:ind w:firstLine="482"/>
        <w:rPr>
          <w:rFonts w:hint="eastAsia"/>
          <w:b/>
          <w:bCs/>
        </w:rPr>
      </w:pPr>
      <w:r>
        <w:rPr>
          <w:rFonts w:hint="eastAsia"/>
          <w:b/>
          <w:bCs/>
        </w:rPr>
        <w:t>2、本次“</w:t>
      </w:r>
      <w:r>
        <w:rPr>
          <w:rFonts w:hint="eastAsia"/>
          <w:b/>
          <w:bCs/>
          <w:color w:val="auto"/>
          <w:lang w:val="en-US" w:eastAsia="zh-CN"/>
        </w:rPr>
        <w:t>林芝市全域旅游发展规划（2018-2025年）</w:t>
      </w:r>
      <w:r>
        <w:rPr>
          <w:rFonts w:hint="eastAsia"/>
          <w:b/>
          <w:bCs/>
        </w:rPr>
        <w:t>”涉及《西藏巴松湖国家森林公园总体规划（2014~2023）》的相关内容</w:t>
      </w:r>
    </w:p>
    <w:p>
      <w:pPr>
        <w:pStyle w:val="6"/>
        <w:ind w:firstLine="480"/>
      </w:pPr>
      <w:r>
        <w:rPr>
          <w:rFonts w:hint="eastAsia"/>
        </w:rPr>
        <w:t>本次规划中可能涉及巴松湖森林公园的建设项目见表2.2-20。</w:t>
      </w:r>
    </w:p>
    <w:p>
      <w:pPr>
        <w:pStyle w:val="27"/>
        <w:rPr>
          <w:rFonts w:hint="eastAsia"/>
        </w:rPr>
      </w:pPr>
      <w:r>
        <w:rPr>
          <w:rFonts w:hint="eastAsia"/>
        </w:rPr>
        <w:t>表2.2-20  本次规划中可能涉及西藏巴松湖国家森林公园的建设项目情况表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77"/>
        <w:gridCol w:w="946"/>
        <w:gridCol w:w="1210"/>
        <w:gridCol w:w="2578"/>
        <w:gridCol w:w="2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序号</w:t>
            </w:r>
          </w:p>
        </w:tc>
        <w:tc>
          <w:tcPr>
            <w:tcW w:w="456"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泛景区</w:t>
            </w:r>
            <w:r>
              <w:rPr>
                <w:rFonts w:hint="eastAsia"/>
                <w:highlight w:val="none"/>
                <w:lang w:val="en-US" w:eastAsia="zh-CN"/>
              </w:rPr>
              <w:t>名称</w:t>
            </w:r>
          </w:p>
        </w:tc>
        <w:tc>
          <w:tcPr>
            <w:tcW w:w="555"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行政区域</w:t>
            </w:r>
          </w:p>
        </w:tc>
        <w:tc>
          <w:tcPr>
            <w:tcW w:w="710"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景点名称</w:t>
            </w:r>
          </w:p>
        </w:tc>
        <w:tc>
          <w:tcPr>
            <w:tcW w:w="1513"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建设内容</w:t>
            </w:r>
          </w:p>
        </w:tc>
        <w:tc>
          <w:tcPr>
            <w:tcW w:w="1514"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依托资源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50"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lang w:val="en-US" w:eastAsia="zh-CN"/>
              </w:rPr>
              <w:t>1</w:t>
            </w:r>
          </w:p>
        </w:tc>
        <w:tc>
          <w:tcPr>
            <w:tcW w:w="456"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lang w:eastAsia="zh-CN"/>
              </w:rPr>
            </w:pPr>
            <w:r>
              <w:rPr>
                <w:rFonts w:hint="eastAsia"/>
                <w:highlight w:val="none"/>
              </w:rPr>
              <w:t>巴松措及周边地区</w:t>
            </w:r>
          </w:p>
        </w:tc>
        <w:tc>
          <w:tcPr>
            <w:tcW w:w="555"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lang w:val="en-US" w:eastAsia="zh-CN"/>
              </w:rPr>
              <w:t>工布江达</w:t>
            </w:r>
          </w:p>
        </w:tc>
        <w:tc>
          <w:tcPr>
            <w:tcW w:w="71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游客中心</w:t>
            </w:r>
          </w:p>
        </w:tc>
        <w:tc>
          <w:tcPr>
            <w:tcW w:w="1513"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对照 5A 级景区标准，聘请专业团队，完善外语翻译、厕所标识、电线埋地等工作</w:t>
            </w:r>
          </w:p>
        </w:tc>
        <w:tc>
          <w:tcPr>
            <w:tcW w:w="1514"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西藏巴松湖国家森林公园</w:t>
            </w:r>
            <w:r>
              <w:rPr>
                <w:rFonts w:hint="eastAsia"/>
              </w:rPr>
              <w:t>一般游憩区、管理服务区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50"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456" w:type="pct"/>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555"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1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湖区</w:t>
            </w:r>
          </w:p>
        </w:tc>
        <w:tc>
          <w:tcPr>
            <w:tcW w:w="1513"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通过完善巴松湖、新措、仲措环湖风景道路系统，建立统一标识体系，将“三措”区域连成一体；适当增加水吧、观景平台等设施</w:t>
            </w:r>
          </w:p>
        </w:tc>
        <w:tc>
          <w:tcPr>
            <w:tcW w:w="15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50"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55"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1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措高村</w:t>
            </w:r>
          </w:p>
        </w:tc>
        <w:tc>
          <w:tcPr>
            <w:tcW w:w="1513" w:type="pct"/>
            <w:vMerge w:val="restar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重点发展结巴村、错高村、乡村生态旅游住宿产品和周边生态旅游活动产品</w:t>
            </w:r>
          </w:p>
        </w:tc>
        <w:tc>
          <w:tcPr>
            <w:tcW w:w="15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50"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55"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1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结巴村</w:t>
            </w:r>
          </w:p>
        </w:tc>
        <w:tc>
          <w:tcPr>
            <w:tcW w:w="151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15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50"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56"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555"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710"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巴河镇农业观光园</w:t>
            </w:r>
          </w:p>
        </w:tc>
        <w:tc>
          <w:tcPr>
            <w:tcW w:w="1513"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连体温室大棚、住宿酒店、服务区，集住宿、餐饮、休闲、采摘、科普、培训为一体</w:t>
            </w:r>
          </w:p>
        </w:tc>
        <w:tc>
          <w:tcPr>
            <w:tcW w:w="151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r>
    </w:tbl>
    <w:p>
      <w:pPr>
        <w:pStyle w:val="6"/>
        <w:ind w:left="480" w:leftChars="200" w:firstLine="0" w:firstLineChars="0"/>
        <w:rPr>
          <w:rFonts w:hint="eastAsia"/>
          <w:b/>
          <w:bCs/>
        </w:rPr>
      </w:pPr>
      <w:r>
        <w:rPr>
          <w:rFonts w:hint="eastAsia"/>
          <w:b/>
          <w:bCs/>
        </w:rPr>
        <w:t>3、符合性分析</w:t>
      </w:r>
    </w:p>
    <w:p>
      <w:pPr>
        <w:pStyle w:val="6"/>
        <w:rPr>
          <w:rFonts w:hint="eastAsia"/>
          <w:color w:val="auto"/>
          <w:highlight w:val="none"/>
        </w:rPr>
        <w:sectPr>
          <w:pgSz w:w="11906" w:h="16838"/>
          <w:pgMar w:top="1440" w:right="1797" w:bottom="1440" w:left="1797" w:header="851" w:footer="992" w:gutter="0"/>
          <w:pgNumType w:fmt="decimal"/>
          <w:cols w:space="425" w:num="1"/>
          <w:docGrid w:linePitch="312" w:charSpace="0"/>
        </w:sectPr>
      </w:pPr>
      <w:r>
        <w:rPr>
          <w:rFonts w:hint="eastAsia"/>
        </w:rPr>
        <w:t>本</w:t>
      </w:r>
      <w:r>
        <w:rPr>
          <w:rFonts w:hint="eastAsia"/>
          <w:color w:val="2A26F7"/>
        </w:rPr>
        <w:t>次规划中可能涉及巴松湖森林公园的建设项目见表2.2-21。由于本次规划的建设项目大部分处于概念阶段，具体建设范围及建设内容未确定，根据初步叠图分析规划项目位于巴松湖国家森林公园</w:t>
      </w:r>
      <w:r>
        <w:rPr>
          <w:rFonts w:hint="eastAsia"/>
          <w:color w:val="2A26F7"/>
          <w:lang w:val="en-US" w:eastAsia="zh-CN"/>
        </w:rPr>
        <w:t>核心景观区、</w:t>
      </w:r>
      <w:r>
        <w:rPr>
          <w:rFonts w:hint="eastAsia"/>
          <w:color w:val="2A26F7"/>
        </w:rPr>
        <w:t>一般游憩区、管理服务区，不涉及保育区。以上规划项目主要内容是对照5A级景区标准，完善巴松湖、新措、仲措环湖风景道路系统，建立统一标识体系，将“三措”区域连成一体；适当增加水吧、观景平台等设施</w:t>
      </w:r>
      <w:r>
        <w:rPr>
          <w:rFonts w:hint="eastAsia"/>
          <w:color w:val="2A26F7"/>
          <w:lang w:eastAsia="zh-CN"/>
        </w:rPr>
        <w:t>。</w:t>
      </w:r>
      <w:r>
        <w:rPr>
          <w:rFonts w:hint="eastAsia"/>
          <w:color w:val="2A26F7"/>
        </w:rPr>
        <w:t>属于《西藏巴松湖国家森林公园总体规划（2014~2023）》一般游憩区、管理服务区允许的活动。《西藏巴松湖国家森林公园总体规划（2014~2023）》环境保护要求与本次规划协调性分析见表2.2-21。“林芝市全域旅游发展规划（2018-2025年）”</w:t>
      </w:r>
      <w:r>
        <w:rPr>
          <w:rFonts w:hint="eastAsia"/>
          <w:color w:val="2A26F7"/>
          <w:lang w:val="en-US" w:eastAsia="zh-CN"/>
        </w:rPr>
        <w:t>与《</w:t>
      </w:r>
      <w:r>
        <w:rPr>
          <w:rFonts w:hint="eastAsia"/>
          <w:color w:val="auto"/>
          <w:highlight w:val="none"/>
          <w:lang w:val="en-US" w:eastAsia="zh-CN"/>
        </w:rPr>
        <w:t>西藏巴松湖国家森林公园规划</w:t>
      </w:r>
      <w:r>
        <w:rPr>
          <w:rFonts w:hint="eastAsia"/>
          <w:color w:val="2A26F7"/>
          <w:lang w:val="en-US" w:eastAsia="zh-CN"/>
        </w:rPr>
        <w:t>》</w:t>
      </w:r>
      <w:r>
        <w:rPr>
          <w:rFonts w:hint="eastAsia"/>
          <w:highlight w:val="none"/>
        </w:rPr>
        <w:t>中</w:t>
      </w:r>
      <w:r>
        <w:rPr>
          <w:rFonts w:hint="eastAsia"/>
          <w:highlight w:val="none"/>
          <w:lang w:val="en-US" w:eastAsia="zh-CN"/>
        </w:rPr>
        <w:t>相关</w:t>
      </w:r>
      <w:r>
        <w:rPr>
          <w:rFonts w:hint="eastAsia"/>
          <w:color w:val="auto"/>
          <w:highlight w:val="none"/>
        </w:rPr>
        <w:t>环境保护要求符合性分析见表</w:t>
      </w:r>
      <w:r>
        <w:rPr>
          <w:rFonts w:hint="eastAsia"/>
          <w:color w:val="auto"/>
          <w:highlight w:val="none"/>
          <w:lang w:val="en-US" w:eastAsia="zh-CN"/>
        </w:rPr>
        <w:t>2.2-21</w:t>
      </w:r>
      <w:r>
        <w:rPr>
          <w:rFonts w:hint="eastAsia"/>
          <w:color w:val="auto"/>
          <w:highlight w:val="none"/>
        </w:rPr>
        <w:t>。</w:t>
      </w:r>
    </w:p>
    <w:p>
      <w:pPr>
        <w:pStyle w:val="27"/>
        <w:bidi w:val="0"/>
        <w:rPr>
          <w:rFonts w:hint="eastAsia"/>
          <w:highlight w:val="none"/>
        </w:rPr>
      </w:pPr>
      <w:r>
        <w:rPr>
          <w:rFonts w:hint="eastAsia"/>
          <w:highlight w:val="none"/>
          <w:lang w:val="en-US" w:eastAsia="zh-CN"/>
        </w:rPr>
        <w:t>表2.2 21  本次规划与</w:t>
      </w:r>
      <w:r>
        <w:rPr>
          <w:rFonts w:hint="eastAsia"/>
          <w:highlight w:val="none"/>
        </w:rPr>
        <w:t>《西藏巴松湖国家森林公园总体规划（201</w:t>
      </w:r>
      <w:r>
        <w:rPr>
          <w:rFonts w:hint="eastAsia"/>
          <w:highlight w:val="none"/>
          <w:lang w:val="en-US" w:eastAsia="zh-CN"/>
        </w:rPr>
        <w:t>4</w:t>
      </w:r>
      <w:r>
        <w:rPr>
          <w:rFonts w:hint="eastAsia"/>
          <w:highlight w:val="none"/>
        </w:rPr>
        <w:t>~202</w:t>
      </w:r>
      <w:r>
        <w:rPr>
          <w:rFonts w:hint="eastAsia"/>
          <w:highlight w:val="none"/>
          <w:lang w:val="en-US" w:eastAsia="zh-CN"/>
        </w:rPr>
        <w:t>3</w:t>
      </w:r>
      <w:r>
        <w:rPr>
          <w:rFonts w:hint="eastAsia"/>
          <w:highlight w:val="none"/>
        </w:rPr>
        <w:t>）》</w:t>
      </w:r>
      <w:r>
        <w:rPr>
          <w:rFonts w:hint="eastAsia"/>
          <w:highlight w:val="none"/>
          <w:lang w:val="en-US" w:eastAsia="zh-CN"/>
        </w:rPr>
        <w:t>中环境保护相关要求的协调性分析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084"/>
        <w:gridCol w:w="8500"/>
        <w:gridCol w:w="2933"/>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要求</w:t>
            </w:r>
          </w:p>
        </w:tc>
        <w:tc>
          <w:tcPr>
            <w:tcW w:w="9584" w:type="dxa"/>
            <w:gridSpan w:val="2"/>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内容</w:t>
            </w:r>
          </w:p>
        </w:tc>
        <w:tc>
          <w:tcPr>
            <w:tcW w:w="2933"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lang w:val="en-US" w:eastAsia="zh-CN"/>
              </w:rPr>
              <w:t>本次</w:t>
            </w:r>
            <w:r>
              <w:rPr>
                <w:rFonts w:hint="eastAsia"/>
                <w:highlight w:val="none"/>
              </w:rPr>
              <w:t>规划</w:t>
            </w:r>
            <w:r>
              <w:rPr>
                <w:rFonts w:hint="eastAsia"/>
                <w:highlight w:val="none"/>
                <w:lang w:val="en-US" w:eastAsia="zh-CN"/>
              </w:rPr>
              <w:t>涉及</w:t>
            </w:r>
            <w:r>
              <w:rPr>
                <w:rFonts w:hint="eastAsia"/>
                <w:highlight w:val="none"/>
              </w:rPr>
              <w:t>内容</w:t>
            </w:r>
          </w:p>
        </w:tc>
        <w:tc>
          <w:tcPr>
            <w:tcW w:w="919"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738" w:type="dxa"/>
            <w:vMerge w:val="restart"/>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自然生态环境保护</w:t>
            </w:r>
          </w:p>
        </w:tc>
        <w:tc>
          <w:tcPr>
            <w:tcW w:w="1084"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水体环境保护</w:t>
            </w:r>
          </w:p>
        </w:tc>
        <w:tc>
          <w:tcPr>
            <w:tcW w:w="8500"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1、加强对公园境内所有水源地的保护，严禁在近水区域修建厕所、垃圾站（点）等设施，加强旅游区域垃圾、废水的处理和排放的监督管理。2、巴松措、钟措、新措3处湖泊具备旅游开发条件，必须切实加强管理和监督，严禁开展对湖泊水体具有污染的旅游项目，并确保游人安全。3、新建或改建的公路、游道，要严格按道路建设的有关要求进行设计和施工，并及时恢复周边区域的森林植被。4、公园内规划修建的所有建筑设施，完工后都必须及时恢复被损毁的植被，坡度较大的地段，必须修建挡土墙，以防止塌方和水土流失。5、公园内禁止建设对水体有污染的建设项目和娱乐设施，在生活污水相对集中的地方，建设污水处理设施，杜绝将污水直接排入河流。6、公园范围内的农作区，应积极推广生态农业，减少化肥使用量，禁止施用农药，以避免化肥和农药残留进入水体。7、遵循《中国地表水资源质量年报编制技术大纲》要求，做好园内水质监测和水环境监测工作，保障森林公园内水体环境</w:t>
            </w:r>
          </w:p>
        </w:tc>
        <w:tc>
          <w:tcPr>
            <w:tcW w:w="2933" w:type="dxa"/>
            <w:vAlign w:val="center"/>
          </w:tcPr>
          <w:p>
            <w:pPr>
              <w:pStyle w:val="29"/>
              <w:keepNext w:val="0"/>
              <w:keepLines w:val="0"/>
              <w:suppressLineNumbers w:val="0"/>
              <w:bidi w:val="0"/>
              <w:spacing w:before="0" w:beforeAutospacing="0" w:after="0" w:afterAutospacing="0"/>
              <w:ind w:left="0" w:right="0"/>
              <w:rPr>
                <w:rFonts w:hint="default" w:eastAsia="宋体"/>
                <w:highlight w:val="none"/>
                <w:lang w:val="en-US" w:eastAsia="zh-CN"/>
              </w:rPr>
            </w:pPr>
            <w:r>
              <w:rPr>
                <w:rFonts w:hint="eastAsia" w:cs="宋体" w:asciiTheme="minorEastAsia" w:hAnsiTheme="minorEastAsia" w:eastAsiaTheme="minorEastAsia"/>
                <w:color w:val="333333"/>
                <w:kern w:val="0"/>
                <w:sz w:val="21"/>
                <w:szCs w:val="21"/>
                <w:highlight w:val="none"/>
              </w:rPr>
              <w:t>按照要求对景区内的</w:t>
            </w:r>
            <w:r>
              <w:rPr>
                <w:rFonts w:hint="eastAsia" w:cs="宋体" w:asciiTheme="minorEastAsia" w:hAnsiTheme="minorEastAsia" w:eastAsiaTheme="minorEastAsia"/>
                <w:color w:val="333333"/>
                <w:kern w:val="0"/>
                <w:sz w:val="21"/>
                <w:szCs w:val="21"/>
                <w:highlight w:val="none"/>
                <w:lang w:val="en-US" w:eastAsia="zh-CN"/>
              </w:rPr>
              <w:t>水</w:t>
            </w:r>
            <w:r>
              <w:rPr>
                <w:rFonts w:hint="eastAsia" w:cs="宋体" w:asciiTheme="minorEastAsia" w:hAnsiTheme="minorEastAsia" w:eastAsiaTheme="minorEastAsia"/>
                <w:color w:val="333333"/>
                <w:kern w:val="0"/>
                <w:sz w:val="21"/>
                <w:szCs w:val="21"/>
                <w:highlight w:val="none"/>
              </w:rPr>
              <w:t>环境严格管理，遵照上述要求执行，避免</w:t>
            </w:r>
            <w:r>
              <w:rPr>
                <w:rFonts w:hint="eastAsia" w:cs="宋体" w:asciiTheme="minorEastAsia" w:hAnsiTheme="minorEastAsia" w:eastAsiaTheme="minorEastAsia"/>
                <w:color w:val="333333"/>
                <w:kern w:val="0"/>
                <w:sz w:val="21"/>
                <w:szCs w:val="21"/>
                <w:highlight w:val="none"/>
                <w:lang w:val="en-US" w:eastAsia="zh-CN"/>
              </w:rPr>
              <w:t>水环境</w:t>
            </w:r>
            <w:r>
              <w:rPr>
                <w:rFonts w:hint="eastAsia" w:cs="宋体" w:asciiTheme="minorEastAsia" w:hAnsiTheme="minorEastAsia" w:eastAsiaTheme="minorEastAsia"/>
                <w:color w:val="333333"/>
                <w:kern w:val="0"/>
                <w:sz w:val="21"/>
                <w:szCs w:val="21"/>
                <w:highlight w:val="none"/>
              </w:rPr>
              <w:t>污染</w:t>
            </w:r>
            <w:r>
              <w:rPr>
                <w:rFonts w:hint="eastAsia"/>
                <w:highlight w:val="none"/>
              </w:rPr>
              <w:t>。</w:t>
            </w:r>
          </w:p>
        </w:tc>
        <w:tc>
          <w:tcPr>
            <w:tcW w:w="919" w:type="dxa"/>
            <w:vAlign w:val="center"/>
          </w:tcPr>
          <w:p>
            <w:pPr>
              <w:pStyle w:val="29"/>
              <w:keepNext w:val="0"/>
              <w:keepLines w:val="0"/>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遵守、符合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1084" w:type="dxa"/>
            <w:vAlign w:val="center"/>
          </w:tcPr>
          <w:p>
            <w:pPr>
              <w:pStyle w:val="29"/>
              <w:keepNext w:val="0"/>
              <w:keepLines w:val="0"/>
              <w:suppressLineNumbers w:val="0"/>
              <w:bidi w:val="0"/>
              <w:spacing w:before="0" w:beforeAutospacing="0" w:after="0" w:afterAutospacing="0"/>
              <w:ind w:left="0" w:right="0"/>
              <w:rPr>
                <w:rFonts w:hint="eastAsia" w:eastAsia="宋体"/>
                <w:highlight w:val="none"/>
                <w:lang w:eastAsia="zh-CN"/>
              </w:rPr>
            </w:pPr>
            <w:r>
              <w:rPr>
                <w:rFonts w:hint="eastAsia"/>
                <w:highlight w:val="none"/>
                <w:lang w:val="en-US" w:eastAsia="zh-CN"/>
              </w:rPr>
              <w:t>声学环境保护</w:t>
            </w:r>
          </w:p>
        </w:tc>
        <w:tc>
          <w:tcPr>
            <w:tcW w:w="8500"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1、公园内所有单位的噪声均达到《工业企业厂界噪声标准》（GB12348-90）一类标准要求。宾馆等接待设施必须采用动力设备或其他噪声设备时，必须配套安装相应降噪系统。</w:t>
            </w:r>
          </w:p>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2、公园内车辆一般禁鸣高音喇叭，以减少噪音污染。</w:t>
            </w:r>
          </w:p>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3、公园内进行施工建设时，应采取有效措施，减轻或消除噪声对周围环境的影响。</w:t>
            </w:r>
          </w:p>
        </w:tc>
        <w:tc>
          <w:tcPr>
            <w:tcW w:w="2933"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cs="宋体" w:asciiTheme="minorEastAsia" w:hAnsiTheme="minorEastAsia" w:eastAsiaTheme="minorEastAsia"/>
                <w:color w:val="333333"/>
                <w:kern w:val="0"/>
                <w:sz w:val="21"/>
                <w:szCs w:val="21"/>
                <w:highlight w:val="none"/>
              </w:rPr>
              <w:t>按照要求对景区内的声环境严格管理，遵照上述要求执行，避免噪声污染。</w:t>
            </w:r>
          </w:p>
        </w:tc>
        <w:tc>
          <w:tcPr>
            <w:tcW w:w="919" w:type="dxa"/>
            <w:vAlign w:val="center"/>
          </w:tcPr>
          <w:p>
            <w:pPr>
              <w:pStyle w:val="29"/>
              <w:keepNext w:val="0"/>
              <w:keepLines w:val="0"/>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遵守、符合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1084" w:type="dxa"/>
            <w:vMerge w:val="restart"/>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“三废”处理</w:t>
            </w:r>
          </w:p>
        </w:tc>
        <w:tc>
          <w:tcPr>
            <w:tcW w:w="8500" w:type="dxa"/>
            <w:vAlign w:val="center"/>
          </w:tcPr>
          <w:p>
            <w:pPr>
              <w:pStyle w:val="29"/>
              <w:keepNext w:val="0"/>
              <w:keepLines w:val="0"/>
              <w:suppressLineNumbers w:val="0"/>
              <w:bidi w:val="0"/>
              <w:spacing w:before="0" w:beforeAutospacing="0" w:after="0" w:afterAutospacing="0"/>
              <w:ind w:left="0" w:right="0"/>
              <w:jc w:val="both"/>
              <w:rPr>
                <w:rFonts w:hint="eastAsia"/>
                <w:highlight w:val="none"/>
              </w:rPr>
            </w:pPr>
            <w:r>
              <w:rPr>
                <w:rFonts w:hint="eastAsia"/>
                <w:highlight w:val="none"/>
              </w:rPr>
              <w:t>1、废水处理在公园接待服务区、旅游集镇等区域，建立生活废水排放系统（详见排水工程设计），将生活废水进行有效处理，并经处理达到国家废水排放标准后，才能排放。</w:t>
            </w:r>
          </w:p>
        </w:tc>
        <w:tc>
          <w:tcPr>
            <w:tcW w:w="2933"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规划涉及景区内项目对景区产生的污水和垃圾进行全部处理、处置，不破坏环境。</w:t>
            </w:r>
          </w:p>
        </w:tc>
        <w:tc>
          <w:tcPr>
            <w:tcW w:w="919" w:type="dxa"/>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1084" w:type="dxa"/>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8500" w:type="dxa"/>
            <w:vAlign w:val="center"/>
          </w:tcPr>
          <w:p>
            <w:pPr>
              <w:pStyle w:val="29"/>
              <w:keepNext w:val="0"/>
              <w:keepLines w:val="0"/>
              <w:suppressLineNumbers w:val="0"/>
              <w:bidi w:val="0"/>
              <w:spacing w:before="0" w:beforeAutospacing="0" w:after="0" w:afterAutospacing="0"/>
              <w:ind w:left="0" w:right="0"/>
              <w:jc w:val="both"/>
              <w:rPr>
                <w:rFonts w:hint="eastAsia"/>
                <w:highlight w:val="none"/>
              </w:rPr>
            </w:pPr>
            <w:r>
              <w:rPr>
                <w:rFonts w:hint="eastAsia"/>
                <w:highlight w:val="none"/>
              </w:rPr>
              <w:t>2、废气处理① 公园内宾馆、餐饮等接待服务场所，减少使用化石燃料，尽量统一使用</w:t>
            </w:r>
          </w:p>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电能或风能清洁能源。② 园内的所有餐厅必须安装油烟净化器，以减少油烟对周围环境的污染。③ 建立封闭式垃圾转运站，以减少垃圾恶臭对周围环境的污染。④ 严格控制园内机动车数量，并安装净化设施，以减少车辆尾气的污染。</w:t>
            </w:r>
          </w:p>
        </w:tc>
        <w:tc>
          <w:tcPr>
            <w:tcW w:w="2933"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规划涉及景区内项目采取措施降低餐饮业油烟排放，采用清洁能源游览车等措施保持景区良好的空气环境。</w:t>
            </w:r>
          </w:p>
        </w:tc>
        <w:tc>
          <w:tcPr>
            <w:tcW w:w="919"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1084" w:type="dxa"/>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8500"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3、固体废弃物处理</w:t>
            </w:r>
            <w:r>
              <w:rPr>
                <w:rFonts w:hint="eastAsia"/>
                <w:highlight w:val="none"/>
                <w:lang w:eastAsia="zh-CN"/>
              </w:rPr>
              <w:t>：</w:t>
            </w:r>
            <w:r>
              <w:rPr>
                <w:rFonts w:hint="eastAsia"/>
                <w:highlight w:val="none"/>
              </w:rPr>
              <w:t>垃圾必须及时收集并外运至工布江达县垃圾场进行统一处理。设立环卫所，负责清扫园内垃圾并进行分类处理</w:t>
            </w:r>
          </w:p>
        </w:tc>
        <w:tc>
          <w:tcPr>
            <w:tcW w:w="2933" w:type="dxa"/>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规划涉及景区内项目对景区产生的垃圾进行全部处置，不破坏环境。</w:t>
            </w:r>
          </w:p>
        </w:tc>
        <w:tc>
          <w:tcPr>
            <w:tcW w:w="919" w:type="dxa"/>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符合</w:t>
            </w:r>
          </w:p>
        </w:tc>
      </w:tr>
    </w:tbl>
    <w:p>
      <w:pPr>
        <w:spacing w:line="360" w:lineRule="auto"/>
        <w:ind w:firstLine="560" w:firstLineChars="200"/>
        <w:rPr>
          <w:rFonts w:ascii="Times New Roman" w:hAnsi="Times New Roman" w:eastAsia="宋体" w:cs="Times New Roman"/>
          <w:sz w:val="28"/>
          <w:szCs w:val="28"/>
          <w:highlight w:val="none"/>
        </w:rPr>
      </w:pPr>
    </w:p>
    <w:p>
      <w:pPr>
        <w:spacing w:line="360" w:lineRule="auto"/>
        <w:ind w:firstLine="560" w:firstLineChars="200"/>
        <w:rPr>
          <w:rFonts w:ascii="黑体" w:hAnsi="黑体" w:eastAsia="黑体"/>
          <w:sz w:val="28"/>
          <w:szCs w:val="28"/>
          <w:highlight w:val="none"/>
        </w:rPr>
        <w:sectPr>
          <w:pgSz w:w="16838" w:h="11906" w:orient="landscape"/>
          <w:pgMar w:top="1797" w:right="1440" w:bottom="1797" w:left="1440" w:header="851" w:footer="992" w:gutter="0"/>
          <w:pgNumType w:fmt="decimal"/>
          <w:cols w:space="425" w:num="1"/>
          <w:docGrid w:linePitch="312" w:charSpace="0"/>
        </w:sectPr>
      </w:pPr>
    </w:p>
    <w:p>
      <w:pPr>
        <w:pStyle w:val="5"/>
        <w:bidi w:val="0"/>
        <w:rPr>
          <w:rFonts w:hint="eastAsia"/>
          <w:color w:val="auto"/>
          <w:highlight w:val="none"/>
          <w:lang w:val="en-US" w:eastAsia="zh-CN"/>
        </w:rPr>
      </w:pPr>
      <w:bookmarkStart w:id="73" w:name="_Toc31057"/>
      <w:bookmarkStart w:id="74" w:name="_Toc30554"/>
      <w:r>
        <w:rPr>
          <w:rFonts w:hint="eastAsia"/>
          <w:color w:val="auto"/>
          <w:highlight w:val="none"/>
          <w:lang w:val="en-US" w:eastAsia="zh-CN"/>
        </w:rPr>
        <w:t>2.2.6与“三线一单”的符合性</w:t>
      </w:r>
      <w:bookmarkEnd w:id="73"/>
      <w:bookmarkEnd w:id="74"/>
    </w:p>
    <w:p>
      <w:pPr>
        <w:pStyle w:val="2"/>
        <w:bidi w:val="0"/>
        <w:rPr>
          <w:rFonts w:hint="eastAsia"/>
          <w:color w:val="auto"/>
          <w:highlight w:val="none"/>
        </w:rPr>
      </w:pPr>
      <w:r>
        <w:rPr>
          <w:rFonts w:hint="eastAsia"/>
          <w:color w:val="auto"/>
          <w:highlight w:val="none"/>
        </w:rPr>
        <w:t>2.2.</w:t>
      </w:r>
      <w:r>
        <w:rPr>
          <w:rFonts w:hint="eastAsia"/>
          <w:color w:val="auto"/>
          <w:highlight w:val="none"/>
          <w:lang w:val="en-US" w:eastAsia="zh-CN"/>
        </w:rPr>
        <w:t>6</w:t>
      </w:r>
      <w:r>
        <w:rPr>
          <w:rFonts w:hint="eastAsia"/>
          <w:color w:val="auto"/>
          <w:highlight w:val="none"/>
        </w:rPr>
        <w:t>.</w:t>
      </w:r>
      <w:r>
        <w:rPr>
          <w:rFonts w:hint="eastAsia"/>
          <w:color w:val="auto"/>
          <w:highlight w:val="none"/>
          <w:lang w:val="en-US" w:eastAsia="zh-CN"/>
        </w:rPr>
        <w:t>1</w:t>
      </w:r>
      <w:r>
        <w:rPr>
          <w:rFonts w:hint="eastAsia"/>
          <w:color w:val="auto"/>
          <w:highlight w:val="none"/>
        </w:rPr>
        <w:t>与西藏自治区“三线一单”生态环境分区管控</w:t>
      </w:r>
      <w:r>
        <w:rPr>
          <w:rFonts w:hint="eastAsia"/>
          <w:color w:val="auto"/>
          <w:highlight w:val="none"/>
          <w:lang w:val="en-US" w:eastAsia="zh-CN"/>
        </w:rPr>
        <w:t>方案</w:t>
      </w:r>
      <w:r>
        <w:rPr>
          <w:rFonts w:hint="eastAsia"/>
          <w:color w:val="auto"/>
          <w:highlight w:val="none"/>
        </w:rPr>
        <w:t>（藏政发〔2020〕11号）的符合性</w:t>
      </w:r>
    </w:p>
    <w:p>
      <w:pPr>
        <w:pStyle w:val="6"/>
        <w:bidi w:val="0"/>
        <w:rPr>
          <w:rFonts w:hint="default" w:eastAsia="宋体"/>
          <w:b/>
          <w:bCs/>
          <w:color w:val="auto"/>
          <w:highlight w:val="none"/>
          <w:lang w:val="en-US" w:eastAsia="zh-CN"/>
        </w:rPr>
      </w:pPr>
      <w:r>
        <w:rPr>
          <w:rFonts w:hint="eastAsia"/>
          <w:b/>
          <w:bCs/>
          <w:color w:val="auto"/>
          <w:highlight w:val="none"/>
          <w:lang w:val="en-US" w:eastAsia="zh-CN"/>
        </w:rPr>
        <w:t>1、相关内容</w:t>
      </w:r>
    </w:p>
    <w:p>
      <w:pPr>
        <w:pStyle w:val="6"/>
        <w:bidi w:val="0"/>
        <w:rPr>
          <w:rFonts w:hint="eastAsia"/>
          <w:color w:val="auto"/>
          <w:highlight w:val="none"/>
        </w:rPr>
      </w:pPr>
      <w:r>
        <w:rPr>
          <w:rFonts w:hint="eastAsia"/>
          <w:color w:val="auto"/>
          <w:highlight w:val="none"/>
        </w:rPr>
        <w:t>2020年</w:t>
      </w:r>
      <w:r>
        <w:rPr>
          <w:rFonts w:hint="eastAsia"/>
          <w:color w:val="auto"/>
          <w:highlight w:val="none"/>
          <w:lang w:val="en-US" w:eastAsia="zh-CN"/>
        </w:rPr>
        <w:t>12</w:t>
      </w:r>
      <w:r>
        <w:rPr>
          <w:rFonts w:hint="eastAsia"/>
          <w:color w:val="auto"/>
          <w:highlight w:val="none"/>
        </w:rPr>
        <w:t>月</w:t>
      </w:r>
      <w:r>
        <w:rPr>
          <w:rFonts w:hint="eastAsia"/>
          <w:color w:val="auto"/>
          <w:highlight w:val="none"/>
          <w:lang w:val="en-US" w:eastAsia="zh-CN"/>
        </w:rPr>
        <w:t>31</w:t>
      </w:r>
      <w:r>
        <w:rPr>
          <w:rFonts w:hint="eastAsia"/>
          <w:color w:val="auto"/>
          <w:highlight w:val="none"/>
        </w:rPr>
        <w:t>日西藏自治区人民政府下发了“西藏自治区人民政府关于印发西藏自治区“三线一单”生态环境分区管控方案的通知”（藏政发〔2020〕11号），根据“藏政发〔2020〕11号”</w:t>
      </w:r>
      <w:r>
        <w:rPr>
          <w:rFonts w:hint="eastAsia"/>
          <w:color w:val="auto"/>
          <w:highlight w:val="none"/>
          <w:lang w:val="en-US" w:eastAsia="zh-CN"/>
        </w:rPr>
        <w:t>方案</w:t>
      </w:r>
      <w:r>
        <w:rPr>
          <w:rFonts w:hint="eastAsia"/>
          <w:color w:val="auto"/>
          <w:highlight w:val="none"/>
        </w:rPr>
        <w:t>主要目标：坚持生态保护第一，牢牢守住生态环境安全红线，保障生态环境质量底线，严控资源开发利用上线，筑牢生态安全屏障，打造生态文明高地。到2025年，生态环境分区管控体系基本建立，生态环境治理能力明显提升，自然保护地面积保持全国第一、体系更加完善，生态环境质量稳居全国前列，战略资源储备基地和清洁能源接续基地建设有序推进，生态安全屏障稳定向好。到2035年，生态环境治理体系和治理能力基本实现现代化，形成人与自然和谐发展的现代化建设新格局，生态环境质量国际领先，生态安全屏障更加稳固，美丽西藏建设成果丰硕，生态文明高地建设成效明显。</w:t>
      </w:r>
    </w:p>
    <w:p>
      <w:pPr>
        <w:pStyle w:val="6"/>
        <w:bidi w:val="0"/>
        <w:rPr>
          <w:rFonts w:hint="eastAsia"/>
          <w:b/>
          <w:bCs/>
          <w:color w:val="auto"/>
          <w:highlight w:val="none"/>
        </w:rPr>
      </w:pPr>
      <w:r>
        <w:rPr>
          <w:rFonts w:hint="eastAsia"/>
          <w:b/>
          <w:bCs/>
          <w:color w:val="auto"/>
          <w:highlight w:val="none"/>
        </w:rPr>
        <w:t>（</w:t>
      </w:r>
      <w:r>
        <w:rPr>
          <w:rFonts w:hint="eastAsia"/>
          <w:b/>
          <w:bCs/>
          <w:color w:val="auto"/>
          <w:highlight w:val="none"/>
          <w:lang w:val="en-US" w:eastAsia="zh-CN"/>
        </w:rPr>
        <w:t>1</w:t>
      </w:r>
      <w:r>
        <w:rPr>
          <w:rFonts w:hint="eastAsia"/>
          <w:b/>
          <w:bCs/>
          <w:color w:val="auto"/>
          <w:highlight w:val="none"/>
        </w:rPr>
        <w:t>）生态环境管控单元划分。</w:t>
      </w:r>
    </w:p>
    <w:p>
      <w:pPr>
        <w:pStyle w:val="6"/>
        <w:ind w:firstLine="480"/>
        <w:rPr>
          <w:rFonts w:hint="eastAsia"/>
          <w:color w:val="2A26F7"/>
        </w:rPr>
      </w:pPr>
      <w:r>
        <w:rPr>
          <w:rFonts w:hint="eastAsia"/>
          <w:color w:val="2A26F7"/>
        </w:rPr>
        <w:t>优先保护单元主要包括生态保护红线、自然保护地、县级以上饮用水水源保护区、环境空气一类功能区等生态功能区域，是自治区生态保护的重点区域，约占全区国土面积的90%；重点管控单元主要包括产业园区、县级以上城镇中心城区及规划区、矿产资源储备区及开采区、水能重点开发河段、人文景区、口岸等开发强度高、污染物排放强度大的区域，以及环境问题相对集中的区域，约占全区国土面积的0.8%；一般管控单元为优先保护单元、重点管控单元以外的区域。</w:t>
      </w:r>
    </w:p>
    <w:p>
      <w:pPr>
        <w:pStyle w:val="6"/>
        <w:ind w:firstLine="480"/>
        <w:rPr>
          <w:color w:val="2A26F7"/>
        </w:rPr>
      </w:pPr>
      <w:r>
        <w:rPr>
          <w:rFonts w:hint="eastAsia"/>
          <w:color w:val="2A26F7"/>
        </w:rPr>
        <w:t>西藏自治区的水源涵养功能的极重要区面积约12.98万平方千米，占区域总面积的10.79%，自治区水源涵养功能重要区面积15.57万平方公里，占区域总面积的12.95%，自治区水源涵养功能的一般重要区面积91.68万平方公里，占区域总面积的76.26%。</w:t>
      </w:r>
      <w:r>
        <w:rPr>
          <w:color w:val="2A26F7"/>
        </w:rPr>
        <w:t>西藏自治区水土保持功能的极重要区面积约3.69万平方千米</w:t>
      </w:r>
      <w:r>
        <w:rPr>
          <w:rFonts w:hint="eastAsia"/>
          <w:color w:val="2A26F7"/>
        </w:rPr>
        <w:t>，</w:t>
      </w:r>
      <w:r>
        <w:rPr>
          <w:color w:val="2A26F7"/>
        </w:rPr>
        <w:t>占</w:t>
      </w:r>
      <w:r>
        <w:rPr>
          <w:rFonts w:hint="eastAsia"/>
          <w:color w:val="2A26F7"/>
        </w:rPr>
        <w:t>自治区</w:t>
      </w:r>
      <w:r>
        <w:rPr>
          <w:color w:val="2A26F7"/>
        </w:rPr>
        <w:t>区域总面积的3.07%</w:t>
      </w:r>
      <w:r>
        <w:rPr>
          <w:rFonts w:hint="eastAsia"/>
          <w:color w:val="2A26F7"/>
        </w:rPr>
        <w:t>，</w:t>
      </w:r>
      <w:r>
        <w:rPr>
          <w:color w:val="2A26F7"/>
        </w:rPr>
        <w:t>水土保持功能的重要区面积约18.76万平方千米，占区域总面积的15.60%</w:t>
      </w:r>
      <w:r>
        <w:rPr>
          <w:rFonts w:hint="eastAsia"/>
          <w:color w:val="2A26F7"/>
        </w:rPr>
        <w:t>，</w:t>
      </w:r>
      <w:r>
        <w:rPr>
          <w:color w:val="2A26F7"/>
        </w:rPr>
        <w:t>水土保持功能一般重要区面积97.77万平方千米，占区域总面积的81.33%。</w:t>
      </w:r>
      <w:r>
        <w:rPr>
          <w:rFonts w:hint="eastAsia"/>
          <w:color w:val="2A26F7"/>
        </w:rPr>
        <w:t>根据</w:t>
      </w:r>
      <w:r>
        <w:rPr>
          <w:color w:val="2A26F7"/>
        </w:rPr>
        <w:t>生物多样性极重要区面积18.35万平方千米，占</w:t>
      </w:r>
      <w:r>
        <w:rPr>
          <w:rFonts w:hint="eastAsia"/>
          <w:color w:val="2A26F7"/>
        </w:rPr>
        <w:t>自治区</w:t>
      </w:r>
      <w:r>
        <w:rPr>
          <w:color w:val="2A26F7"/>
        </w:rPr>
        <w:t>总面积的15.27%。生物多样性重要区面积82.13万平方千米，占</w:t>
      </w:r>
      <w:r>
        <w:rPr>
          <w:rFonts w:hint="eastAsia"/>
          <w:color w:val="2A26F7"/>
        </w:rPr>
        <w:t>自治区</w:t>
      </w:r>
      <w:r>
        <w:rPr>
          <w:color w:val="2A26F7"/>
        </w:rPr>
        <w:t>总面积的68.32%。自治区</w:t>
      </w:r>
      <w:r>
        <w:rPr>
          <w:rFonts w:hint="eastAsia"/>
          <w:color w:val="2A26F7"/>
        </w:rPr>
        <w:t>冻融侵蚀</w:t>
      </w:r>
      <w:r>
        <w:rPr>
          <w:color w:val="2A26F7"/>
        </w:rPr>
        <w:t>极敏感区面积为3.07万km</w:t>
      </w:r>
      <w:r>
        <w:rPr>
          <w:color w:val="2A26F7"/>
          <w:vertAlign w:val="superscript"/>
        </w:rPr>
        <w:t>2</w:t>
      </w:r>
      <w:r>
        <w:rPr>
          <w:color w:val="2A26F7"/>
        </w:rPr>
        <w:t>，占全区总面积的2.55%</w:t>
      </w:r>
      <w:r>
        <w:rPr>
          <w:rFonts w:hint="eastAsia"/>
          <w:color w:val="2A26F7"/>
        </w:rPr>
        <w:t>，</w:t>
      </w:r>
      <w:r>
        <w:rPr>
          <w:color w:val="2A26F7"/>
        </w:rPr>
        <w:t>敏感区面积为110.96万km</w:t>
      </w:r>
      <w:r>
        <w:rPr>
          <w:color w:val="2A26F7"/>
          <w:vertAlign w:val="superscript"/>
        </w:rPr>
        <w:t>2</w:t>
      </w:r>
      <w:r>
        <w:rPr>
          <w:color w:val="2A26F7"/>
        </w:rPr>
        <w:t>，占全区总面积的92.20%</w:t>
      </w:r>
      <w:r>
        <w:rPr>
          <w:rFonts w:hint="eastAsia"/>
          <w:color w:val="2A26F7"/>
        </w:rPr>
        <w:t>，</w:t>
      </w:r>
    </w:p>
    <w:p>
      <w:pPr>
        <w:pStyle w:val="6"/>
        <w:bidi w:val="0"/>
        <w:rPr>
          <w:rFonts w:hint="eastAsia"/>
          <w:b/>
          <w:bCs/>
          <w:color w:val="auto"/>
          <w:highlight w:val="none"/>
        </w:rPr>
      </w:pPr>
      <w:r>
        <w:rPr>
          <w:rFonts w:hint="eastAsia"/>
          <w:b/>
          <w:bCs/>
          <w:color w:val="auto"/>
          <w:highlight w:val="none"/>
        </w:rPr>
        <w:t>（</w:t>
      </w:r>
      <w:r>
        <w:rPr>
          <w:rFonts w:hint="eastAsia"/>
          <w:b/>
          <w:bCs/>
          <w:color w:val="auto"/>
          <w:highlight w:val="none"/>
          <w:lang w:val="en-US" w:eastAsia="zh-CN"/>
        </w:rPr>
        <w:t>2</w:t>
      </w:r>
      <w:r>
        <w:rPr>
          <w:rFonts w:hint="eastAsia"/>
          <w:b/>
          <w:bCs/>
          <w:color w:val="auto"/>
          <w:highlight w:val="none"/>
        </w:rPr>
        <w:t>）管控单元管控要求</w:t>
      </w:r>
    </w:p>
    <w:p>
      <w:pPr>
        <w:pStyle w:val="6"/>
        <w:bidi w:val="0"/>
        <w:rPr>
          <w:rFonts w:hint="eastAsia"/>
          <w:color w:val="auto"/>
          <w:highlight w:val="none"/>
        </w:rPr>
      </w:pPr>
      <w:r>
        <w:rPr>
          <w:rFonts w:hint="eastAsia"/>
          <w:color w:val="auto"/>
          <w:highlight w:val="none"/>
        </w:rPr>
        <w:t>优先保护单元。坚持生态保护第一，依法禁止或限制大规模、高强度的工业和城镇开发建设；单元内的开发建设活动须在符合法律法规和相关规划的前提下，按照保护优先的原则，避免损害所在单元的生态服务功能和生态产品质量；涉及生态保护红线的，按照国家和自治区相关规定进行管控；在功能受损的优先保护单元优先开展生态保护修复活动，恢复生态系统服务功能。</w:t>
      </w:r>
    </w:p>
    <w:p>
      <w:pPr>
        <w:pStyle w:val="6"/>
        <w:bidi w:val="0"/>
        <w:rPr>
          <w:rFonts w:hint="eastAsia"/>
          <w:color w:val="auto"/>
          <w:highlight w:val="none"/>
        </w:rPr>
      </w:pPr>
      <w:r>
        <w:rPr>
          <w:rFonts w:hint="eastAsia"/>
          <w:color w:val="auto"/>
          <w:highlight w:val="none"/>
        </w:rPr>
        <w:t>重点管控单元。根据单元内生态环境质量目标和资源环境管控要求，结合经济社会发展水平，按照差别化的生态环境准入要求，优化空间和产业布局，加强污染物排放控制和环境风险防控，不断提高资源利用效率，解决局部生态环境质量不达标、生态环境风险高的问题。</w:t>
      </w:r>
    </w:p>
    <w:p>
      <w:pPr>
        <w:pStyle w:val="6"/>
        <w:bidi w:val="0"/>
        <w:rPr>
          <w:color w:val="auto"/>
          <w:highlight w:val="none"/>
        </w:rPr>
      </w:pPr>
      <w:r>
        <w:rPr>
          <w:rFonts w:hint="eastAsia"/>
          <w:color w:val="auto"/>
          <w:highlight w:val="none"/>
        </w:rPr>
        <w:t>一般管控单元。主要落实生态环境保护的基本要求，重点加强工业、农业、生活等领域污染治理。</w:t>
      </w:r>
    </w:p>
    <w:p>
      <w:pPr>
        <w:pStyle w:val="6"/>
        <w:bidi w:val="0"/>
        <w:rPr>
          <w:rFonts w:hint="default" w:eastAsia="宋体"/>
          <w:b/>
          <w:bCs/>
          <w:color w:val="auto"/>
          <w:highlight w:val="none"/>
          <w:lang w:val="en-US" w:eastAsia="zh-CN"/>
        </w:rPr>
      </w:pPr>
      <w:r>
        <w:rPr>
          <w:rFonts w:hint="eastAsia"/>
          <w:b/>
          <w:bCs/>
          <w:color w:val="auto"/>
          <w:highlight w:val="none"/>
          <w:lang w:val="en-US" w:eastAsia="zh-CN"/>
        </w:rPr>
        <w:t>2、符合性分析</w:t>
      </w:r>
    </w:p>
    <w:p>
      <w:pPr>
        <w:pStyle w:val="6"/>
        <w:ind w:firstLine="480"/>
        <w:rPr>
          <w:rFonts w:hint="eastAsia"/>
        </w:rPr>
      </w:pPr>
      <w:r>
        <w:rPr>
          <w:rFonts w:hint="eastAsia"/>
        </w:rPr>
        <w:t>根据西藏自治区环境管控单元图，林芝生态保护红线面积约9.47万平方千米，约占林芝国土面积的82.3%。</w:t>
      </w:r>
    </w:p>
    <w:p>
      <w:pPr>
        <w:pStyle w:val="6"/>
        <w:ind w:firstLine="480"/>
        <w:rPr>
          <w:rFonts w:hint="eastAsia"/>
          <w:color w:val="0000FF"/>
        </w:rPr>
      </w:pPr>
      <w:r>
        <w:rPr>
          <w:rFonts w:hint="eastAsia"/>
          <w:color w:val="0000FF"/>
          <w:highlight w:val="none"/>
        </w:rPr>
        <w:t>经过初步叠图分析，拟进行的旅游资源项目与生态保护红线存在重叠区域，详见附图</w:t>
      </w:r>
      <w:r>
        <w:rPr>
          <w:rFonts w:hint="eastAsia"/>
          <w:color w:val="0000FF"/>
          <w:highlight w:val="none"/>
          <w:lang w:val="en-US" w:eastAsia="zh-CN"/>
        </w:rPr>
        <w:t>15</w:t>
      </w:r>
      <w:r>
        <w:rPr>
          <w:rFonts w:hint="eastAsia"/>
          <w:color w:val="0000FF"/>
          <w:highlight w:val="none"/>
        </w:rPr>
        <w:t>。由于本次的旅游资源为示意点位，叠图分析时可能存在一定误差以及旅游资源基础设施具体实施选址落地存在差异，最终可能会影响叠图判断，因此项目实际落地时建议与生态保护</w:t>
      </w:r>
      <w:r>
        <w:rPr>
          <w:rFonts w:hint="eastAsia"/>
          <w:color w:val="0000FF"/>
        </w:rPr>
        <w:t>红线勘界核实。在规划项目实施过程中要与空间开发保护管理相衔接，对于涉及</w:t>
      </w:r>
      <w:r>
        <w:rPr>
          <w:color w:val="0000FF"/>
        </w:rPr>
        <w:t>生态保护红线的项目，应严格按照</w:t>
      </w:r>
      <w:r>
        <w:rPr>
          <w:rFonts w:hint="eastAsia"/>
          <w:color w:val="0000FF"/>
        </w:rPr>
        <w:t>生态保护红线管控要求执行。</w:t>
      </w:r>
    </w:p>
    <w:p>
      <w:pPr>
        <w:pStyle w:val="6"/>
        <w:ind w:firstLine="480"/>
        <w:rPr>
          <w:rFonts w:hint="eastAsia"/>
          <w:color w:val="0000FF"/>
        </w:rPr>
      </w:pPr>
      <w:r>
        <w:rPr>
          <w:rFonts w:hint="eastAsia"/>
          <w:color w:val="0000FF"/>
        </w:rPr>
        <w:t>根据生态空间管控要求，自然保护地核心保护区以外的其它区域严格原则上禁止开发性、生产性建设活动。可允许适度的参观旅游及相关的必要公共设施建设。经叠图初步筛选涉及生态红线的项目，不涉及自然保护区核心区及缓冲区。仅在保护区实验区开展对生态功能不造成破坏为前提的旅游活动，故规划与西藏自治区生态红线不冲突。</w:t>
      </w:r>
    </w:p>
    <w:p>
      <w:pPr>
        <w:pStyle w:val="2"/>
        <w:bidi w:val="0"/>
        <w:rPr>
          <w:rFonts w:hint="eastAsia"/>
          <w:color w:val="auto"/>
          <w:highlight w:val="none"/>
        </w:rPr>
      </w:pPr>
      <w:r>
        <w:rPr>
          <w:rFonts w:hint="eastAsia"/>
          <w:color w:val="auto"/>
          <w:highlight w:val="none"/>
        </w:rPr>
        <w:t>2.2.6.</w:t>
      </w:r>
      <w:r>
        <w:rPr>
          <w:rFonts w:hint="eastAsia"/>
          <w:color w:val="auto"/>
          <w:highlight w:val="none"/>
          <w:lang w:val="en-US" w:eastAsia="zh-CN"/>
        </w:rPr>
        <w:t>2</w:t>
      </w:r>
      <w:r>
        <w:rPr>
          <w:rFonts w:hint="eastAsia"/>
          <w:color w:val="auto"/>
          <w:highlight w:val="none"/>
        </w:rPr>
        <w:t>与</w:t>
      </w:r>
      <w:r>
        <w:rPr>
          <w:rFonts w:hint="eastAsia"/>
          <w:color w:val="auto"/>
          <w:highlight w:val="none"/>
          <w:lang w:val="en-US" w:eastAsia="zh-CN"/>
        </w:rPr>
        <w:t>林芝市</w:t>
      </w:r>
      <w:r>
        <w:rPr>
          <w:rFonts w:hint="eastAsia"/>
          <w:color w:val="auto"/>
          <w:highlight w:val="none"/>
        </w:rPr>
        <w:t>生态保护红线的符合性分析</w:t>
      </w:r>
    </w:p>
    <w:p>
      <w:pPr>
        <w:pStyle w:val="6"/>
        <w:numPr>
          <w:ilvl w:val="0"/>
          <w:numId w:val="8"/>
        </w:numPr>
        <w:bidi w:val="0"/>
        <w:rPr>
          <w:rFonts w:hint="eastAsia"/>
          <w:b/>
          <w:bCs/>
          <w:color w:val="auto"/>
          <w:highlight w:val="none"/>
        </w:rPr>
      </w:pPr>
      <w:r>
        <w:rPr>
          <w:rFonts w:hint="eastAsia"/>
          <w:b/>
          <w:bCs/>
          <w:color w:val="auto"/>
          <w:highlight w:val="none"/>
          <w:lang w:val="en-US" w:eastAsia="zh-CN"/>
        </w:rPr>
        <w:t>林芝市</w:t>
      </w:r>
      <w:r>
        <w:rPr>
          <w:rFonts w:hint="eastAsia"/>
          <w:b/>
          <w:bCs/>
          <w:color w:val="auto"/>
          <w:highlight w:val="none"/>
        </w:rPr>
        <w:t>生态保护红线的相关内容</w:t>
      </w:r>
    </w:p>
    <w:p>
      <w:pPr>
        <w:pStyle w:val="6"/>
        <w:ind w:firstLine="482"/>
        <w:rPr>
          <w:rFonts w:hint="eastAsia"/>
          <w:b/>
          <w:bCs/>
          <w:color w:val="auto"/>
          <w:highlight w:val="none"/>
        </w:rPr>
      </w:pPr>
      <w:r>
        <w:rPr>
          <w:rFonts w:hint="eastAsia"/>
          <w:b/>
          <w:bCs/>
        </w:rPr>
        <w:t>（1）林芝市生态保护红线分布情况</w:t>
      </w:r>
    </w:p>
    <w:p>
      <w:pPr>
        <w:pStyle w:val="6"/>
        <w:ind w:firstLine="480"/>
        <w:jc w:val="left"/>
        <w:rPr>
          <w:rFonts w:hint="eastAsia"/>
          <w:color w:val="2A26F7"/>
        </w:rPr>
      </w:pPr>
      <w:r>
        <w:rPr>
          <w:rFonts w:hint="eastAsia"/>
          <w:color w:val="2A26F7"/>
        </w:rPr>
        <w:t>林芝市水源涵养功能的极重要区主要分布在墨脱县和察隅县。水源涵养功能重要区主要分布于西北部工布江达县。水土保持功能的极重要区和重要区主要在林芝集中分布。水土保持功能一般重要区在林芝市零星分布。</w:t>
      </w:r>
      <w:r>
        <w:rPr>
          <w:color w:val="2A26F7"/>
        </w:rPr>
        <w:t>生物多样性极重要区</w:t>
      </w:r>
      <w:r>
        <w:rPr>
          <w:rFonts w:hint="eastAsia"/>
          <w:color w:val="2A26F7"/>
        </w:rPr>
        <w:t>广泛分布在波密县、察隅县、墨脱县、巴宜区、米林县、朗县；</w:t>
      </w:r>
      <w:r>
        <w:rPr>
          <w:color w:val="2A26F7"/>
        </w:rPr>
        <w:t>生物多样性重要区</w:t>
      </w:r>
      <w:r>
        <w:rPr>
          <w:rFonts w:hint="eastAsia"/>
          <w:color w:val="2A26F7"/>
        </w:rPr>
        <w:t>主要分布在工布江达县</w:t>
      </w:r>
      <w:r>
        <w:rPr>
          <w:color w:val="2A26F7"/>
        </w:rPr>
        <w:t>。</w:t>
      </w:r>
      <w:r>
        <w:rPr>
          <w:rFonts w:hint="eastAsia"/>
          <w:color w:val="2A26F7"/>
        </w:rPr>
        <w:t>冻融侵蚀</w:t>
      </w:r>
      <w:r>
        <w:rPr>
          <w:color w:val="2A26F7"/>
        </w:rPr>
        <w:t>极敏感区</w:t>
      </w:r>
      <w:r>
        <w:rPr>
          <w:rFonts w:hint="eastAsia"/>
          <w:color w:val="2A26F7"/>
        </w:rPr>
        <w:t>在林芝市没有分布。</w:t>
      </w:r>
      <w:r>
        <w:rPr>
          <w:color w:val="2A26F7"/>
        </w:rPr>
        <w:t>敏感区广泛分布在林芝</w:t>
      </w:r>
      <w:r>
        <w:rPr>
          <w:rFonts w:hint="eastAsia"/>
          <w:color w:val="2A26F7"/>
        </w:rPr>
        <w:t>市北部和东部</w:t>
      </w:r>
      <w:r>
        <w:rPr>
          <w:color w:val="2A26F7"/>
        </w:rPr>
        <w:t>地区</w:t>
      </w:r>
      <w:r>
        <w:rPr>
          <w:rFonts w:hint="eastAsia"/>
          <w:color w:val="2A26F7"/>
        </w:rPr>
        <w:t>。</w:t>
      </w:r>
      <w:r>
        <w:rPr>
          <w:color w:val="2A26F7"/>
        </w:rPr>
        <w:t>一般敏感地区主要林芝南部</w:t>
      </w:r>
      <w:r>
        <w:rPr>
          <w:rFonts w:hint="eastAsia"/>
          <w:color w:val="2A26F7"/>
        </w:rPr>
        <w:t>地区</w:t>
      </w:r>
      <w:r>
        <w:rPr>
          <w:color w:val="2A26F7"/>
        </w:rPr>
        <w:t>。</w:t>
      </w:r>
      <w:r>
        <w:rPr>
          <w:rFonts w:hint="eastAsia"/>
          <w:color w:val="2A26F7"/>
        </w:rPr>
        <w:t>土地沙化极敏感区在林芝市没有分布，但敏感区在林芝市呈现片状分布。水土流失极敏感区分布在林芝东南部，敏感区也普遍分布在林芝东南区域。</w:t>
      </w:r>
    </w:p>
    <w:p>
      <w:pPr>
        <w:pStyle w:val="6"/>
        <w:ind w:firstLine="480"/>
        <w:jc w:val="left"/>
        <w:rPr>
          <w:rFonts w:hint="eastAsia"/>
          <w:color w:val="2A26F7"/>
        </w:rPr>
      </w:pPr>
      <w:r>
        <w:rPr>
          <w:rFonts w:hint="eastAsia"/>
          <w:color w:val="2A26F7"/>
        </w:rPr>
        <w:t>林芝生态保护红线面积约9.47万平方千米，约占林芝国土面积的82.3%。</w:t>
      </w:r>
    </w:p>
    <w:p>
      <w:pPr>
        <w:pStyle w:val="6"/>
        <w:ind w:firstLine="482"/>
        <w:rPr>
          <w:rFonts w:hint="eastAsia"/>
          <w:b/>
          <w:bCs/>
        </w:rPr>
      </w:pPr>
      <w:r>
        <w:rPr>
          <w:rFonts w:hint="eastAsia"/>
          <w:b/>
          <w:bCs/>
        </w:rPr>
        <w:t>（2）林芝市生态保护红线管控要求</w:t>
      </w:r>
    </w:p>
    <w:p>
      <w:pPr>
        <w:pStyle w:val="6"/>
        <w:ind w:firstLine="482"/>
        <w:rPr>
          <w:rFonts w:hint="eastAsia"/>
        </w:rPr>
      </w:pPr>
      <w:r>
        <w:rPr>
          <w:rFonts w:hint="eastAsia"/>
          <w:b/>
          <w:bCs/>
        </w:rPr>
        <w:t>1、</w:t>
      </w:r>
      <w:r>
        <w:rPr>
          <w:rFonts w:hint="eastAsia"/>
        </w:rPr>
        <w:t>生态保护红线内，除满足国家特殊战略需要的有关活动外，自然保护地核心保护区原则上禁止人为活动。但允许开展以下活动：</w:t>
      </w:r>
    </w:p>
    <w:p>
      <w:pPr>
        <w:pStyle w:val="6"/>
        <w:ind w:firstLine="480"/>
        <w:rPr>
          <w:rFonts w:hint="eastAsia"/>
        </w:rPr>
      </w:pPr>
      <w:r>
        <w:rPr>
          <w:rFonts w:hint="eastAsia"/>
        </w:rPr>
        <w:t>①管护巡护、保护执法等管理活动，经批准的科学研究、资源调查以及必要的科研监测保护和防灾减灾救灾、应急抢险救援等。</w:t>
      </w:r>
    </w:p>
    <w:p>
      <w:pPr>
        <w:pStyle w:val="6"/>
        <w:ind w:firstLine="480"/>
        <w:rPr>
          <w:rFonts w:hint="eastAsia"/>
        </w:rPr>
      </w:pPr>
      <w:r>
        <w:rPr>
          <w:rFonts w:hint="eastAsia"/>
        </w:rPr>
        <w:t>②因病虫害、外来物种入侵、维持主要保护对象生存环境等特殊情况，经批准，可以开展重要生态修复工程、物种重引入、增殖放流、病害动植物清理等人工干预措施。</w:t>
      </w:r>
    </w:p>
    <w:p>
      <w:pPr>
        <w:pStyle w:val="6"/>
        <w:ind w:firstLine="480"/>
        <w:rPr>
          <w:rFonts w:hint="eastAsia"/>
        </w:rPr>
      </w:pPr>
      <w:r>
        <w:rPr>
          <w:rFonts w:hint="eastAsia"/>
        </w:rPr>
        <w:t>③根据保护对象不同实行差别化管控措施：</w:t>
      </w:r>
    </w:p>
    <w:p>
      <w:pPr>
        <w:pStyle w:val="6"/>
        <w:ind w:firstLine="480"/>
        <w:rPr>
          <w:rFonts w:hint="eastAsia"/>
        </w:rPr>
      </w:pPr>
      <w:r>
        <w:rPr>
          <w:rFonts w:hint="eastAsia"/>
        </w:rPr>
        <w:t>a.保护对象栖息地、觅食地与人类农业生产生活息息相关的自然保护区，经科学评估，在不影响主要保护对象生存、繁衍的前提下，允许当地居民从事正常的生产、生活等活动。保留一定数量的耕地，允许开展耕种、灌溉活动，但应禁止使用有害农药。</w:t>
      </w:r>
    </w:p>
    <w:p>
      <w:pPr>
        <w:pStyle w:val="6"/>
        <w:ind w:firstLine="480"/>
        <w:rPr>
          <w:rFonts w:hint="eastAsia"/>
        </w:rPr>
      </w:pPr>
      <w:r>
        <w:rPr>
          <w:rFonts w:hint="eastAsia"/>
        </w:rPr>
        <w:t>b.保护对象为水生生物、候鸟的自然保护区，应科学划定航行区域，航行船舶实行合理的限速、限航、低噪音、禁鸣、禁排管理，禁止过驳作业、合理选择航道养护方式，确保保护对象安全。</w:t>
      </w:r>
    </w:p>
    <w:p>
      <w:pPr>
        <w:pStyle w:val="6"/>
        <w:ind w:firstLine="480"/>
        <w:rPr>
          <w:rFonts w:hint="eastAsia"/>
        </w:rPr>
      </w:pPr>
      <w:r>
        <w:rPr>
          <w:rFonts w:hint="eastAsia"/>
        </w:rPr>
        <w:t>c.保护对象为迁徙、洄游、繁育野生动物的自然保护区，在野生动物非栖息季节，可以适度开展不影响自然保护区生态功能的有限人为活动。</w:t>
      </w:r>
    </w:p>
    <w:p>
      <w:pPr>
        <w:pStyle w:val="6"/>
        <w:ind w:firstLine="480"/>
        <w:rPr>
          <w:rFonts w:hint="eastAsia"/>
        </w:rPr>
      </w:pPr>
      <w:r>
        <w:rPr>
          <w:rFonts w:hint="eastAsia"/>
        </w:rPr>
        <w:t>d.保护对象位于地下的自然遗迹类自然保护区，可以适度开展不影响地下遗迹保护的人为活动。</w:t>
      </w:r>
    </w:p>
    <w:p>
      <w:pPr>
        <w:pStyle w:val="6"/>
        <w:ind w:firstLine="480"/>
        <w:rPr>
          <w:rFonts w:hint="eastAsia"/>
        </w:rPr>
      </w:pPr>
      <w:r>
        <w:rPr>
          <w:rFonts w:hint="eastAsia"/>
        </w:rPr>
        <w:t>④暂时不能搬迁的原住居民，可以有过渡期。过渡期内在不扩大现有建设用地和耕地规模的情况下，允许修缮生产生活以及供水设施，保留生活必需的少量种植、放牧、捕捞、养殖等活动。</w:t>
      </w:r>
    </w:p>
    <w:p>
      <w:pPr>
        <w:pStyle w:val="6"/>
        <w:ind w:firstLine="480"/>
        <w:rPr>
          <w:rFonts w:hint="eastAsia"/>
        </w:rPr>
      </w:pPr>
      <w:r>
        <w:rPr>
          <w:rFonts w:hint="eastAsia"/>
        </w:rPr>
        <w:t>⑤已有合法线性基础设施和供水等涉及民生的基础设施的运行和维护，以及经批准采取隧道或桥梁等方式（地面或水面无修筑设施）穿越或跨越的线性基础设施，必要的航道基础设施建设、河势控制、河道整治等活动。</w:t>
      </w:r>
    </w:p>
    <w:p>
      <w:pPr>
        <w:pStyle w:val="6"/>
        <w:ind w:firstLine="480"/>
        <w:rPr>
          <w:rFonts w:hint="eastAsia"/>
        </w:rPr>
      </w:pPr>
      <w:r>
        <w:rPr>
          <w:rFonts w:hint="eastAsia"/>
        </w:rPr>
        <w:t>⑥已依法设立的铀矿矿业权勘查开采；已依法设立的油气探矿权勘查活动；已依法设立的矿泉水、地热采矿权不扩大生产规模、不新增生产设施，到期后有序退出；其他矿业权停止勘查开采活动。</w:t>
      </w:r>
    </w:p>
    <w:p>
      <w:pPr>
        <w:pStyle w:val="6"/>
        <w:ind w:firstLine="480"/>
        <w:rPr>
          <w:rFonts w:hint="eastAsia"/>
        </w:rPr>
      </w:pPr>
      <w:r>
        <w:rPr>
          <w:rFonts w:hint="eastAsia"/>
        </w:rPr>
        <w:t>⑦根据我国相关法律法规和与邻国签署的国界管理制度协定（条约）开展的边界通视道清理以及界务工程的修建、维护和拆除工作；根据中央统一部署在未定界地区开展旨在加强管控和反蚕食斗争的各种活动。</w:t>
      </w:r>
    </w:p>
    <w:p>
      <w:pPr>
        <w:pStyle w:val="6"/>
        <w:ind w:firstLine="482"/>
        <w:rPr>
          <w:rFonts w:hint="eastAsia"/>
        </w:rPr>
      </w:pPr>
      <w:r>
        <w:rPr>
          <w:rFonts w:hint="eastAsia"/>
          <w:b/>
          <w:bCs/>
        </w:rPr>
        <w:t>2、</w:t>
      </w:r>
      <w:r>
        <w:rPr>
          <w:rFonts w:hint="eastAsia"/>
        </w:rPr>
        <w:t>生态保护红线内，除满足国家特殊战略需要的有关活动外，自然保护地核心保护区以外的其它区域严格原则上禁止开发性、生产性建设活动。仅允许以下对生态功能不造成破坏的有限人为活动：</w:t>
      </w:r>
    </w:p>
    <w:p>
      <w:pPr>
        <w:pStyle w:val="6"/>
        <w:ind w:firstLine="480"/>
        <w:rPr>
          <w:rFonts w:hint="eastAsia"/>
        </w:rPr>
      </w:pPr>
      <w:r>
        <w:rPr>
          <w:rFonts w:hint="eastAsia"/>
        </w:rPr>
        <w:t>①核心保护区允许开展的活动；</w:t>
      </w:r>
    </w:p>
    <w:p>
      <w:pPr>
        <w:pStyle w:val="6"/>
        <w:ind w:firstLine="480"/>
        <w:rPr>
          <w:rFonts w:hint="eastAsia"/>
        </w:rPr>
      </w:pPr>
      <w:r>
        <w:rPr>
          <w:rFonts w:hint="eastAsia"/>
        </w:rPr>
        <w:t>②零星的原住居民在不扩大现有建设用地和耕地规模前提下，允许修缮生产生活设施，保留生活必需种植、放牧、捕捞、养殖等活动。</w:t>
      </w:r>
    </w:p>
    <w:p>
      <w:pPr>
        <w:pStyle w:val="6"/>
        <w:ind w:firstLine="480"/>
        <w:rPr>
          <w:rFonts w:hint="eastAsia"/>
        </w:rPr>
      </w:pPr>
      <w:r>
        <w:rPr>
          <w:rFonts w:hint="eastAsia"/>
        </w:rPr>
        <w:t>③自然资源、生态环境监测和执法，包括水文水资源监测和涉水违法事件的查处等，灾害风险监测、灾害防治活动。</w:t>
      </w:r>
    </w:p>
    <w:p>
      <w:pPr>
        <w:pStyle w:val="6"/>
        <w:ind w:firstLine="480"/>
        <w:rPr>
          <w:rFonts w:hint="eastAsia"/>
        </w:rPr>
      </w:pPr>
      <w:r>
        <w:rPr>
          <w:rFonts w:hint="eastAsia"/>
        </w:rPr>
        <w:t>④经依法批准进行的非破坏性科学研究观测、标本采集。</w:t>
      </w:r>
    </w:p>
    <w:p>
      <w:pPr>
        <w:pStyle w:val="6"/>
        <w:ind w:firstLine="480"/>
        <w:rPr>
          <w:rFonts w:hint="eastAsia"/>
        </w:rPr>
      </w:pPr>
      <w:r>
        <w:rPr>
          <w:rFonts w:hint="eastAsia"/>
        </w:rPr>
        <w:t>⑤经依法批准的考古调查发掘和文物保护活动。</w:t>
      </w:r>
    </w:p>
    <w:p>
      <w:pPr>
        <w:pStyle w:val="6"/>
        <w:ind w:firstLine="482"/>
        <w:rPr>
          <w:rFonts w:hint="eastAsia"/>
          <w:b/>
          <w:bCs/>
        </w:rPr>
      </w:pPr>
      <w:r>
        <w:rPr>
          <w:rFonts w:hint="eastAsia"/>
          <w:b/>
          <w:bCs/>
        </w:rPr>
        <w:t>⑥适度的参观旅游及相关的必要公共设施建设。</w:t>
      </w:r>
    </w:p>
    <w:p>
      <w:pPr>
        <w:pStyle w:val="6"/>
        <w:ind w:firstLine="480"/>
        <w:rPr>
          <w:rFonts w:hint="eastAsia"/>
        </w:rPr>
      </w:pPr>
      <w:r>
        <w:rPr>
          <w:rFonts w:hint="eastAsia"/>
        </w:rPr>
        <w:t>⑦必须且无法避让、符合县级以上国土空间规划的线性基础设施建设、防洪和供水设施建设与运行维护；已有的合法水利、交通运输等设施运行和维护。</w:t>
      </w:r>
    </w:p>
    <w:p>
      <w:pPr>
        <w:pStyle w:val="6"/>
        <w:ind w:firstLine="480"/>
        <w:rPr>
          <w:rFonts w:hint="eastAsia"/>
        </w:rPr>
      </w:pPr>
      <w:r>
        <w:rPr>
          <w:rFonts w:hint="eastAsia"/>
        </w:rPr>
        <w:t>⑧战略性矿产资源基础地质调查和矿产远景调查等公益性工作；已依法设立的油气采矿权在不扩大生产区域范围，以及矿泉水、地热采矿权在不扩大生产规模、不新增生产设施的条件下，继续开采活动；其他矿业权停止勘查开采活动。</w:t>
      </w:r>
    </w:p>
    <w:p>
      <w:pPr>
        <w:pStyle w:val="6"/>
        <w:ind w:firstLine="480"/>
        <w:rPr>
          <w:rFonts w:hint="eastAsia"/>
        </w:rPr>
      </w:pPr>
      <w:r>
        <w:rPr>
          <w:rFonts w:hint="eastAsia"/>
        </w:rPr>
        <w:t>⑨确实难以避让的军事设施建设项目及重大军事演训活动。</w:t>
      </w:r>
    </w:p>
    <w:p>
      <w:pPr>
        <w:pStyle w:val="6"/>
        <w:ind w:firstLine="482"/>
        <w:rPr>
          <w:b/>
          <w:bCs/>
        </w:rPr>
      </w:pPr>
      <w:r>
        <w:rPr>
          <w:b/>
          <w:bCs/>
        </w:rPr>
        <w:t>3</w:t>
      </w:r>
      <w:r>
        <w:rPr>
          <w:rFonts w:hint="eastAsia"/>
          <w:b/>
          <w:bCs/>
        </w:rPr>
        <w:t>、符合性分析</w:t>
      </w:r>
    </w:p>
    <w:p>
      <w:pPr>
        <w:pStyle w:val="6"/>
        <w:ind w:firstLine="480"/>
      </w:pPr>
      <w:r>
        <w:rPr>
          <w:rFonts w:hint="eastAsia"/>
        </w:rPr>
        <w:t>（1）本次规划涉及生态红线的项目</w:t>
      </w:r>
    </w:p>
    <w:p>
      <w:pPr>
        <w:pStyle w:val="6"/>
        <w:ind w:firstLine="480"/>
        <w:rPr>
          <w:rFonts w:hint="eastAsia"/>
          <w:lang w:bidi="ar"/>
        </w:rPr>
      </w:pPr>
      <w:r>
        <w:t>由于本次规划的项目属于概念</w:t>
      </w:r>
      <w:r>
        <w:rPr>
          <w:rFonts w:hint="eastAsia"/>
        </w:rPr>
        <w:t>性，且规划内容较为宏观；旅游资源为示意点位，无具体项目空间矢量分布；本次环评只能根据初步叠图分析，筛选出以下项目位于林芝市生态红线范围内，具体</w:t>
      </w:r>
      <w:r>
        <w:rPr>
          <w:rFonts w:hint="eastAsia"/>
          <w:lang w:bidi="ar"/>
        </w:rPr>
        <w:t>情况见表2.2-22。</w:t>
      </w:r>
    </w:p>
    <w:p>
      <w:pPr>
        <w:pStyle w:val="27"/>
        <w:bidi w:val="0"/>
        <w:rPr>
          <w:rFonts w:hint="eastAsia"/>
          <w:highlight w:val="none"/>
          <w:lang w:val="en-US" w:eastAsia="zh-CN"/>
        </w:rPr>
      </w:pPr>
      <w:r>
        <w:rPr>
          <w:rFonts w:hint="eastAsia"/>
          <w:highlight w:val="none"/>
          <w:lang w:val="en-US" w:eastAsia="zh-CN"/>
        </w:rPr>
        <w:t>表2.2-22  本次旅游规划项目与生态红线分布关系</w:t>
      </w:r>
    </w:p>
    <w:tbl>
      <w:tblPr>
        <w:tblStyle w:val="25"/>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3187"/>
        <w:gridCol w:w="4272"/>
        <w:gridCol w:w="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604"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bCs/>
                <w:kern w:val="2"/>
                <w:sz w:val="21"/>
                <w:szCs w:val="24"/>
                <w:highlight w:val="none"/>
                <w:lang w:val="en-US" w:eastAsia="zh-CN" w:bidi="ar-SA"/>
              </w:rPr>
            </w:pPr>
            <w:r>
              <w:rPr>
                <w:rFonts w:hint="eastAsia"/>
                <w:b/>
                <w:bCs/>
                <w:highlight w:val="none"/>
                <w:lang w:val="en-US" w:eastAsia="zh-CN"/>
              </w:rPr>
              <w:t>行政区域</w:t>
            </w:r>
          </w:p>
        </w:tc>
        <w:tc>
          <w:tcPr>
            <w:tcW w:w="1873" w:type="pct"/>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kern w:val="2"/>
                <w:sz w:val="21"/>
                <w:szCs w:val="24"/>
                <w:highlight w:val="none"/>
                <w:lang w:val="en-US" w:eastAsia="zh-CN" w:bidi="ar-SA"/>
              </w:rPr>
            </w:pPr>
            <w:r>
              <w:rPr>
                <w:rFonts w:hint="eastAsia"/>
                <w:b/>
                <w:bCs/>
                <w:highlight w:val="none"/>
                <w:lang w:val="en-US" w:eastAsia="zh-CN"/>
              </w:rPr>
              <w:t>景点名称</w:t>
            </w:r>
          </w:p>
        </w:tc>
        <w:tc>
          <w:tcPr>
            <w:tcW w:w="2522" w:type="pct"/>
            <w:gridSpan w:val="2"/>
            <w:vAlign w:val="center"/>
          </w:tcPr>
          <w:p>
            <w:pPr>
              <w:pStyle w:val="29"/>
              <w:keepNext w:val="0"/>
              <w:keepLines w:val="0"/>
              <w:suppressLineNumbers w:val="0"/>
              <w:bidi w:val="0"/>
              <w:spacing w:before="0" w:beforeAutospacing="0" w:after="0" w:afterAutospacing="0"/>
              <w:ind w:left="0" w:right="0"/>
              <w:rPr>
                <w:rFonts w:hint="default" w:eastAsia="宋体"/>
                <w:b/>
                <w:bCs/>
                <w:highlight w:val="none"/>
                <w:lang w:val="en-US" w:eastAsia="zh-CN"/>
              </w:rPr>
            </w:pPr>
            <w:r>
              <w:rPr>
                <w:rFonts w:hint="eastAsia"/>
                <w:b/>
                <w:bCs/>
              </w:rPr>
              <w:t>生态红线类型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restart"/>
            <w:vAlign w:val="center"/>
          </w:tcPr>
          <w:p>
            <w:pPr>
              <w:pStyle w:val="29"/>
              <w:keepNext w:val="0"/>
              <w:keepLines w:val="0"/>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墨脱县</w:t>
            </w: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德兴民俗村</w:t>
            </w:r>
          </w:p>
        </w:tc>
        <w:tc>
          <w:tcPr>
            <w:tcW w:w="2522" w:type="pct"/>
            <w:gridSpan w:val="2"/>
            <w:vMerge w:val="restart"/>
            <w:vAlign w:val="center"/>
          </w:tcPr>
          <w:p>
            <w:pPr>
              <w:pStyle w:val="29"/>
              <w:keepNext w:val="0"/>
              <w:keepLines w:val="0"/>
              <w:suppressLineNumbers w:val="0"/>
              <w:bidi w:val="0"/>
              <w:spacing w:before="0" w:beforeAutospacing="0" w:after="0" w:afterAutospacing="0"/>
              <w:ind w:left="0" w:right="0"/>
              <w:jc w:val="center"/>
              <w:rPr>
                <w:rFonts w:hint="eastAsia"/>
                <w:highlight w:val="none"/>
              </w:rPr>
            </w:pPr>
            <w:r>
              <w:rPr>
                <w:rFonts w:hint="eastAsia"/>
                <w:highlight w:val="none"/>
                <w:lang w:val="en-US" w:eastAsia="zh-CN"/>
              </w:rPr>
              <w:t>西藏</w:t>
            </w:r>
            <w:r>
              <w:rPr>
                <w:rFonts w:hint="eastAsia"/>
                <w:highlight w:val="none"/>
              </w:rPr>
              <w:t>雅鲁藏布大峡谷国家</w:t>
            </w:r>
            <w:r>
              <w:rPr>
                <w:rFonts w:hint="eastAsia"/>
                <w:highlight w:val="none"/>
                <w:lang w:val="en-US" w:eastAsia="zh-CN"/>
              </w:rPr>
              <w:t>自然保护区</w:t>
            </w:r>
          </w:p>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仁青崩寺</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莲花阁</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布裙湖风景区</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派墨徒步路线</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背崩徒步站</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背崩村</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restart"/>
            <w:vAlign w:val="center"/>
          </w:tcPr>
          <w:p>
            <w:pPr>
              <w:pStyle w:val="29"/>
              <w:keepNext w:val="0"/>
              <w:keepLines w:val="0"/>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米林县</w:t>
            </w: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雅鲁藏布大峡谷景区</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派镇</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丹娘乡</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highlight w:val="none"/>
              </w:rPr>
            </w:pPr>
            <w:r>
              <w:rPr>
                <w:rFonts w:hint="eastAsia"/>
                <w:highlight w:val="none"/>
              </w:rPr>
              <w:t>羌纳乡</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restart"/>
            <w:vAlign w:val="center"/>
          </w:tcPr>
          <w:p>
            <w:pPr>
              <w:pStyle w:val="29"/>
              <w:keepNext w:val="0"/>
              <w:keepLines w:val="0"/>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波密</w:t>
            </w: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岗云杉林</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波堆桃花谷</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嘎朗国家湿地公园</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嘎朗村</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古乡</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易贡国家地质公园</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易贡湖</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易贡茶场</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铁山</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十英雄纪念碑</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易贡国家级地质公园</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kern w:val="2"/>
                <w:sz w:val="21"/>
                <w:szCs w:val="24"/>
                <w:highlight w:val="none"/>
                <w:lang w:val="en-US" w:eastAsia="zh-CN" w:bidi="ar-SA"/>
              </w:rPr>
            </w:pPr>
            <w:r>
              <w:rPr>
                <w:rFonts w:hint="eastAsia"/>
                <w:b w:val="0"/>
                <w:bCs w:val="0"/>
                <w:color w:val="auto"/>
                <w:highlight w:val="none"/>
                <w:lang w:val="en-US" w:eastAsia="zh-CN"/>
              </w:rPr>
              <w:t>岗云杉林景区</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4" w:type="pct"/>
            <w:vAlign w:val="center"/>
          </w:tcPr>
          <w:p>
            <w:pPr>
              <w:pStyle w:val="29"/>
              <w:keepNext w:val="0"/>
              <w:keepLines w:val="0"/>
              <w:suppressLineNumbers w:val="0"/>
              <w:bidi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察隅县</w:t>
            </w:r>
          </w:p>
        </w:tc>
        <w:tc>
          <w:tcPr>
            <w:tcW w:w="1873"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慈巴沟旅游区</w:t>
            </w:r>
          </w:p>
        </w:tc>
        <w:tc>
          <w:tcPr>
            <w:tcW w:w="2522" w:type="pct"/>
            <w:gridSpan w:val="2"/>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r>
              <w:rPr>
                <w:rFonts w:hint="eastAsia"/>
                <w:color w:val="auto"/>
                <w:highlight w:val="none"/>
                <w:lang w:val="en-US" w:eastAsia="zh-CN"/>
              </w:rPr>
              <w:t>西藏察隅慈巴沟国家级自然保护区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4" w:type="pct"/>
            <w:vMerge w:val="restar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米林县</w:t>
            </w: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南伊沟景区</w:t>
            </w:r>
          </w:p>
        </w:tc>
        <w:tc>
          <w:tcPr>
            <w:tcW w:w="2522" w:type="pct"/>
            <w:gridSpan w:val="2"/>
            <w:vMerge w:val="restart"/>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lang w:val="en-US" w:eastAsia="zh-CN"/>
              </w:rPr>
            </w:pPr>
            <w:r>
              <w:rPr>
                <w:rFonts w:hint="eastAsia"/>
                <w:b w:val="0"/>
                <w:bCs w:val="0"/>
                <w:color w:val="auto"/>
                <w:highlight w:val="none"/>
                <w:lang w:val="en-US" w:eastAsia="zh-CN"/>
              </w:rPr>
              <w:t>西藏工布自然保护区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扎贡沟景区</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南伊洛巴民族乡</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才召民俗村、</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4" w:type="pct"/>
            <w:vMerge w:val="continue"/>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琼林珞巴民族村</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eastAsia"/>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trPr>
        <w:tc>
          <w:tcPr>
            <w:tcW w:w="604" w:type="pct"/>
            <w:vAlign w:val="center"/>
          </w:tcPr>
          <w:p>
            <w:pPr>
              <w:pStyle w:val="29"/>
              <w:keepNext w:val="0"/>
              <w:keepLines w:val="0"/>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巴宜区</w:t>
            </w:r>
          </w:p>
        </w:tc>
        <w:tc>
          <w:tcPr>
            <w:tcW w:w="1873" w:type="pct"/>
            <w:vAlign w:val="center"/>
          </w:tcPr>
          <w:p>
            <w:pPr>
              <w:pStyle w:val="29"/>
              <w:keepNext w:val="0"/>
              <w:keepLines w:val="0"/>
              <w:suppressLineNumbers w:val="0"/>
              <w:bidi w:val="0"/>
              <w:spacing w:before="0" w:beforeAutospacing="0" w:after="0" w:afterAutospacing="0"/>
              <w:ind w:left="0" w:right="0"/>
              <w:jc w:val="center"/>
              <w:rPr>
                <w:rFonts w:hint="eastAsia"/>
                <w:highlight w:val="none"/>
                <w:lang w:val="en-US" w:eastAsia="zh-CN"/>
              </w:rPr>
            </w:pPr>
            <w:r>
              <w:rPr>
                <w:rFonts w:hint="eastAsia"/>
                <w:highlight w:val="none"/>
                <w:lang w:val="en-US" w:eastAsia="zh-CN"/>
              </w:rPr>
              <w:t>雅尼国家湿地公园</w:t>
            </w:r>
          </w:p>
        </w:tc>
        <w:tc>
          <w:tcPr>
            <w:tcW w:w="2510" w:type="pct"/>
            <w:vAlign w:val="center"/>
          </w:tcPr>
          <w:p>
            <w:pPr>
              <w:pStyle w:val="29"/>
              <w:keepNext w:val="0"/>
              <w:keepLines w:val="0"/>
              <w:suppressLineNumbers w:val="0"/>
              <w:bidi w:val="0"/>
              <w:spacing w:before="0" w:beforeAutospacing="0" w:after="0" w:afterAutospacing="0"/>
              <w:ind w:left="0" w:right="0"/>
              <w:jc w:val="center"/>
              <w:rPr>
                <w:rFonts w:hint="default" w:eastAsia="宋体"/>
                <w:highlight w:val="none"/>
                <w:lang w:val="en-US" w:eastAsia="zh-CN"/>
              </w:rPr>
            </w:pPr>
            <w:r>
              <w:rPr>
                <w:rFonts w:hint="eastAsia"/>
                <w:highlight w:val="none"/>
              </w:rPr>
              <w:t>西藏</w:t>
            </w:r>
            <w:r>
              <w:rPr>
                <w:rFonts w:hint="eastAsia"/>
                <w:highlight w:val="none"/>
                <w:lang w:val="en-US" w:eastAsia="zh-CN"/>
              </w:rPr>
              <w:t>雅尼国家湿地公园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restart"/>
            <w:vAlign w:val="center"/>
          </w:tcPr>
          <w:p>
            <w:pPr>
              <w:pStyle w:val="29"/>
              <w:keepNext w:val="0"/>
              <w:keepLines w:val="0"/>
              <w:suppressLineNumbers w:val="0"/>
              <w:bidi w:val="0"/>
              <w:spacing w:before="0" w:beforeAutospacing="0" w:after="0" w:afterAutospacing="0"/>
              <w:ind w:left="0" w:right="0"/>
              <w:jc w:val="center"/>
              <w:rPr>
                <w:rFonts w:hint="default"/>
                <w:highlight w:val="none"/>
              </w:rPr>
            </w:pPr>
            <w:r>
              <w:rPr>
                <w:rFonts w:hint="eastAsia"/>
                <w:highlight w:val="none"/>
                <w:lang w:val="en-US" w:eastAsia="zh-CN"/>
              </w:rPr>
              <w:t>波密县</w:t>
            </w: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嘎朗国家湿地公园</w:t>
            </w:r>
          </w:p>
        </w:tc>
        <w:tc>
          <w:tcPr>
            <w:tcW w:w="2522" w:type="pct"/>
            <w:gridSpan w:val="2"/>
            <w:vMerge w:val="restart"/>
            <w:vAlign w:val="center"/>
          </w:tcPr>
          <w:p>
            <w:pPr>
              <w:pStyle w:val="29"/>
              <w:keepNext w:val="0"/>
              <w:keepLines w:val="0"/>
              <w:suppressLineNumbers w:val="0"/>
              <w:bidi w:val="0"/>
              <w:spacing w:before="0" w:beforeAutospacing="0" w:after="0" w:afterAutospacing="0"/>
              <w:ind w:left="0" w:right="0"/>
              <w:jc w:val="center"/>
              <w:rPr>
                <w:rFonts w:hint="default"/>
                <w:highlight w:val="none"/>
              </w:rPr>
            </w:pPr>
            <w:r>
              <w:rPr>
                <w:rFonts w:hint="eastAsia"/>
                <w:highlight w:val="none"/>
              </w:rPr>
              <w:t>西藏</w:t>
            </w:r>
            <w:r>
              <w:rPr>
                <w:rFonts w:hint="eastAsia"/>
                <w:highlight w:val="none"/>
                <w:lang w:val="en-US" w:eastAsia="zh-CN"/>
              </w:rPr>
              <w:t>嘎朗国家湿地公园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jc w:val="center"/>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嘎朗村</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vAlign w:val="center"/>
          </w:tcPr>
          <w:p>
            <w:pPr>
              <w:pStyle w:val="29"/>
              <w:keepNext w:val="0"/>
              <w:keepLines w:val="0"/>
              <w:suppressLineNumbers w:val="0"/>
              <w:bidi w:val="0"/>
              <w:spacing w:before="0" w:beforeAutospacing="0" w:after="0" w:afterAutospacing="0"/>
              <w:ind w:left="0" w:right="0"/>
              <w:jc w:val="center"/>
              <w:rPr>
                <w:rFonts w:hint="eastAsia"/>
                <w:highlight w:val="none"/>
                <w:lang w:val="en-US" w:eastAsia="zh-CN"/>
              </w:rPr>
            </w:pPr>
          </w:p>
        </w:tc>
        <w:tc>
          <w:tcPr>
            <w:tcW w:w="1873" w:type="pc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rPr>
              <w:t>古乡</w:t>
            </w:r>
          </w:p>
        </w:tc>
        <w:tc>
          <w:tcPr>
            <w:tcW w:w="2522" w:type="pct"/>
            <w:gridSpan w:val="2"/>
            <w:vMerge w:val="continue"/>
            <w:vAlign w:val="center"/>
          </w:tcPr>
          <w:p>
            <w:pPr>
              <w:pStyle w:val="29"/>
              <w:keepNext w:val="0"/>
              <w:keepLines w:val="0"/>
              <w:suppressLineNumbers w:val="0"/>
              <w:bidi w:val="0"/>
              <w:spacing w:before="0" w:beforeAutospacing="0" w:after="0" w:afterAutospacing="0"/>
              <w:ind w:left="0" w:right="0"/>
              <w:jc w:val="center"/>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restart"/>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kern w:val="2"/>
                <w:sz w:val="21"/>
                <w:szCs w:val="24"/>
                <w:highlight w:val="none"/>
                <w:lang w:val="en-US" w:eastAsia="zh-CN" w:bidi="ar-SA"/>
              </w:rPr>
            </w:pPr>
            <w:r>
              <w:rPr>
                <w:rFonts w:hint="eastAsia"/>
                <w:highlight w:val="none"/>
                <w:lang w:val="en-US" w:eastAsia="zh-CN"/>
              </w:rPr>
              <w:t>工布江达</w:t>
            </w:r>
          </w:p>
        </w:tc>
        <w:tc>
          <w:tcPr>
            <w:tcW w:w="1873"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巴松措景区</w:t>
            </w:r>
          </w:p>
        </w:tc>
        <w:tc>
          <w:tcPr>
            <w:tcW w:w="2522" w:type="pct"/>
            <w:gridSpan w:val="2"/>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kern w:val="2"/>
                <w:sz w:val="21"/>
                <w:szCs w:val="24"/>
                <w:highlight w:val="none"/>
                <w:lang w:val="en-US" w:eastAsia="zh-CN" w:bidi="ar-SA"/>
              </w:rPr>
            </w:pPr>
            <w:r>
              <w:rPr>
                <w:rFonts w:hint="eastAsia"/>
                <w:highlight w:val="none"/>
              </w:rPr>
              <w:t>西藏巴松湖国家森林公园</w:t>
            </w:r>
            <w:r>
              <w:rPr>
                <w:rFonts w:hint="eastAsia"/>
                <w:highlight w:val="none"/>
                <w:lang w:eastAsia="zh-CN"/>
              </w:rPr>
              <w:t>、</w:t>
            </w:r>
            <w:r>
              <w:rPr>
                <w:rFonts w:hint="eastAsia"/>
                <w:highlight w:val="none"/>
              </w:rPr>
              <w:t>西藏</w:t>
            </w:r>
            <w:r>
              <w:rPr>
                <w:rFonts w:hint="eastAsia"/>
                <w:highlight w:val="none"/>
                <w:lang w:eastAsia="zh-CN"/>
              </w:rPr>
              <w:t>朱拉河国家湿地公园、</w:t>
            </w:r>
            <w:r>
              <w:rPr>
                <w:rFonts w:hint="eastAsia"/>
                <w:highlight w:val="none"/>
              </w:rPr>
              <w:t>西藏</w:t>
            </w:r>
            <w:r>
              <w:rPr>
                <w:rFonts w:hint="eastAsia"/>
                <w:highlight w:val="none"/>
                <w:lang w:val="en-US" w:eastAsia="zh-CN"/>
              </w:rPr>
              <w:t>工布自然保护实验区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Merge w:val="continue"/>
          </w:tcPr>
          <w:p>
            <w:pPr>
              <w:pStyle w:val="29"/>
              <w:keepNext w:val="0"/>
              <w:keepLines w:val="0"/>
              <w:suppressLineNumbers w:val="0"/>
              <w:bidi w:val="0"/>
              <w:spacing w:before="0" w:beforeAutospacing="0" w:after="0" w:afterAutospacing="0"/>
              <w:ind w:left="0" w:right="0"/>
              <w:jc w:val="center"/>
              <w:rPr>
                <w:rFonts w:hint="default"/>
                <w:highlight w:val="none"/>
                <w:lang w:val="en-US" w:eastAsia="zh-CN"/>
              </w:rPr>
            </w:pPr>
          </w:p>
        </w:tc>
        <w:tc>
          <w:tcPr>
            <w:tcW w:w="1873" w:type="pct"/>
            <w:vAlign w:val="center"/>
          </w:tcPr>
          <w:p>
            <w:pPr>
              <w:pStyle w:val="29"/>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朱拉河国家湿地公园</w:t>
            </w:r>
          </w:p>
        </w:tc>
        <w:tc>
          <w:tcPr>
            <w:tcW w:w="2522" w:type="pct"/>
            <w:gridSpan w:val="2"/>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kern w:val="2"/>
                <w:sz w:val="21"/>
                <w:szCs w:val="24"/>
                <w:highlight w:val="none"/>
                <w:lang w:val="en-US" w:eastAsia="zh-CN" w:bidi="ar-SA"/>
              </w:rPr>
            </w:pPr>
            <w:r>
              <w:rPr>
                <w:rFonts w:hint="eastAsia"/>
                <w:highlight w:val="none"/>
                <w:lang w:val="en-US" w:eastAsia="zh-CN"/>
              </w:rPr>
              <w:t>西藏朱拉河国家湿地公园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4" w:type="pct"/>
            <w:vAlign w:val="center"/>
          </w:tcPr>
          <w:p>
            <w:pPr>
              <w:pStyle w:val="29"/>
              <w:keepNext w:val="0"/>
              <w:keepLines w:val="0"/>
              <w:suppressLineNumbers w:val="0"/>
              <w:bidi w:val="0"/>
              <w:spacing w:before="0" w:beforeAutospacing="0" w:after="0" w:afterAutospacing="0"/>
              <w:ind w:left="0" w:right="0"/>
              <w:jc w:val="center"/>
              <w:rPr>
                <w:rFonts w:hint="default"/>
                <w:highlight w:val="none"/>
                <w:lang w:val="en-US" w:eastAsia="zh-CN"/>
              </w:rPr>
            </w:pPr>
            <w:r>
              <w:rPr>
                <w:rFonts w:hint="eastAsia"/>
                <w:highlight w:val="none"/>
                <w:lang w:val="en-US" w:eastAsia="zh-CN"/>
              </w:rPr>
              <w:t>巴宜区</w:t>
            </w:r>
          </w:p>
        </w:tc>
        <w:tc>
          <w:tcPr>
            <w:tcW w:w="1873" w:type="pct"/>
            <w:vAlign w:val="center"/>
          </w:tcPr>
          <w:p>
            <w:pPr>
              <w:pStyle w:val="29"/>
              <w:keepNext w:val="0"/>
              <w:keepLines w:val="0"/>
              <w:suppressLineNumbers w:val="0"/>
              <w:bidi w:val="0"/>
              <w:spacing w:before="0" w:beforeAutospacing="0" w:after="0" w:afterAutospacing="0"/>
              <w:ind w:left="0" w:right="0"/>
              <w:jc w:val="center"/>
              <w:rPr>
                <w:rFonts w:hint="eastAsia"/>
                <w:highlight w:val="none"/>
                <w:lang w:val="en-US" w:eastAsia="zh-CN"/>
              </w:rPr>
            </w:pPr>
            <w:r>
              <w:rPr>
                <w:rFonts w:hint="eastAsia"/>
                <w:highlight w:val="none"/>
              </w:rPr>
              <w:t>措木及日景区</w:t>
            </w:r>
          </w:p>
        </w:tc>
        <w:tc>
          <w:tcPr>
            <w:tcW w:w="2522" w:type="pct"/>
            <w:gridSpan w:val="2"/>
            <w:vAlign w:val="center"/>
          </w:tcPr>
          <w:p>
            <w:pPr>
              <w:pStyle w:val="29"/>
              <w:keepNext w:val="0"/>
              <w:keepLines w:val="0"/>
              <w:suppressLineNumbers w:val="0"/>
              <w:bidi w:val="0"/>
              <w:spacing w:before="0" w:beforeAutospacing="0" w:after="0" w:afterAutospacing="0"/>
              <w:ind w:left="0" w:right="0"/>
              <w:jc w:val="center"/>
              <w:rPr>
                <w:rFonts w:hint="eastAsia"/>
                <w:highlight w:val="none"/>
                <w:lang w:val="en-US" w:eastAsia="zh-CN"/>
              </w:rPr>
            </w:pPr>
            <w:r>
              <w:rPr>
                <w:rFonts w:hint="eastAsia"/>
                <w:highlight w:val="none"/>
                <w:lang w:val="en-US" w:eastAsia="zh-CN"/>
              </w:rPr>
              <w:t>西藏比日神山国家森林公园</w:t>
            </w:r>
          </w:p>
        </w:tc>
      </w:tr>
    </w:tbl>
    <w:p>
      <w:pPr>
        <w:pStyle w:val="6"/>
        <w:ind w:firstLine="480"/>
        <w:rPr>
          <w:color w:val="2A26F7"/>
        </w:rPr>
      </w:pPr>
      <w:r>
        <w:rPr>
          <w:rFonts w:hint="eastAsia"/>
          <w:color w:val="2A26F7"/>
          <w:highlight w:val="none"/>
        </w:rPr>
        <w:t>通过初步叠图分析，拟进行的旅游资源项目可能与生态保护红线存在重叠区域，详见附图</w:t>
      </w:r>
      <w:r>
        <w:rPr>
          <w:rFonts w:hint="eastAsia"/>
          <w:color w:val="2A26F7"/>
          <w:highlight w:val="none"/>
          <w:lang w:val="en-US" w:eastAsia="zh-CN"/>
        </w:rPr>
        <w:t>15</w:t>
      </w:r>
      <w:r>
        <w:rPr>
          <w:rFonts w:hint="eastAsia"/>
          <w:color w:val="2A26F7"/>
          <w:highlight w:val="none"/>
        </w:rPr>
        <w:t>。除岗云杉林景区、世界柏树王园林景区涉及自然保护区核心区及缓冲区外，其余规划项目只涉及自然保护区试验区。目前岗云杉林景区、世</w:t>
      </w:r>
      <w:r>
        <w:rPr>
          <w:rFonts w:hint="eastAsia"/>
          <w:color w:val="2A26F7"/>
        </w:rPr>
        <w:t>界柏树王园林景区正在进行整改，已关闭核心区及缓冲区的游览设施，不对游客进行开放。</w:t>
      </w:r>
    </w:p>
    <w:p>
      <w:pPr>
        <w:pStyle w:val="6"/>
        <w:ind w:firstLine="480"/>
        <w:rPr>
          <w:rFonts w:hint="eastAsia"/>
          <w:color w:val="2A26F7"/>
        </w:rPr>
      </w:pPr>
      <w:r>
        <w:rPr>
          <w:rFonts w:hint="eastAsia"/>
          <w:color w:val="2A26F7"/>
        </w:rPr>
        <w:t>由于本次的旅游资源为示意点位，叠图分析时可能存在一定误差，后续规划实施过程中旅游资源基础设施具体实施选址落地也存在差异，最终可能会影响叠图判断，因此项目实际落地时建议与生态保护红线勘界核实。</w:t>
      </w:r>
    </w:p>
    <w:p>
      <w:pPr>
        <w:pStyle w:val="6"/>
        <w:ind w:firstLine="480"/>
        <w:rPr>
          <w:rFonts w:hint="eastAsia"/>
          <w:color w:val="2A26F7"/>
        </w:rPr>
      </w:pPr>
      <w:r>
        <w:rPr>
          <w:rFonts w:hint="eastAsia"/>
          <w:color w:val="2A26F7"/>
        </w:rPr>
        <w:t>根据生态空间管控要求：“自然保护地核心保护区以外的其它区域严格原则上禁止开发性、生产性建设活动；可允许适度的参观旅游及相关的必要公共设施建设”。经叠图分析及2.2.5章节与保护区规划协调性分析可知，</w:t>
      </w:r>
      <w:r>
        <w:rPr>
          <w:rFonts w:hint="eastAsia"/>
          <w:b w:val="0"/>
          <w:bCs w:val="0"/>
          <w:color w:val="1A15F1"/>
          <w:lang w:val="en-US" w:eastAsia="zh-CN"/>
        </w:rPr>
        <w:t>“林芝市全域旅游发展规划（2018~2025年）”规划范围</w:t>
      </w:r>
      <w:r>
        <w:rPr>
          <w:rFonts w:hint="eastAsia"/>
          <w:color w:val="2A26F7"/>
        </w:rPr>
        <w:t>基于自然保护区试验区，仅在自然保护区实验区开展对生态功能不造成破坏为前提的旅游活动。</w:t>
      </w:r>
    </w:p>
    <w:p>
      <w:pPr>
        <w:pStyle w:val="6"/>
        <w:ind w:firstLine="480"/>
        <w:rPr>
          <w:rFonts w:hint="eastAsia"/>
          <w:color w:val="2A26F7"/>
        </w:rPr>
      </w:pPr>
      <w:r>
        <w:rPr>
          <w:rFonts w:hint="eastAsia"/>
          <w:color w:val="2A26F7"/>
        </w:rPr>
        <w:t>故</w:t>
      </w:r>
      <w:r>
        <w:rPr>
          <w:rFonts w:hint="eastAsia"/>
          <w:color w:val="00B050"/>
          <w:lang w:val="en-US" w:eastAsia="zh-CN"/>
        </w:rPr>
        <w:t>“林芝市全域旅游发展规划（2018~2025年）”</w:t>
      </w:r>
      <w:r>
        <w:rPr>
          <w:rFonts w:hint="eastAsia"/>
          <w:color w:val="2A26F7"/>
        </w:rPr>
        <w:t>与林芝市生态红线不冲突。</w:t>
      </w:r>
    </w:p>
    <w:p>
      <w:pPr>
        <w:pStyle w:val="2"/>
        <w:bidi w:val="0"/>
        <w:rPr>
          <w:rFonts w:hint="eastAsia"/>
          <w:color w:val="auto"/>
          <w:highlight w:val="none"/>
        </w:rPr>
      </w:pPr>
      <w:r>
        <w:rPr>
          <w:rFonts w:hint="eastAsia"/>
          <w:color w:val="auto"/>
          <w:highlight w:val="none"/>
        </w:rPr>
        <w:t>2.2.</w:t>
      </w:r>
      <w:r>
        <w:rPr>
          <w:rFonts w:hint="eastAsia"/>
          <w:color w:val="auto"/>
          <w:highlight w:val="none"/>
          <w:lang w:val="en-US" w:eastAsia="zh-CN"/>
        </w:rPr>
        <w:t>6</w:t>
      </w:r>
      <w:r>
        <w:rPr>
          <w:rFonts w:hint="eastAsia"/>
          <w:color w:val="auto"/>
          <w:highlight w:val="none"/>
        </w:rPr>
        <w:t>.3与</w:t>
      </w:r>
      <w:r>
        <w:rPr>
          <w:rFonts w:hint="eastAsia"/>
          <w:color w:val="auto"/>
          <w:highlight w:val="none"/>
          <w:lang w:eastAsia="zh-CN"/>
        </w:rPr>
        <w:t>《</w:t>
      </w:r>
      <w:r>
        <w:rPr>
          <w:rFonts w:hint="eastAsia"/>
          <w:color w:val="auto"/>
          <w:highlight w:val="none"/>
          <w:lang w:val="en-US" w:eastAsia="zh-CN"/>
        </w:rPr>
        <w:t>林芝市“三线一单”生态环境分区管控实施意见</w:t>
      </w:r>
      <w:r>
        <w:rPr>
          <w:rFonts w:hint="eastAsia"/>
          <w:color w:val="auto"/>
          <w:highlight w:val="none"/>
          <w:lang w:eastAsia="zh-CN"/>
        </w:rPr>
        <w:t>》</w:t>
      </w:r>
      <w:r>
        <w:rPr>
          <w:rFonts w:hint="eastAsia"/>
          <w:color w:val="auto"/>
          <w:highlight w:val="none"/>
        </w:rPr>
        <w:t>符合性分析</w:t>
      </w:r>
    </w:p>
    <w:p>
      <w:pPr>
        <w:pStyle w:val="6"/>
        <w:bidi w:val="0"/>
        <w:rPr>
          <w:rFonts w:hint="default"/>
          <w:b/>
          <w:bCs/>
          <w:color w:val="auto"/>
          <w:highlight w:val="none"/>
          <w:lang w:val="en-US" w:eastAsia="zh-CN"/>
        </w:rPr>
      </w:pPr>
      <w:r>
        <w:rPr>
          <w:rFonts w:hint="eastAsia"/>
          <w:b/>
          <w:bCs/>
          <w:color w:val="auto"/>
          <w:highlight w:val="none"/>
          <w:lang w:val="en-US" w:eastAsia="zh-CN"/>
        </w:rPr>
        <w:t>1、相关内容</w:t>
      </w:r>
    </w:p>
    <w:p>
      <w:pPr>
        <w:pStyle w:val="6"/>
        <w:bidi w:val="0"/>
        <w:rPr>
          <w:rFonts w:hint="eastAsia"/>
          <w:color w:val="auto"/>
          <w:highlight w:val="none"/>
          <w:lang w:val="en-US" w:eastAsia="zh-CN"/>
        </w:rPr>
      </w:pPr>
      <w:r>
        <w:rPr>
          <w:rFonts w:hint="eastAsia"/>
          <w:color w:val="auto"/>
          <w:highlight w:val="none"/>
          <w:lang w:val="en-US" w:eastAsia="zh-CN"/>
        </w:rPr>
        <w:t>为全面落实中共中央、国务院关于全面加强生态环境保护坚决打好污染防治攻坚战的意见，深入贯彻中央第七次西藏工作座谈会有关要求，推进生态环境治理体系和治理能力现代化，打造生态文明高地，推动高质量发展，根据《关于扎实推进地市级“三线一单”发布和实施的紧急通知》（藏环函〔2021〕86号）的要求，林芝市现就推动“生态保护红线、环境质量底线、资源利用上线和生态环境准入清单”（以下统称“三线一单”）落地，实施生态环境分区管控。</w:t>
      </w:r>
    </w:p>
    <w:p>
      <w:pPr>
        <w:pStyle w:val="6"/>
        <w:bidi w:val="0"/>
        <w:rPr>
          <w:b/>
          <w:bCs/>
          <w:highlight w:val="none"/>
        </w:rPr>
      </w:pPr>
      <w:r>
        <w:rPr>
          <w:rFonts w:hint="eastAsia"/>
          <w:b/>
          <w:bCs/>
          <w:highlight w:val="none"/>
        </w:rPr>
        <w:t>（1）环境管控单元划分</w:t>
      </w:r>
    </w:p>
    <w:p>
      <w:pPr>
        <w:pStyle w:val="6"/>
        <w:bidi w:val="0"/>
        <w:rPr>
          <w:highlight w:val="none"/>
        </w:rPr>
      </w:pPr>
      <w:r>
        <w:rPr>
          <w:rFonts w:hint="eastAsia"/>
          <w:highlight w:val="none"/>
        </w:rPr>
        <w:t>林芝市位于西藏自治区三大生态区域中的藏东南和藏东生态区，立足林芝市自然环境特征、发展定位及突出的生态环境问题，从生态环境保护角度划分为优先保护、重点管控和一般管控三类环境管控单元。全市共划定环境管控单元73个。</w:t>
      </w:r>
    </w:p>
    <w:p>
      <w:pPr>
        <w:pStyle w:val="6"/>
        <w:bidi w:val="0"/>
        <w:rPr>
          <w:highlight w:val="none"/>
        </w:rPr>
      </w:pPr>
      <w:r>
        <w:rPr>
          <w:rFonts w:hint="eastAsia"/>
          <w:b/>
          <w:bCs/>
          <w:highlight w:val="none"/>
        </w:rPr>
        <w:t>优先保护单元</w:t>
      </w:r>
      <w:r>
        <w:rPr>
          <w:rFonts w:hint="eastAsia"/>
          <w:highlight w:val="none"/>
        </w:rPr>
        <w:t>共计41个，面积为10.596万平方公里，占全市总面积的92.78%。主要包括生态保护红线、自然保护地、饮用水水源地、湖泊、湿地、水产种质资源保护区、冰川（源头水）以及生态功能重要和生态环境敏感脆弱的区域等。</w:t>
      </w:r>
      <w:r>
        <w:rPr>
          <w:rFonts w:hint="eastAsia"/>
          <w:b/>
          <w:bCs/>
          <w:highlight w:val="none"/>
        </w:rPr>
        <w:t>重点管控单元</w:t>
      </w:r>
      <w:r>
        <w:rPr>
          <w:rFonts w:hint="eastAsia"/>
          <w:highlight w:val="none"/>
        </w:rPr>
        <w:t>共计18个，面积为0.043万平方公里，占全市总面积的0.38%。主要涉及到人口密集、资源开发强度大或污染物排放强度高的城镇空间、产业园区、重点矿区、人文为主旅游景区、水能开发河段等。</w:t>
      </w:r>
      <w:r>
        <w:rPr>
          <w:rFonts w:hint="eastAsia"/>
          <w:b/>
          <w:bCs/>
          <w:highlight w:val="none"/>
        </w:rPr>
        <w:t>一般管控单元</w:t>
      </w:r>
      <w:r>
        <w:rPr>
          <w:rFonts w:hint="eastAsia"/>
          <w:highlight w:val="none"/>
        </w:rPr>
        <w:t>共计14个，面积为0.782万平方公里，占全市总面积的6.84%。包括除优先保护单元和重点管控单元外的区域，执行区域生态环境保护的基本要求。其中，永久基本农田等农牧区在空间上纳入一般管控区，单独提出管控要求。</w:t>
      </w:r>
    </w:p>
    <w:p>
      <w:pPr>
        <w:pStyle w:val="6"/>
        <w:bidi w:val="0"/>
        <w:rPr>
          <w:rFonts w:hint="eastAsia"/>
          <w:b/>
          <w:bCs/>
          <w:color w:val="auto"/>
          <w:highlight w:val="none"/>
          <w:lang w:val="en-US" w:eastAsia="zh-CN"/>
        </w:rPr>
      </w:pPr>
      <w:r>
        <w:rPr>
          <w:rFonts w:hint="eastAsia"/>
          <w:b/>
          <w:bCs/>
          <w:color w:val="auto"/>
          <w:highlight w:val="none"/>
          <w:lang w:val="en-US" w:eastAsia="zh-CN"/>
        </w:rPr>
        <w:t>（2）生态环境准入清单制定</w:t>
      </w:r>
    </w:p>
    <w:p>
      <w:pPr>
        <w:pStyle w:val="6"/>
        <w:bidi w:val="0"/>
        <w:rPr>
          <w:rFonts w:hint="eastAsia"/>
          <w:color w:val="auto"/>
          <w:highlight w:val="none"/>
          <w:lang w:val="en-US" w:eastAsia="zh-CN"/>
        </w:rPr>
      </w:pPr>
      <w:r>
        <w:rPr>
          <w:rFonts w:hint="eastAsia"/>
          <w:color w:val="auto"/>
          <w:highlight w:val="none"/>
          <w:lang w:val="en-US" w:eastAsia="zh-CN"/>
        </w:rPr>
        <w:t>结合区域重点环境问题，从空间布局约束、污染物排放管控、环境风险防控和资源利用效率4个维度，建立“1+N”生态环境准入清单体系。“1”为全市总体生态环境准入清单。“N”为73个环境管控单元的生态环境准入清单。</w:t>
      </w:r>
    </w:p>
    <w:p>
      <w:pPr>
        <w:pStyle w:val="6"/>
        <w:bidi w:val="0"/>
        <w:rPr>
          <w:rFonts w:hint="eastAsia"/>
          <w:color w:val="auto"/>
          <w:highlight w:val="none"/>
          <w:lang w:val="en-US" w:eastAsia="zh-CN"/>
        </w:rPr>
      </w:pPr>
      <w:r>
        <w:rPr>
          <w:rFonts w:hint="eastAsia"/>
          <w:color w:val="auto"/>
          <w:highlight w:val="none"/>
          <w:lang w:val="en-US" w:eastAsia="zh-CN"/>
        </w:rPr>
        <w:t>优先保护单元是指包括生态保护红线、一般生态空间、水环境优先保护区、大气环境优先保护区等在内的以生态环境保护为主的区域，应以生态环境保护优先为原则，加强生态系统治理与修复，严格执行相关法律、法规要求，严守生态保护红线和生态环境质量底线，依法禁止或限制大规模、高强度的工业和城镇开发建设，确保生态环境功能不降低。</w:t>
      </w:r>
    </w:p>
    <w:p>
      <w:pPr>
        <w:pStyle w:val="6"/>
        <w:bidi w:val="0"/>
        <w:rPr>
          <w:rFonts w:hint="eastAsia"/>
          <w:color w:val="auto"/>
          <w:highlight w:val="none"/>
          <w:lang w:val="en-US" w:eastAsia="zh-CN"/>
        </w:rPr>
      </w:pPr>
      <w:r>
        <w:rPr>
          <w:rFonts w:hint="eastAsia"/>
          <w:color w:val="auto"/>
          <w:highlight w:val="none"/>
          <w:lang w:val="en-US" w:eastAsia="zh-CN"/>
        </w:rPr>
        <w:t>重点管控单元是指涉及水、大气、土壤、自然资源等资源环境要素重点管控的区域，应以守住环境质量底线为重点，聚焦区域内主要生态环境问题，严控人类活动、优化开发布局与强度，不断提升资源利用效率，有针对性地加强污染物排放控制和环境风险防控。一般管控单元是指除优先保护单元和重点管控单元之外的其他区域，主要落实生态环境保护基本要求，执行国家、自治区及市级相关规定。</w:t>
      </w:r>
    </w:p>
    <w:p>
      <w:pPr>
        <w:pStyle w:val="6"/>
        <w:bidi w:val="0"/>
        <w:rPr>
          <w:rFonts w:hint="default"/>
          <w:b/>
          <w:bCs/>
          <w:color w:val="auto"/>
          <w:highlight w:val="none"/>
          <w:lang w:val="en-US" w:eastAsia="zh-CN"/>
        </w:rPr>
      </w:pPr>
      <w:r>
        <w:rPr>
          <w:rFonts w:hint="eastAsia"/>
          <w:b/>
          <w:bCs/>
          <w:color w:val="auto"/>
          <w:highlight w:val="none"/>
          <w:lang w:val="en-US" w:eastAsia="zh-CN"/>
        </w:rPr>
        <w:t>2、符合性分析</w:t>
      </w:r>
    </w:p>
    <w:p>
      <w:pPr>
        <w:pStyle w:val="6"/>
        <w:bidi w:val="0"/>
        <w:rPr>
          <w:rFonts w:hint="eastAsia"/>
          <w:b/>
          <w:bCs/>
          <w:color w:val="auto"/>
          <w:highlight w:val="none"/>
        </w:rPr>
      </w:pPr>
      <w:r>
        <w:rPr>
          <w:rFonts w:hint="eastAsia"/>
          <w:b/>
          <w:bCs/>
          <w:color w:val="auto"/>
          <w:highlight w:val="none"/>
        </w:rPr>
        <w:t>（1）本次规划与</w:t>
      </w:r>
      <w:r>
        <w:rPr>
          <w:rFonts w:hint="eastAsia"/>
          <w:b/>
          <w:bCs/>
          <w:color w:val="auto"/>
          <w:highlight w:val="none"/>
          <w:lang w:val="en-US" w:eastAsia="zh-CN"/>
        </w:rPr>
        <w:t>林芝市</w:t>
      </w:r>
      <w:r>
        <w:rPr>
          <w:rFonts w:hint="eastAsia"/>
          <w:b/>
          <w:bCs/>
          <w:color w:val="auto"/>
          <w:highlight w:val="none"/>
        </w:rPr>
        <w:t>生态环境管控总体要求符合性分析</w:t>
      </w:r>
    </w:p>
    <w:p>
      <w:pPr>
        <w:pStyle w:val="6"/>
        <w:bidi w:val="0"/>
        <w:rPr>
          <w:rFonts w:hint="eastAsia"/>
          <w:color w:val="auto"/>
          <w:highlight w:val="none"/>
        </w:rPr>
      </w:pPr>
      <w:r>
        <w:rPr>
          <w:rFonts w:hint="eastAsia"/>
          <w:color w:val="auto"/>
          <w:highlight w:val="none"/>
        </w:rPr>
        <w:t>本次规划与</w:t>
      </w:r>
      <w:r>
        <w:rPr>
          <w:rFonts w:hint="eastAsia"/>
          <w:color w:val="auto"/>
          <w:highlight w:val="none"/>
          <w:lang w:val="en-US" w:eastAsia="zh-CN"/>
        </w:rPr>
        <w:t>林芝市</w:t>
      </w:r>
      <w:r>
        <w:rPr>
          <w:rFonts w:hint="eastAsia"/>
          <w:color w:val="auto"/>
          <w:highlight w:val="none"/>
        </w:rPr>
        <w:t>生态环境管控总体要求分析对照见表</w:t>
      </w:r>
      <w:r>
        <w:rPr>
          <w:rFonts w:hint="eastAsia"/>
          <w:color w:val="auto"/>
          <w:highlight w:val="none"/>
          <w:lang w:val="en-US" w:eastAsia="zh-CN"/>
        </w:rPr>
        <w:t>2.2-23</w:t>
      </w:r>
      <w:r>
        <w:rPr>
          <w:rFonts w:hint="eastAsia"/>
          <w:color w:val="auto"/>
          <w:highlight w:val="none"/>
        </w:rPr>
        <w:t>。</w:t>
      </w:r>
    </w:p>
    <w:p>
      <w:pPr>
        <w:pStyle w:val="6"/>
        <w:bidi w:val="0"/>
        <w:rPr>
          <w:rFonts w:hint="eastAsia"/>
          <w:color w:val="auto"/>
          <w:highlight w:val="none"/>
        </w:rPr>
        <w:sectPr>
          <w:pgSz w:w="11906" w:h="16838"/>
          <w:pgMar w:top="1440" w:right="1800" w:bottom="1440" w:left="1800" w:header="851" w:footer="992" w:gutter="0"/>
          <w:pgNumType w:fmt="decimal"/>
          <w:cols w:space="425" w:num="1"/>
          <w:docGrid w:type="lines" w:linePitch="312" w:charSpace="0"/>
        </w:sectPr>
      </w:pPr>
    </w:p>
    <w:p>
      <w:pPr>
        <w:pStyle w:val="27"/>
        <w:bidi w:val="0"/>
        <w:rPr>
          <w:rFonts w:hint="default"/>
          <w:highlight w:val="none"/>
          <w:lang w:val="en-US" w:eastAsia="zh-CN"/>
        </w:rPr>
      </w:pPr>
      <w:r>
        <w:rPr>
          <w:rFonts w:hint="eastAsia"/>
          <w:highlight w:val="none"/>
          <w:lang w:val="en-US" w:eastAsia="zh-CN"/>
        </w:rPr>
        <w:t xml:space="preserve">表2.2-23  </w:t>
      </w:r>
      <w:r>
        <w:rPr>
          <w:rFonts w:hint="eastAsia"/>
          <w:highlight w:val="none"/>
        </w:rPr>
        <w:t>本次规划与</w:t>
      </w:r>
      <w:r>
        <w:rPr>
          <w:rFonts w:hint="eastAsia"/>
          <w:highlight w:val="none"/>
          <w:lang w:val="en-US" w:eastAsia="zh-CN"/>
        </w:rPr>
        <w:t>林芝市</w:t>
      </w:r>
      <w:r>
        <w:rPr>
          <w:rFonts w:hint="eastAsia"/>
          <w:highlight w:val="none"/>
        </w:rPr>
        <w:t>生态环境管控总体要求分析对照见表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527"/>
        <w:gridCol w:w="1006"/>
        <w:gridCol w:w="7890"/>
        <w:gridCol w:w="3966"/>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blHeader/>
        </w:trPr>
        <w:tc>
          <w:tcPr>
            <w:tcW w:w="541" w:type="pct"/>
            <w:gridSpan w:val="2"/>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b/>
                <w:bCs/>
                <w:highlight w:val="none"/>
              </w:rPr>
            </w:pPr>
            <w:r>
              <w:rPr>
                <w:rFonts w:hint="eastAsia"/>
                <w:b/>
                <w:bCs/>
                <w:highlight w:val="none"/>
              </w:rPr>
              <w:t>管控类别</w:t>
            </w: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b/>
                <w:bCs/>
                <w:highlight w:val="none"/>
              </w:rPr>
            </w:pPr>
            <w:r>
              <w:rPr>
                <w:rFonts w:hint="eastAsia"/>
                <w:b/>
                <w:bCs/>
                <w:highlight w:val="none"/>
              </w:rPr>
              <w:t>管控要求</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b/>
                <w:bCs/>
                <w:highlight w:val="none"/>
                <w:lang w:val="en-US" w:eastAsia="zh-CN"/>
              </w:rPr>
            </w:pPr>
            <w:r>
              <w:rPr>
                <w:rFonts w:hint="eastAsia"/>
                <w:b/>
                <w:bCs/>
                <w:highlight w:val="none"/>
              </w:rPr>
              <w:t>规划内容</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b/>
                <w:bCs/>
                <w:highlight w:val="none"/>
                <w:lang w:val="en-US" w:eastAsia="zh-CN"/>
              </w:rPr>
            </w:pPr>
            <w:r>
              <w:rPr>
                <w:rFonts w:hint="eastAsia"/>
                <w:b/>
                <w:bCs/>
                <w:highlight w:val="none"/>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restar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空间布局约束</w:t>
            </w:r>
          </w:p>
        </w:tc>
        <w:tc>
          <w:tcPr>
            <w:tcW w:w="355" w:type="pct"/>
            <w:vMerge w:val="restar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禁止开发建设的活动</w:t>
            </w: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禁止新建、扩建《产业结构调整指导目录》明确的淘汰类项目。禁止引入《市场准入负面清单》禁止准入类事项。引进项目应符合园区规划及规划环评和区域产业准入要求。</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本次规划建设项目</w:t>
            </w:r>
            <w:r>
              <w:rPr>
                <w:rFonts w:hint="eastAsia"/>
                <w:highlight w:val="none"/>
                <w:lang w:val="en-US" w:eastAsia="zh-CN"/>
              </w:rPr>
              <w:t>符合</w:t>
            </w:r>
            <w:r>
              <w:rPr>
                <w:rFonts w:hint="eastAsia"/>
                <w:highlight w:val="none"/>
              </w:rPr>
              <w:t>《产业结构调整指导目录》</w:t>
            </w:r>
            <w:r>
              <w:rPr>
                <w:rFonts w:hint="eastAsia"/>
                <w:highlight w:val="none"/>
                <w:lang w:eastAsia="zh-CN"/>
              </w:rPr>
              <w:t>、</w:t>
            </w:r>
            <w:r>
              <w:rPr>
                <w:rFonts w:hint="eastAsia"/>
                <w:highlight w:val="none"/>
              </w:rPr>
              <w:t>《市场准入负面清单》</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严禁高耗能、高污染和高排放项目进入林芝市，持续做好落后产能淘汰工作，严防反弹。</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本次规划项目为旅游业，不涉及“两高”项目</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城镇建设、工矿企业开发活动禁止侵占雅尼国家级湿地自然公园、雅鲁藏布大峡谷国家级自然保护区、慈巴沟国家级自然保护区、色季拉国家级森林自然公园等保护地，旅游开发活动禁止侵占保护区核心区。涉及源头水保护区的区域禁止进行不利于水资源及生态保护的开发利用活动。</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spacing w:before="0" w:beforeAutospacing="0" w:after="0" w:afterAutospacing="0"/>
              <w:ind w:left="0" w:right="0"/>
              <w:rPr>
                <w:rFonts w:hint="eastAsia" w:ascii="Times New Roman" w:hAnsi="Times New Roman" w:eastAsia="宋体" w:cs="Times New Roman"/>
                <w:color w:val="2A26F7"/>
                <w:kern w:val="2"/>
                <w:sz w:val="21"/>
                <w:szCs w:val="24"/>
                <w:lang w:val="en-US" w:eastAsia="zh-CN" w:bidi="ar-SA"/>
              </w:rPr>
            </w:pPr>
            <w:r>
              <w:rPr>
                <w:rFonts w:hint="eastAsia"/>
                <w:color w:val="2A26F7"/>
              </w:rPr>
              <w:t>本次规划为旅游规划，不涉及工矿企业</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生态保护红线内，自然保护地核心保护区原则上禁止人为活动，其他区域严格禁止开发性、生产性建设活动，在符合现行法律法规前提下，除国家重大战略项目外，仅允许对生态功能不造成破坏的有限人为活动。</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4"/>
                <w:lang w:val="en-US" w:eastAsia="zh-CN" w:bidi="ar-SA"/>
              </w:rPr>
            </w:pPr>
            <w:r>
              <w:rPr>
                <w:rFonts w:hint="eastAsia"/>
                <w:color w:val="2A26F7"/>
              </w:rPr>
              <w:t>通过叠图分析，本次规划的部分项目与生态红线有重叠，但不涉及自然保护地核心保护区，后续规划实施过程中，项目实际落地应与生态保护红线勘界核实，</w:t>
            </w:r>
            <w:r>
              <w:rPr>
                <w:rFonts w:hint="default"/>
                <w:color w:val="2A26F7"/>
              </w:rPr>
              <w:t>应严格按照</w:t>
            </w:r>
            <w:r>
              <w:rPr>
                <w:rFonts w:hint="eastAsia"/>
                <w:color w:val="2A26F7"/>
              </w:rPr>
              <w:t>生态保护红线管控要求执行。</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遵守符合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禁止城镇建设侵占尼洋河河道岸线。</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eastAsia="宋体"/>
                <w:highlight w:val="none"/>
                <w:lang w:val="en-US" w:eastAsia="zh-CN"/>
              </w:rPr>
            </w:pPr>
            <w:r>
              <w:rPr>
                <w:rFonts w:hint="eastAsia"/>
                <w:highlight w:val="none"/>
                <w:lang w:val="en-US" w:eastAsia="zh-CN"/>
              </w:rPr>
              <w:t>不涉及</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禁止擅自占用或改变永久基本农田用途。禁止任何破坏基本农田的活动；禁止任何单位和个人占用基本农田。</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本次规划遵循永久基本农田空间管控要求，不占用永久基本农田，在规划实施阶段进一步进行核实，禁止占用永久基本农田。</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遵守符合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禁止新建达不到最低开采规模要求的采矿项目。禁止擅自违法违规外扩采矿作业场范围，严格控制人员活动区域；严格落实环境保护措施和生态恢复治理方案，加强矿区及周边范围内生态环境保护。</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不涉及该行业</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restar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限制开发建设的活动</w:t>
            </w: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严格控制生态脆弱或环境敏感地区以及涉及危险化学品和其他具有重大环境风险建设项目的环评审批。严控城市河段自然岸线开发。</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在规划布局中已尽量避开生态脆弱区，在规划项目实施过程中，新建旅游景区禁止破坏生态环境。</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严格控制不符合各县（区）、产业园区规划主导产业的项目入驻对应区域。</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本次规划不涉及工业园区及工矿企业</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其他布局要求</w:t>
            </w: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促进企业向工业集聚区集中发展，资源集约利用。</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本次规划不涉及工业园区及工矿企业</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restar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不符合空间布局要求活动的退出要求</w:t>
            </w: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列入《产业结构调整指导目录》淘汰类的现状企业，制定调整计划。针对环保治理措施不符合现行环保要求、资源能源消耗高、涉及大量排放区域超标污染物、或持续发生环保投诉的现有企业，制定整治计划。在调整过渡期内，应严格控制其生产规模，禁止新增产生环境污染的产能和产品。</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本次规划不涉及工业园区及工矿企业</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优化重点区域、流域、产业的空间布局。对不符合准入要求的既有项目，依法依规实施整改、退出、搬迁。促进企业向林芝经济开发区等工业集聚区集中发展，资源集约利用。</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本次规划不涉及工业园区及工矿企业</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边境地区建设</w:t>
            </w: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涉边境的项目建设按照国家和自治区相关规定进行管理。在边境建设时应采取相应的防治措施，减少对周边的生态环境影响。</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按照国家和自治区相关规定进行管理</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restar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生态修复工程</w:t>
            </w: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遵循自然恢复为主，人工修复为辅的基本原则，合理布局生态保护修复工程，重点在水土流失、土地沙化等区域因地制宜开展修复治理工程。</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规划项目实施过程中，严格按照上述要求执行</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应充分考虑环境影响和景观影响，科学设计、优化选址选线。合理设置取料场、弃渣场、施工便道和生活营地等临时设施，及时进行生态恢复。</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规划项目实施过程中，严格按照上述要求执行</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通过封山育林、还草等措施，恢复自然植被，提高生态系统的水源涵养及水土保持能力。加强高寒草原生态系统保护，推进天然林保护和退化草地治理工程实施，提高生态系统质量和防护能力。加强高陡山坡流动沙地等重点区域生态安全监控，加强土地沙化和水土流失治理和预防。提升生物多样性维护，加强沙生植被保护。推进实施野生动植物保护及保护区建设工程。维护生物多样性，确保珍稀野生动植物种群数量不减少以及生境不受破坏。开展野生动植物保护及保护区建设、天然草地保护、农牧区传统能源替代以及防沙治沙工程。</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在规划实施过程中不得破坏生态环境，并避免外来物种入侵</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入藏通道周边区域</w:t>
            </w: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禁止单位或者个人侵占铁路建设用地。禁止在铁路地界内建构筑物；禁止在铁路界内设立废旧物品收购站（点）；禁止在铁路界内及周边倾倒建筑（或生活）垃圾、工程渣土、残土、工业废渣；禁止在铁路界内堆放物料、杂品；禁止在规定的区域内挖沙取土，破坏绿化和绿化设施。</w:t>
            </w:r>
          </w:p>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在铁路线路两侧建造、设立生产、加工、储存或者销售易燃、易爆或者放射性物品等危险物品的场所、仓库，应当符合国家标准、行业标准规定的安全防护距离。</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规划不涉及铁路建设用地</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restar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污染物排放管控</w:t>
            </w:r>
          </w:p>
        </w:tc>
        <w:tc>
          <w:tcPr>
            <w:tcW w:w="355" w:type="pct"/>
            <w:vMerge w:val="restar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污染控制措施要求</w:t>
            </w: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加快落后产能淘汰、水泥行业技术改造、燃煤锅炉整治以及扬尘面源治理。氮氧化物减排潜力主要来自清洁能源替代、黄标车淘汰、燃煤锅炉整治。</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不涉及上述行业</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新建有色金属矿产采选禁止选矿废水排放，鼓励有条件的工矿企业实施废水“零”排放；加强现有企业尾矿库、污水处理设施监管。</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不涉及上述行业</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强化生活污水治理，以尾水排放去向确定排放标准，因地制宜选取治理技术及方法，加快污水处理设施建设运行。强化生活垃圾收集处理，推广生活垃圾分类收集处理，从源头减少处理处置量；加快生活垃圾收集处理设施建设、改造，建设、完善</w:t>
            </w:r>
            <w:r>
              <w:rPr>
                <w:rFonts w:hint="default"/>
                <w:highlight w:val="none"/>
              </w:rPr>
              <w:t>“</w:t>
            </w:r>
            <w:r>
              <w:rPr>
                <w:rFonts w:hint="eastAsia"/>
                <w:highlight w:val="none"/>
              </w:rPr>
              <w:t>三防</w:t>
            </w:r>
            <w:r>
              <w:rPr>
                <w:rFonts w:hint="default"/>
                <w:highlight w:val="none"/>
              </w:rPr>
              <w:t>”</w:t>
            </w:r>
            <w:r>
              <w:rPr>
                <w:rFonts w:hint="eastAsia"/>
                <w:highlight w:val="none"/>
              </w:rPr>
              <w:t>设施，避免污染区域地下水。医疗污水排放按照《医疗机构水污染物排放标准》执行。</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规划建设项目应在实施阶段落实排污许可制度，并禁止上述行为，防止对</w:t>
            </w:r>
            <w:r>
              <w:rPr>
                <w:rFonts w:hint="eastAsia"/>
                <w:highlight w:val="none"/>
                <w:lang w:val="en-US" w:eastAsia="zh-CN"/>
              </w:rPr>
              <w:t>地下</w:t>
            </w:r>
            <w:r>
              <w:rPr>
                <w:rFonts w:hint="eastAsia"/>
                <w:highlight w:val="none"/>
              </w:rPr>
              <w:t>水体的污染。</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color w:val="1A15F1"/>
                <w:highlight w:val="none"/>
              </w:rPr>
            </w:pPr>
            <w:r>
              <w:rPr>
                <w:rFonts w:hint="eastAsia"/>
                <w:color w:val="1A15F1"/>
                <w:highlight w:val="none"/>
              </w:rPr>
              <w:t>根据景区最大环境承载量限制接待游客量，保护和合理利用旅游资源，促进旅游业持续健康发展。完善旅游景点污水、垃圾收集处理设施，针对旅游季节性问题，通过配备可移动处理设施或应急处理设施等方式进行处理处置，严控旅游生活污水、垃圾直排。</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color w:val="1A15F1"/>
                <w:highlight w:val="none"/>
              </w:rPr>
            </w:pPr>
            <w:r>
              <w:rPr>
                <w:rFonts w:hint="eastAsia"/>
                <w:color w:val="1A15F1"/>
                <w:highlight w:val="none"/>
              </w:rPr>
              <w:t>规划具体实施过程中，在选址的基础上，通过因地制宜的选择污水收集处理方式，以集中处理为主，不能集中处理的采取分散式定点处理；在规划区内设置与其容纳规模相符的垃圾收集、分类、装运的设施，加强管理，并与属地生活垃圾集中无害化处理单位做好衔接，对产生的垃圾进行分类，并及时清运，对景区内产生的生活垃圾无害化处理率为100%。</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541" w:type="pct"/>
            <w:gridSpan w:val="2"/>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环境风险防控</w:t>
            </w: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制定环境风险应急预案，成立应急组织机构，定期开展环境风险应急演练。三级应急联动方案，强化区域环境风险应急防范能力建设。建设突发环境事件应急物资储备库。</w:t>
            </w:r>
          </w:p>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危险货物运输按照《道路危险货物运输管理规定》执行。</w:t>
            </w:r>
          </w:p>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产生、利用或处置固体废物（含危险废物）的工业企业，在贮存、转移、利用、处置固体废物（含危险废物）过程中，应配套防扬散、防流失、防渗漏及其他防止污染环境的设施，并做好台账记录。</w:t>
            </w:r>
          </w:p>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加强执法监督，逐步实现对重点产业园、重点企业和主要环境风险类型的动态监控。</w:t>
            </w:r>
          </w:p>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加快布局分散的企业向园区集中，按要求设置生态隔离带，建设相应的防护工程。</w:t>
            </w:r>
          </w:p>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强化区域内重金属采选企业监管，严格落实生态恢复治理方案。</w:t>
            </w:r>
          </w:p>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强化沿河水电站监管，强化废油收集、储存、转运处置全过程管控。</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环评建议规划实施后，建议开展应急预案的编制工作，并定期进行预案演练、培训，一旦发生突发环境事件，及时启动应急预案。制定相关计划，定期开展文化、旅游环节中环境风险隐患排查与整治</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3" w:hRule="atLeast"/>
        </w:trPr>
        <w:tc>
          <w:tcPr>
            <w:tcW w:w="186" w:type="pct"/>
            <w:vMerge w:val="restar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资源利用要求</w:t>
            </w:r>
          </w:p>
        </w:tc>
        <w:tc>
          <w:tcPr>
            <w:tcW w:w="35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水资源</w:t>
            </w: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全市用水总量控制指标达到自治区实行最严格水资源管理制度考核要求。</w:t>
            </w:r>
            <w:r>
              <w:rPr>
                <w:rFonts w:hint="default"/>
                <w:highlight w:val="none"/>
              </w:rPr>
              <w:t>2025</w:t>
            </w:r>
            <w:r>
              <w:rPr>
                <w:rFonts w:hint="eastAsia"/>
                <w:highlight w:val="none"/>
              </w:rPr>
              <w:t>年农田灌溉水有效利用系数达到</w:t>
            </w:r>
            <w:r>
              <w:rPr>
                <w:rFonts w:hint="default"/>
                <w:highlight w:val="none"/>
              </w:rPr>
              <w:t>0.455</w:t>
            </w:r>
            <w:r>
              <w:rPr>
                <w:rFonts w:hint="eastAsia"/>
                <w:highlight w:val="none"/>
              </w:rPr>
              <w:t>，万元工业增加值用水量比</w:t>
            </w:r>
            <w:r>
              <w:rPr>
                <w:rFonts w:hint="default"/>
                <w:highlight w:val="none"/>
              </w:rPr>
              <w:t>2020</w:t>
            </w:r>
            <w:r>
              <w:rPr>
                <w:rFonts w:hint="eastAsia"/>
                <w:highlight w:val="none"/>
              </w:rPr>
              <w:t>年进一步下降。</w:t>
            </w:r>
          </w:p>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水能资源：禁止开发类河流（河段）原则上禁止新建和扩建水能资源开发（不含水利项目），除国家安全和保障边民用电、巩固边防需要外。可开发类河流（河段）加大大型水电环保力度，实现梯级联合优化调度，重点保障河流生态流量。保证枯水期流域中下游河段生态用水需求。</w:t>
            </w:r>
          </w:p>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采用新工艺新技术，依靠科技进步提高工业用水的重复利用率，优化区域工业产业结构，淘汰落后的高耗水产业，推进新型节水工业等；旅游用水方面，零售业、住宿业、餐饮业等严格执行《西藏自治区用水定额》要求。</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规划坚持以空间优化、资源节约、绿色生态为基本路径，并遵照相关水资源管理要求、耕地管理要求实施</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186" w:type="pct"/>
            <w:vMerge w:val="continue"/>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35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能源利用</w:t>
            </w:r>
          </w:p>
        </w:tc>
        <w:tc>
          <w:tcPr>
            <w:tcW w:w="2785"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rPr>
              <w:t>2025</w:t>
            </w:r>
            <w:r>
              <w:rPr>
                <w:rFonts w:hint="eastAsia"/>
                <w:highlight w:val="none"/>
              </w:rPr>
              <w:t>年能源消耗强度较</w:t>
            </w:r>
            <w:r>
              <w:rPr>
                <w:rFonts w:hint="default"/>
                <w:highlight w:val="none"/>
              </w:rPr>
              <w:t>2020</w:t>
            </w:r>
            <w:r>
              <w:rPr>
                <w:rFonts w:hint="eastAsia"/>
                <w:highlight w:val="none"/>
              </w:rPr>
              <w:t>年进一步下降，控制在自治区要求的范围内。</w:t>
            </w:r>
            <w:r>
              <w:rPr>
                <w:rFonts w:hint="default"/>
                <w:highlight w:val="none"/>
              </w:rPr>
              <w:t>2025</w:t>
            </w:r>
            <w:r>
              <w:rPr>
                <w:rFonts w:hint="eastAsia"/>
                <w:highlight w:val="none"/>
              </w:rPr>
              <w:t>年、</w:t>
            </w:r>
            <w:r>
              <w:rPr>
                <w:rFonts w:hint="default"/>
                <w:highlight w:val="none"/>
              </w:rPr>
              <w:t>2030</w:t>
            </w:r>
            <w:r>
              <w:rPr>
                <w:rFonts w:hint="eastAsia"/>
                <w:highlight w:val="none"/>
              </w:rPr>
              <w:t>年和</w:t>
            </w:r>
            <w:r>
              <w:rPr>
                <w:rFonts w:hint="default"/>
                <w:highlight w:val="none"/>
              </w:rPr>
              <w:t>2035</w:t>
            </w:r>
            <w:r>
              <w:rPr>
                <w:rFonts w:hint="eastAsia"/>
                <w:highlight w:val="none"/>
              </w:rPr>
              <w:t>年低碳清洁能源和可再生能源比重逐渐增加，能源消费结构更加合理。</w:t>
            </w:r>
          </w:p>
        </w:tc>
        <w:tc>
          <w:tcPr>
            <w:tcW w:w="1400"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rPr>
              <w:t>规划明确指出生态优先，绿色发展原则，将绿色发展全面融入文旅产业发展全过程。通过合理有序开发，加强资源环境保护，推动低碳文旅、绿色消费，实现经济效益、社会效益、生态效益相互促进、共同提升。</w:t>
            </w:r>
          </w:p>
        </w:tc>
        <w:tc>
          <w:tcPr>
            <w:tcW w:w="273" w:type="pct"/>
            <w:shd w:val="clear" w:color="auto" w:fill="auto"/>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符合</w:t>
            </w:r>
          </w:p>
        </w:tc>
      </w:tr>
    </w:tbl>
    <w:p>
      <w:pPr>
        <w:pStyle w:val="6"/>
        <w:bidi w:val="0"/>
        <w:rPr>
          <w:rFonts w:hint="eastAsia"/>
          <w:b/>
          <w:bCs/>
          <w:color w:val="auto"/>
          <w:highlight w:val="none"/>
        </w:rPr>
      </w:pPr>
      <w:r>
        <w:rPr>
          <w:rFonts w:hint="eastAsia"/>
          <w:b/>
          <w:bCs/>
          <w:color w:val="auto"/>
          <w:highlight w:val="none"/>
        </w:rPr>
        <w:t>（2）本次规划与优先保护单元、</w:t>
      </w:r>
      <w:r>
        <w:rPr>
          <w:rFonts w:hint="eastAsia"/>
          <w:b/>
          <w:bCs/>
          <w:color w:val="auto"/>
          <w:highlight w:val="none"/>
          <w:lang w:val="en-US" w:eastAsia="zh-CN"/>
        </w:rPr>
        <w:t>重点管控单元、</w:t>
      </w:r>
      <w:r>
        <w:rPr>
          <w:rFonts w:hint="eastAsia"/>
          <w:b/>
          <w:bCs/>
          <w:color w:val="auto"/>
          <w:highlight w:val="none"/>
        </w:rPr>
        <w:t>一般管控单元生态环境准入清单符合性分析</w:t>
      </w:r>
    </w:p>
    <w:p>
      <w:pPr>
        <w:pStyle w:val="6"/>
        <w:bidi w:val="0"/>
        <w:rPr>
          <w:rFonts w:hint="eastAsia"/>
          <w:color w:val="auto"/>
          <w:highlight w:val="none"/>
        </w:rPr>
      </w:pPr>
      <w:r>
        <w:rPr>
          <w:rFonts w:hint="eastAsia"/>
          <w:color w:val="auto"/>
          <w:highlight w:val="none"/>
        </w:rPr>
        <w:t>本次规划</w:t>
      </w:r>
      <w:r>
        <w:rPr>
          <w:rFonts w:hint="eastAsia"/>
          <w:color w:val="auto"/>
          <w:highlight w:val="none"/>
          <w:lang w:val="en-US" w:eastAsia="zh-CN"/>
        </w:rPr>
        <w:t>为旅游业规划，与林芝市</w:t>
      </w:r>
      <w:r>
        <w:rPr>
          <w:rFonts w:hint="eastAsia"/>
          <w:color w:val="auto"/>
          <w:highlight w:val="none"/>
        </w:rPr>
        <w:t>优先保护单元、</w:t>
      </w:r>
      <w:r>
        <w:rPr>
          <w:rFonts w:hint="eastAsia"/>
          <w:color w:val="auto"/>
          <w:highlight w:val="none"/>
          <w:lang w:val="en-US" w:eastAsia="zh-CN"/>
        </w:rPr>
        <w:t>重点管控单元、</w:t>
      </w:r>
      <w:r>
        <w:rPr>
          <w:rFonts w:hint="eastAsia"/>
          <w:color w:val="auto"/>
          <w:highlight w:val="none"/>
        </w:rPr>
        <w:t>一般管控单元生态环境准入清单分析对照见表</w:t>
      </w:r>
      <w:r>
        <w:rPr>
          <w:rFonts w:hint="eastAsia"/>
          <w:color w:val="auto"/>
          <w:highlight w:val="none"/>
          <w:lang w:val="en-US" w:eastAsia="zh-CN"/>
        </w:rPr>
        <w:t>2.2-24</w:t>
      </w:r>
      <w:r>
        <w:rPr>
          <w:rFonts w:hint="eastAsia"/>
          <w:color w:val="auto"/>
          <w:highlight w:val="none"/>
        </w:rPr>
        <w:t>。</w:t>
      </w:r>
    </w:p>
    <w:p>
      <w:pPr>
        <w:pStyle w:val="27"/>
        <w:bidi w:val="0"/>
        <w:rPr>
          <w:rFonts w:hint="eastAsia"/>
          <w:highlight w:val="none"/>
        </w:rPr>
      </w:pPr>
      <w:r>
        <w:rPr>
          <w:rFonts w:hint="eastAsia"/>
          <w:highlight w:val="none"/>
        </w:rPr>
        <w:t>表</w:t>
      </w:r>
      <w:r>
        <w:rPr>
          <w:rFonts w:hint="eastAsia"/>
          <w:highlight w:val="none"/>
          <w:lang w:val="en-US" w:eastAsia="zh-CN"/>
        </w:rPr>
        <w:t xml:space="preserve">2.2-24 </w:t>
      </w:r>
      <w:r>
        <w:rPr>
          <w:rFonts w:hint="eastAsia"/>
          <w:highlight w:val="none"/>
        </w:rPr>
        <w:t xml:space="preserve"> 本次规划与优先保护单元生态环境准入清单符合性分析对照表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795"/>
        <w:gridCol w:w="1635"/>
        <w:gridCol w:w="1182"/>
        <w:gridCol w:w="6093"/>
        <w:gridCol w:w="3633"/>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blHeader/>
        </w:trPr>
        <w:tc>
          <w:tcPr>
            <w:tcW w:w="28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b/>
                <w:bCs/>
                <w:highlight w:val="none"/>
                <w:lang w:val="en-US" w:eastAsia="zh-CN"/>
              </w:rPr>
            </w:pPr>
            <w:r>
              <w:rPr>
                <w:rFonts w:hint="eastAsia"/>
                <w:b/>
                <w:bCs/>
                <w:highlight w:val="none"/>
                <w:lang w:val="en-US" w:eastAsia="zh-CN"/>
              </w:rPr>
              <w:t>类别</w:t>
            </w: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b/>
                <w:bCs/>
                <w:highlight w:val="none"/>
              </w:rPr>
            </w:pPr>
            <w:r>
              <w:rPr>
                <w:rFonts w:hint="default"/>
                <w:b/>
                <w:bCs/>
                <w:highlight w:val="none"/>
              </w:rPr>
              <w:t>管控区域</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b/>
                <w:bCs/>
                <w:highlight w:val="none"/>
              </w:rPr>
            </w:pPr>
            <w:r>
              <w:rPr>
                <w:rFonts w:hint="default"/>
                <w:b/>
                <w:bCs/>
                <w:highlight w:val="none"/>
              </w:rPr>
              <w:t>管控类型</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b/>
                <w:bCs/>
                <w:highlight w:val="none"/>
              </w:rPr>
            </w:pPr>
            <w:r>
              <w:rPr>
                <w:rFonts w:hint="default"/>
                <w:b/>
                <w:bCs/>
                <w:highlight w:val="none"/>
              </w:rPr>
              <w:t>管控要求</w:t>
            </w:r>
          </w:p>
        </w:tc>
        <w:tc>
          <w:tcPr>
            <w:tcW w:w="1282"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b/>
                <w:bCs/>
                <w:highlight w:val="none"/>
              </w:rPr>
            </w:pPr>
            <w:r>
              <w:rPr>
                <w:rFonts w:hint="eastAsia"/>
                <w:b/>
                <w:bCs/>
                <w:highlight w:val="none"/>
              </w:rPr>
              <w:t>本次规划</w:t>
            </w: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b/>
                <w:bCs/>
                <w:highlight w:val="none"/>
              </w:rPr>
            </w:pPr>
            <w:r>
              <w:rPr>
                <w:rFonts w:hint="eastAsia"/>
                <w:b/>
                <w:bCs/>
                <w:highlight w:val="none"/>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r>
              <w:rPr>
                <w:rFonts w:hint="eastAsia"/>
                <w:highlight w:val="none"/>
                <w:lang w:val="en-US" w:eastAsia="zh-CN"/>
              </w:rPr>
              <w:t>优先保护单元</w:t>
            </w: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lang w:val="en-US" w:eastAsia="zh-CN"/>
              </w:rPr>
              <w:t>1.1</w:t>
            </w:r>
            <w:r>
              <w:rPr>
                <w:rFonts w:hint="default"/>
                <w:highlight w:val="none"/>
              </w:rPr>
              <w:t>自然保护区</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严格执行《中华人民共和国自然保护区条例</w:t>
            </w:r>
            <w:r>
              <w:rPr>
                <w:rFonts w:hint="eastAsia"/>
                <w:highlight w:val="none"/>
              </w:rPr>
              <w:t>（2</w:t>
            </w:r>
            <w:r>
              <w:rPr>
                <w:rFonts w:hint="default"/>
                <w:highlight w:val="none"/>
              </w:rPr>
              <w:t>017</w:t>
            </w:r>
            <w:r>
              <w:rPr>
                <w:rFonts w:hint="eastAsia"/>
                <w:highlight w:val="none"/>
              </w:rPr>
              <w:t>年修订）</w:t>
            </w:r>
            <w:r>
              <w:rPr>
                <w:rFonts w:hint="default"/>
                <w:highlight w:val="none"/>
              </w:rPr>
              <w:t>》</w:t>
            </w:r>
            <w:r>
              <w:rPr>
                <w:rFonts w:hint="eastAsia"/>
                <w:highlight w:val="none"/>
              </w:rPr>
              <w:t>《在国家级自然保护区修筑设施审批管理暂行办法》《关于进一步加强涉及自然保护区开发建设活动监督管理的通知》</w:t>
            </w:r>
            <w:r>
              <w:rPr>
                <w:rFonts w:hint="default"/>
                <w:highlight w:val="none"/>
              </w:rPr>
              <w:t>《关于做好自然保护区范围及功能分区优化调整前期有关工作的函》《西藏自治区实施〈中华人民共和国自然保护区条例〉办法》等。</w:t>
            </w:r>
          </w:p>
        </w:tc>
        <w:tc>
          <w:tcPr>
            <w:tcW w:w="1282"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rPr>
              <w:t>初步判断本次规划中涉及优先保护区</w:t>
            </w:r>
            <w:r>
              <w:rPr>
                <w:rFonts w:hint="eastAsia"/>
                <w:highlight w:val="none"/>
                <w:lang w:val="en-US" w:eastAsia="zh-CN"/>
              </w:rPr>
              <w:t>单元</w:t>
            </w:r>
            <w:r>
              <w:rPr>
                <w:rFonts w:hint="eastAsia"/>
                <w:highlight w:val="none"/>
              </w:rPr>
              <w:t>中的建设项目</w:t>
            </w:r>
            <w:r>
              <w:rPr>
                <w:rFonts w:hint="eastAsia"/>
                <w:highlight w:val="none"/>
                <w:lang w:val="en-US" w:eastAsia="zh-CN"/>
              </w:rPr>
              <w:t>42</w:t>
            </w:r>
            <w:r>
              <w:rPr>
                <w:rFonts w:hint="eastAsia"/>
                <w:highlight w:val="none"/>
              </w:rPr>
              <w:t>个</w:t>
            </w:r>
            <w:r>
              <w:rPr>
                <w:rFonts w:hint="eastAsia"/>
                <w:highlight w:val="none"/>
                <w:lang w:eastAsia="zh-CN"/>
              </w:rPr>
              <w:t>，</w:t>
            </w:r>
            <w:r>
              <w:rPr>
                <w:rFonts w:hint="eastAsia"/>
                <w:highlight w:val="none"/>
              </w:rPr>
              <w:t>见表</w:t>
            </w:r>
            <w:r>
              <w:rPr>
                <w:rFonts w:hint="eastAsia"/>
                <w:highlight w:val="none"/>
                <w:lang w:val="en-US" w:eastAsia="zh-CN"/>
              </w:rPr>
              <w:t>2-33</w:t>
            </w:r>
            <w:r>
              <w:rPr>
                <w:rFonts w:hint="eastAsia"/>
                <w:highlight w:val="none"/>
              </w:rPr>
              <w:t>，并要求所有建设项目实施阶段应进一步落实是否涉及该管控区，这类建设项目涉及各类自然保护地应严格按照</w:t>
            </w:r>
            <w:r>
              <w:rPr>
                <w:rFonts w:hint="default"/>
                <w:highlight w:val="none"/>
              </w:rPr>
              <w:t>《中华人民共和国自然保护区条例》</w:t>
            </w:r>
            <w:r>
              <w:rPr>
                <w:rFonts w:hint="eastAsia"/>
                <w:highlight w:val="none"/>
              </w:rPr>
              <w:t>《在国家级自然保护区修筑设施审批管理暂行办法》《关于进一步加强涉及自然保护区开发建设活动监督管理的通知》</w:t>
            </w:r>
            <w:r>
              <w:rPr>
                <w:rFonts w:hint="default"/>
                <w:highlight w:val="none"/>
              </w:rPr>
              <w:t>《关于做好自然保护区范围及功能分区优化调整前期有关工作的函》《西藏自治区实施〈中华人民共和国自然保护区条例〉办法》</w:t>
            </w:r>
            <w:r>
              <w:rPr>
                <w:rFonts w:hint="eastAsia"/>
                <w:highlight w:val="none"/>
              </w:rPr>
              <w:t>《中华人民共和国水污染防治法》《饮用水水源保护区污染防治管理规定》《西藏自治区饮用水水源环境保护管理办法》</w:t>
            </w:r>
            <w:r>
              <w:rPr>
                <w:rFonts w:hint="default"/>
                <w:highlight w:val="none"/>
              </w:rPr>
              <w:t>《森林公园管理办法》《国家级森林公园管理办法》《风景名胜区条例》</w:t>
            </w:r>
            <w:r>
              <w:rPr>
                <w:rFonts w:hint="eastAsia"/>
                <w:highlight w:val="none"/>
              </w:rPr>
              <w:t>《中华人民共和国渔业法</w:t>
            </w:r>
            <w:r>
              <w:rPr>
                <w:rFonts w:hint="default"/>
                <w:highlight w:val="none"/>
              </w:rPr>
              <w:t>》《水产种质资源保护区管理暂行办法》《地质遗迹保护管理规定》《世界自然遗产、自然与文化双遗产申报和保护管理办法（试行）》《国家湿地公园管理办法》</w:t>
            </w:r>
            <w:r>
              <w:rPr>
                <w:rFonts w:hint="eastAsia"/>
                <w:highlight w:val="none"/>
              </w:rPr>
              <w:t>《湿地保护管理规定</w:t>
            </w:r>
            <w:r>
              <w:rPr>
                <w:rFonts w:hint="default"/>
                <w:highlight w:val="none"/>
              </w:rPr>
              <w:t>》《国家级公益林管理办法》《西藏自治区公益林管护办法》</w:t>
            </w:r>
            <w:r>
              <w:rPr>
                <w:rFonts w:hint="eastAsia"/>
                <w:highlight w:val="none"/>
              </w:rPr>
              <w:t>进行管理。</w:t>
            </w:r>
          </w:p>
        </w:tc>
        <w:tc>
          <w:tcPr>
            <w:tcW w:w="291"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rPr>
              <w:t>符合遵守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lang w:val="en-US" w:eastAsia="zh-CN"/>
              </w:rPr>
              <w:t>1.2</w:t>
            </w:r>
            <w:r>
              <w:rPr>
                <w:rFonts w:hint="default"/>
                <w:highlight w:val="none"/>
              </w:rPr>
              <w:t>饮用水水源保护区</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严格执行《中华人民共和国水污染防治法》《饮用水水源保护区污染防治管理规定</w:t>
            </w:r>
            <w:r>
              <w:rPr>
                <w:rFonts w:hint="eastAsia"/>
                <w:highlight w:val="none"/>
              </w:rPr>
              <w:t>（2</w:t>
            </w:r>
            <w:r>
              <w:rPr>
                <w:rFonts w:hint="default"/>
                <w:highlight w:val="none"/>
              </w:rPr>
              <w:t>010</w:t>
            </w:r>
            <w:r>
              <w:rPr>
                <w:rFonts w:hint="eastAsia"/>
                <w:highlight w:val="none"/>
              </w:rPr>
              <w:t>年修正）</w:t>
            </w:r>
            <w:r>
              <w:rPr>
                <w:rFonts w:hint="default"/>
                <w:highlight w:val="none"/>
              </w:rPr>
              <w:t>》</w:t>
            </w:r>
            <w:r>
              <w:rPr>
                <w:rFonts w:hint="eastAsia"/>
                <w:highlight w:val="none"/>
              </w:rPr>
              <w:t>《西藏自治区饮用水水源环境保护管理办法》</w:t>
            </w:r>
            <w:r>
              <w:rPr>
                <w:rFonts w:hint="default"/>
                <w:highlight w:val="none"/>
              </w:rPr>
              <w:t>等条例。</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c>
          <w:tcPr>
            <w:tcW w:w="29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lang w:val="en-US" w:eastAsia="zh-CN"/>
              </w:rPr>
              <w:t>1.3</w:t>
            </w:r>
            <w:r>
              <w:rPr>
                <w:rFonts w:hint="default"/>
                <w:highlight w:val="none"/>
              </w:rPr>
              <w:t>森林公园</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严格执行《森林公园管理办法</w:t>
            </w:r>
            <w:r>
              <w:rPr>
                <w:rFonts w:hint="eastAsia"/>
                <w:highlight w:val="none"/>
              </w:rPr>
              <w:t>（2</w:t>
            </w:r>
            <w:r>
              <w:rPr>
                <w:rFonts w:hint="default"/>
                <w:highlight w:val="none"/>
              </w:rPr>
              <w:t>016</w:t>
            </w:r>
            <w:r>
              <w:rPr>
                <w:rFonts w:hint="eastAsia"/>
                <w:highlight w:val="none"/>
              </w:rPr>
              <w:t>年修订）</w:t>
            </w:r>
            <w:r>
              <w:rPr>
                <w:rFonts w:hint="default"/>
                <w:highlight w:val="none"/>
              </w:rPr>
              <w:t>》《国家级森林公园管理办法》等。</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c>
          <w:tcPr>
            <w:tcW w:w="29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lang w:val="en-US" w:eastAsia="zh-CN"/>
              </w:rPr>
              <w:t>1.4</w:t>
            </w:r>
            <w:r>
              <w:rPr>
                <w:rFonts w:hint="default"/>
                <w:highlight w:val="none"/>
              </w:rPr>
              <w:t>风景名胜区</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严格执行《风景名胜区条例</w:t>
            </w:r>
            <w:r>
              <w:rPr>
                <w:rFonts w:hint="eastAsia"/>
                <w:highlight w:val="none"/>
              </w:rPr>
              <w:t>（2</w:t>
            </w:r>
            <w:r>
              <w:rPr>
                <w:rFonts w:hint="default"/>
                <w:highlight w:val="none"/>
              </w:rPr>
              <w:t>016</w:t>
            </w:r>
            <w:r>
              <w:rPr>
                <w:rFonts w:hint="eastAsia"/>
                <w:highlight w:val="none"/>
              </w:rPr>
              <w:t>年修订）</w:t>
            </w:r>
            <w:r>
              <w:rPr>
                <w:rFonts w:hint="default"/>
                <w:highlight w:val="none"/>
              </w:rPr>
              <w:t>》等。</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c>
          <w:tcPr>
            <w:tcW w:w="29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lang w:val="en-US" w:eastAsia="zh-CN"/>
              </w:rPr>
              <w:t>1.5</w:t>
            </w:r>
            <w:r>
              <w:rPr>
                <w:rFonts w:hint="default"/>
                <w:highlight w:val="none"/>
              </w:rPr>
              <w:t>水产种质资源保护区</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严格执行</w:t>
            </w:r>
            <w:r>
              <w:rPr>
                <w:rFonts w:hint="eastAsia"/>
                <w:highlight w:val="none"/>
              </w:rPr>
              <w:t>《中华人民共和国渔业法（</w:t>
            </w:r>
            <w:r>
              <w:rPr>
                <w:rFonts w:hint="default"/>
                <w:highlight w:val="none"/>
              </w:rPr>
              <w:t>2013年修</w:t>
            </w:r>
            <w:r>
              <w:rPr>
                <w:rFonts w:hint="eastAsia"/>
                <w:highlight w:val="none"/>
              </w:rPr>
              <w:t>订</w:t>
            </w:r>
            <w:r>
              <w:rPr>
                <w:rFonts w:hint="default"/>
                <w:highlight w:val="none"/>
              </w:rPr>
              <w:t>）》《水产种质资源保护区管理暂行办法</w:t>
            </w:r>
            <w:r>
              <w:rPr>
                <w:rFonts w:hint="eastAsia"/>
                <w:highlight w:val="none"/>
              </w:rPr>
              <w:t>（2</w:t>
            </w:r>
            <w:r>
              <w:rPr>
                <w:rFonts w:hint="default"/>
                <w:highlight w:val="none"/>
              </w:rPr>
              <w:t>016</w:t>
            </w:r>
            <w:r>
              <w:rPr>
                <w:rFonts w:hint="eastAsia"/>
                <w:highlight w:val="none"/>
              </w:rPr>
              <w:t>修订）</w:t>
            </w:r>
            <w:r>
              <w:rPr>
                <w:rFonts w:hint="default"/>
                <w:highlight w:val="none"/>
              </w:rPr>
              <w:t>》等。</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c>
          <w:tcPr>
            <w:tcW w:w="29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lang w:val="en-US" w:eastAsia="zh-CN"/>
              </w:rPr>
              <w:t>1.6</w:t>
            </w:r>
            <w:r>
              <w:rPr>
                <w:rFonts w:hint="default"/>
                <w:highlight w:val="none"/>
              </w:rPr>
              <w:t>地质公园和世界自然遗产地</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严格执行《地质遗迹保护管理规定》《世界自然遗产、自然与文化双遗产申报和保护管理办法（试行）》等。</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c>
          <w:tcPr>
            <w:tcW w:w="29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lang w:val="en-US" w:eastAsia="zh-CN"/>
              </w:rPr>
              <w:t>1.7</w:t>
            </w:r>
            <w:r>
              <w:rPr>
                <w:rFonts w:hint="default"/>
                <w:highlight w:val="none"/>
              </w:rPr>
              <w:t>湿地公园</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严格执行《国家湿地公园管理办法》</w:t>
            </w:r>
            <w:r>
              <w:rPr>
                <w:rFonts w:hint="eastAsia"/>
                <w:highlight w:val="none"/>
              </w:rPr>
              <w:t>《湿地保护管理规定（</w:t>
            </w:r>
            <w:r>
              <w:rPr>
                <w:rFonts w:hint="default"/>
                <w:highlight w:val="none"/>
              </w:rPr>
              <w:t>2017年修</w:t>
            </w:r>
            <w:r>
              <w:rPr>
                <w:rFonts w:hint="eastAsia"/>
                <w:highlight w:val="none"/>
              </w:rPr>
              <w:t>订</w:t>
            </w:r>
            <w:r>
              <w:rPr>
                <w:rFonts w:hint="default"/>
                <w:highlight w:val="none"/>
              </w:rPr>
              <w:t>）》等。</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c>
          <w:tcPr>
            <w:tcW w:w="29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lang w:val="en-US" w:eastAsia="zh-CN"/>
              </w:rPr>
              <w:t>1.8</w:t>
            </w:r>
            <w:r>
              <w:rPr>
                <w:rFonts w:hint="default"/>
                <w:highlight w:val="none"/>
              </w:rPr>
              <w:t>生态公益林</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严格执行《国家级公益林管理办法</w:t>
            </w:r>
            <w:r>
              <w:rPr>
                <w:rFonts w:hint="eastAsia"/>
                <w:highlight w:val="none"/>
              </w:rPr>
              <w:t>（2</w:t>
            </w:r>
            <w:r>
              <w:rPr>
                <w:rFonts w:hint="default"/>
                <w:highlight w:val="none"/>
              </w:rPr>
              <w:t>017</w:t>
            </w:r>
            <w:r>
              <w:rPr>
                <w:rFonts w:hint="eastAsia"/>
                <w:highlight w:val="none"/>
              </w:rPr>
              <w:t>年修订）</w:t>
            </w:r>
            <w:r>
              <w:rPr>
                <w:rFonts w:hint="default"/>
                <w:highlight w:val="none"/>
              </w:rPr>
              <w:t>》《西藏自治区公益林管护办法（试行）》等。</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c>
          <w:tcPr>
            <w:tcW w:w="29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lang w:val="en-US" w:eastAsia="zh-CN"/>
              </w:rPr>
              <w:t>1.9</w:t>
            </w:r>
            <w:r>
              <w:rPr>
                <w:rFonts w:hint="default"/>
                <w:highlight w:val="none"/>
              </w:rPr>
              <w:t>水土保持重要区</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生态保护红线内的生态功能区严格按照《关于在国土空间规划中统筹划定落实三条控制线的指导意见》等相关要求管理。</w:t>
            </w:r>
          </w:p>
          <w:p>
            <w:pPr>
              <w:pStyle w:val="28"/>
              <w:keepNext w:val="0"/>
              <w:keepLines w:val="0"/>
              <w:suppressLineNumbers w:val="0"/>
              <w:bidi w:val="0"/>
              <w:spacing w:beforeAutospacing="0" w:afterAutospacing="0"/>
              <w:ind w:left="0" w:right="0"/>
              <w:rPr>
                <w:rFonts w:hint="default"/>
                <w:highlight w:val="none"/>
              </w:rPr>
            </w:pPr>
            <w:r>
              <w:rPr>
                <w:rFonts w:hint="default"/>
                <w:highlight w:val="none"/>
              </w:rPr>
              <w:t>红线之外的区域原则上按限制开发区域的要求进行管理，严格按照《自然生态空间用途管制办法（试行）》等相关要求管理。在进行各类建设开发活动前，应加强对生物多样性影响的评估，任何开发建设活动不得破坏珍稀野生动植物的</w:t>
            </w:r>
            <w:r>
              <w:rPr>
                <w:rFonts w:hint="eastAsia"/>
                <w:highlight w:val="none"/>
              </w:rPr>
              <w:t>重要栖息地，不得阻隔野生动物的迁徙道路。</w:t>
            </w:r>
          </w:p>
          <w:p>
            <w:pPr>
              <w:pStyle w:val="28"/>
              <w:keepNext w:val="0"/>
              <w:keepLines w:val="0"/>
              <w:suppressLineNumbers w:val="0"/>
              <w:bidi w:val="0"/>
              <w:spacing w:beforeAutospacing="0" w:afterAutospacing="0"/>
              <w:ind w:left="0" w:right="0"/>
              <w:rPr>
                <w:rFonts w:hint="default"/>
                <w:highlight w:val="none"/>
              </w:rPr>
            </w:pPr>
            <w:r>
              <w:rPr>
                <w:rFonts w:hint="default"/>
                <w:highlight w:val="none"/>
              </w:rPr>
              <w:t>允许边境县开展抵边、口岸、小康村、高海拔搬迁迁入地、民生及基础设施</w:t>
            </w:r>
            <w:r>
              <w:rPr>
                <w:rFonts w:hint="eastAsia"/>
                <w:highlight w:val="none"/>
              </w:rPr>
              <w:t>、边防设施</w:t>
            </w:r>
            <w:r>
              <w:rPr>
                <w:rFonts w:hint="default"/>
                <w:highlight w:val="none"/>
              </w:rPr>
              <w:t>等工程的建设，在建设时应采取相应的</w:t>
            </w:r>
            <w:r>
              <w:rPr>
                <w:rFonts w:hint="eastAsia"/>
                <w:highlight w:val="none"/>
              </w:rPr>
              <w:t>防治</w:t>
            </w:r>
            <w:r>
              <w:rPr>
                <w:rFonts w:hint="default"/>
                <w:highlight w:val="none"/>
              </w:rPr>
              <w:t>措施，减少对周边的生态环境影响。</w:t>
            </w:r>
          </w:p>
        </w:tc>
        <w:tc>
          <w:tcPr>
            <w:tcW w:w="1282"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color w:val="2A26F7"/>
              </w:rPr>
              <w:t>通过叠图分析，本次规划的部分项目与生态红线有重叠，但不涉及自然保护地核心保护区，后续规划实施过程中，项目实际落地应与生态保护红线勘界核实，</w:t>
            </w:r>
            <w:r>
              <w:rPr>
                <w:rFonts w:hint="default"/>
                <w:color w:val="2A26F7"/>
              </w:rPr>
              <w:t>应严格按照</w:t>
            </w:r>
            <w:r>
              <w:rPr>
                <w:rFonts w:hint="eastAsia"/>
                <w:color w:val="2A26F7"/>
              </w:rPr>
              <w:t>生态保护红线管控要求执行。</w:t>
            </w:r>
          </w:p>
        </w:tc>
        <w:tc>
          <w:tcPr>
            <w:tcW w:w="291" w:type="pct"/>
            <w:vMerge w:val="restart"/>
            <w:tcMar>
              <w:top w:w="0" w:type="dxa"/>
              <w:left w:w="108" w:type="dxa"/>
              <w:bottom w:w="0" w:type="dxa"/>
              <w:right w:w="108" w:type="dxa"/>
            </w:tcMar>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cs="Times New Roman" w:asciiTheme="minorEastAsia" w:hAnsiTheme="minorEastAsia" w:eastAsiaTheme="minorEastAsia"/>
                <w:kern w:val="0"/>
                <w:sz w:val="21"/>
                <w:szCs w:val="21"/>
                <w:highlight w:val="none"/>
              </w:rPr>
            </w:pPr>
            <w:r>
              <w:rPr>
                <w:rFonts w:hint="eastAsia" w:cs="Times New Roman" w:asciiTheme="minorEastAsia" w:hAnsiTheme="minorEastAsia" w:eastAsiaTheme="minorEastAsia"/>
                <w:kern w:val="0"/>
                <w:sz w:val="21"/>
                <w:szCs w:val="21"/>
                <w:highlight w:val="none"/>
              </w:rPr>
              <w:t>符合</w:t>
            </w:r>
          </w:p>
          <w:p>
            <w:pPr>
              <w:pStyle w:val="28"/>
              <w:keepNext w:val="0"/>
              <w:keepLines w:val="0"/>
              <w:suppressLineNumbers w:val="0"/>
              <w:bidi w:val="0"/>
              <w:spacing w:beforeAutospacing="0" w:afterAutospacing="0"/>
              <w:ind w:left="0" w:right="0"/>
              <w:rPr>
                <w:rFonts w:hint="default"/>
                <w:highlight w:val="none"/>
              </w:rPr>
            </w:pPr>
            <w:r>
              <w:rPr>
                <w:rFonts w:hint="eastAsia" w:cs="Times New Roman" w:asciiTheme="minorEastAsia" w:hAnsiTheme="minorEastAsia" w:eastAsiaTheme="minorEastAsia"/>
                <w:kern w:val="0"/>
                <w:sz w:val="21"/>
                <w:szCs w:val="21"/>
                <w:highlight w:val="none"/>
              </w:rPr>
              <w:t>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lang w:val="en-US" w:eastAsia="zh-CN"/>
              </w:rPr>
              <w:t>1.10</w:t>
            </w:r>
            <w:r>
              <w:rPr>
                <w:rFonts w:hint="default"/>
                <w:highlight w:val="none"/>
              </w:rPr>
              <w:t>水源涵养重要区</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c>
          <w:tcPr>
            <w:tcW w:w="1282"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c>
          <w:tcPr>
            <w:tcW w:w="291"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lang w:val="en-US" w:eastAsia="zh-CN"/>
              </w:rPr>
              <w:t>1.11</w:t>
            </w:r>
            <w:r>
              <w:rPr>
                <w:rFonts w:hint="default"/>
                <w:highlight w:val="none"/>
              </w:rPr>
              <w:t>生物多样性维护重要区</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c>
          <w:tcPr>
            <w:tcW w:w="1282"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c>
          <w:tcPr>
            <w:tcW w:w="291"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lang w:val="en-US" w:eastAsia="zh-CN"/>
              </w:rPr>
              <w:t>1.12</w:t>
            </w:r>
            <w:r>
              <w:rPr>
                <w:rFonts w:hint="default"/>
                <w:highlight w:val="none"/>
              </w:rPr>
              <w:t>水土流失敏感区</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c>
          <w:tcPr>
            <w:tcW w:w="1282"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c>
          <w:tcPr>
            <w:tcW w:w="291"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lang w:val="en-US" w:eastAsia="zh-CN"/>
              </w:rPr>
              <w:t>1.13</w:t>
            </w:r>
            <w:r>
              <w:rPr>
                <w:rFonts w:hint="default"/>
                <w:highlight w:val="none"/>
              </w:rPr>
              <w:t>土地沙化敏感区</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c>
          <w:tcPr>
            <w:tcW w:w="1282"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c>
          <w:tcPr>
            <w:tcW w:w="291"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lang w:val="en-US" w:eastAsia="zh-CN"/>
              </w:rPr>
              <w:t>1.14</w:t>
            </w:r>
            <w:r>
              <w:rPr>
                <w:rFonts w:hint="default"/>
                <w:highlight w:val="none"/>
              </w:rPr>
              <w:t>沙漠化生态敏感区</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c>
          <w:tcPr>
            <w:tcW w:w="1282"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c>
          <w:tcPr>
            <w:tcW w:w="291" w:type="pct"/>
            <w:vMerge w:val="continue"/>
            <w:vAlign w:val="center"/>
          </w:tcPr>
          <w:p>
            <w:pPr>
              <w:pStyle w:val="28"/>
              <w:keepNext w:val="0"/>
              <w:keepLines w:val="0"/>
              <w:suppressLineNumbers w:val="0"/>
              <w:bidi w:val="0"/>
              <w:spacing w:beforeAutospacing="0" w:afterAutospacing="0"/>
              <w:ind w:left="0" w:right="0"/>
              <w:rPr>
                <w:rFonts w:hint="default"/>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1.15水环境优先保护区</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自然保护区、饮用水水源保护区等国家法定保护地</w:t>
            </w:r>
            <w:r>
              <w:rPr>
                <w:rFonts w:hint="eastAsia"/>
                <w:highlight w:val="none"/>
              </w:rPr>
              <w:t>需严格</w:t>
            </w:r>
            <w:r>
              <w:rPr>
                <w:rFonts w:hint="default"/>
                <w:highlight w:val="none"/>
              </w:rPr>
              <w:t>落实国家</w:t>
            </w:r>
            <w:r>
              <w:rPr>
                <w:rFonts w:hint="eastAsia"/>
                <w:highlight w:val="none"/>
              </w:rPr>
              <w:t>及自治区</w:t>
            </w:r>
            <w:r>
              <w:rPr>
                <w:rFonts w:hint="default"/>
                <w:highlight w:val="none"/>
              </w:rPr>
              <w:t>法律法规，法律禁止的人为活动一律禁止布设，法律未明确禁止的以水环境、水资源、水生态为重点</w:t>
            </w:r>
            <w:r>
              <w:rPr>
                <w:rFonts w:hint="eastAsia"/>
                <w:highlight w:val="none"/>
              </w:rPr>
              <w:t>的开发项目</w:t>
            </w:r>
            <w:r>
              <w:rPr>
                <w:rFonts w:hint="default"/>
                <w:highlight w:val="none"/>
              </w:rPr>
              <w:t>，</w:t>
            </w:r>
            <w:r>
              <w:rPr>
                <w:rFonts w:hint="eastAsia"/>
                <w:highlight w:val="none"/>
              </w:rPr>
              <w:t>需</w:t>
            </w:r>
            <w:r>
              <w:rPr>
                <w:rFonts w:hint="default"/>
                <w:highlight w:val="none"/>
              </w:rPr>
              <w:t>充分论证，谨慎布局。法定保护地以外的区域，禁止可能污染水质、破坏目标水体水生态环境的开发活动，</w:t>
            </w:r>
            <w:r>
              <w:rPr>
                <w:rFonts w:hint="eastAsia"/>
                <w:highlight w:val="none"/>
              </w:rPr>
              <w:t>严格控制</w:t>
            </w:r>
            <w:r>
              <w:rPr>
                <w:rFonts w:hint="default"/>
                <w:highlight w:val="none"/>
              </w:rPr>
              <w:t>大规模高强度工矿、城镇开发，因地制宜发展资源环境可承载的适宜产业。</w:t>
            </w:r>
          </w:p>
        </w:tc>
        <w:tc>
          <w:tcPr>
            <w:tcW w:w="1282"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rPr>
              <w:t>本次规划</w:t>
            </w:r>
            <w:r>
              <w:rPr>
                <w:rFonts w:hint="eastAsia"/>
                <w:highlight w:val="none"/>
                <w:lang w:eastAsia="zh-CN"/>
              </w:rPr>
              <w:t>不在饮用水一级、二级保护区内规划建设项目，并要求规划建设项目实施阶段进一步落实是否涉及涉及饮用水保护区，不得在保护区内设置排污口。</w:t>
            </w: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rPr>
              <w:t>符合</w:t>
            </w:r>
          </w:p>
          <w:p>
            <w:pPr>
              <w:pStyle w:val="28"/>
              <w:keepNext w:val="0"/>
              <w:keepLines w:val="0"/>
              <w:suppressLineNumbers w:val="0"/>
              <w:bidi w:val="0"/>
              <w:spacing w:beforeAutospacing="0" w:afterAutospacing="0"/>
              <w:ind w:left="0" w:right="0"/>
              <w:rPr>
                <w:rFonts w:hint="default"/>
                <w:highlight w:val="none"/>
              </w:rPr>
            </w:pPr>
            <w:r>
              <w:rPr>
                <w:rFonts w:hint="eastAsia"/>
                <w:highlight w:val="none"/>
              </w:rPr>
              <w:t>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1.16</w:t>
            </w:r>
            <w:r>
              <w:rPr>
                <w:rFonts w:hint="eastAsia"/>
                <w:highlight w:val="none"/>
              </w:rPr>
              <w:t>大气</w:t>
            </w:r>
            <w:r>
              <w:rPr>
                <w:rFonts w:hint="default"/>
                <w:highlight w:val="none"/>
              </w:rPr>
              <w:t>环境优先保护区</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default"/>
                <w:highlight w:val="none"/>
              </w:rPr>
              <w:t>空间布局约束</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rPr>
              <w:t>原则上禁止新建、改扩建排放大气污染物的工业企业。因科学研究、教学科研需要，必须进入核心区、缓冲区活动的，应向主管部门申请并获得批准。区内现有不符合布局要求的，限期退出或关停。对已造成的污染或损害，应限期治理。各县（区）后续城镇生产、生活活动，不得占用优先保护区。</w:t>
            </w:r>
          </w:p>
        </w:tc>
        <w:tc>
          <w:tcPr>
            <w:tcW w:w="3633" w:type="dxa"/>
            <w:tcMar>
              <w:top w:w="0" w:type="dxa"/>
              <w:left w:w="108" w:type="dxa"/>
              <w:bottom w:w="0" w:type="dxa"/>
              <w:right w:w="108" w:type="dxa"/>
            </w:tcMar>
            <w:vAlign w:val="center"/>
          </w:tcPr>
          <w:p>
            <w:pPr>
              <w:pStyle w:val="28"/>
              <w:keepNext w:val="0"/>
              <w:keepLines w:val="0"/>
              <w:suppressLineNumbers w:val="0"/>
              <w:spacing w:beforeAutospacing="0" w:afterAutospacing="0"/>
              <w:ind w:left="0" w:right="0"/>
              <w:rPr>
                <w:rFonts w:hint="eastAsia"/>
                <w:highlight w:val="none"/>
              </w:rPr>
            </w:pPr>
            <w:r>
              <w:rPr>
                <w:rFonts w:hint="eastAsia"/>
                <w:color w:val="2A26F7"/>
              </w:rPr>
              <w:t>本次规划不涉及工业企业</w:t>
            </w:r>
          </w:p>
        </w:tc>
        <w:tc>
          <w:tcPr>
            <w:tcW w:w="825" w:type="dxa"/>
            <w:tcMar>
              <w:top w:w="0" w:type="dxa"/>
              <w:left w:w="108" w:type="dxa"/>
              <w:bottom w:w="0" w:type="dxa"/>
              <w:right w:w="108" w:type="dxa"/>
            </w:tcMar>
            <w:vAlign w:val="center"/>
          </w:tcPr>
          <w:p>
            <w:pPr>
              <w:pStyle w:val="28"/>
              <w:keepNext w:val="0"/>
              <w:keepLines w:val="0"/>
              <w:suppressLineNumbers w:val="0"/>
              <w:spacing w:beforeAutospacing="0" w:afterAutospacing="0"/>
              <w:ind w:left="0" w:right="0"/>
              <w:rPr>
                <w:rFonts w:hint="eastAsia"/>
                <w:highlight w:val="none"/>
              </w:rPr>
            </w:pPr>
            <w:r>
              <w:rPr>
                <w:rFonts w:hint="eastAsia"/>
                <w:color w:val="2A26F7"/>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r>
              <w:rPr>
                <w:rFonts w:hint="eastAsia"/>
                <w:highlight w:val="none"/>
                <w:lang w:val="en-US" w:eastAsia="zh-CN"/>
              </w:rPr>
              <w:t>重点</w:t>
            </w:r>
            <w:r>
              <w:rPr>
                <w:rFonts w:hint="default" w:eastAsia="宋体"/>
                <w:highlight w:val="none"/>
                <w:lang w:val="en-US" w:eastAsia="zh-CN"/>
              </w:rPr>
              <w:t>管控单元</w:t>
            </w:r>
          </w:p>
        </w:tc>
        <w:tc>
          <w:tcPr>
            <w:tcW w:w="577" w:type="pct"/>
            <w:vMerge w:val="restar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2.1</w:t>
            </w:r>
            <w:r>
              <w:rPr>
                <w:rFonts w:hint="eastAsia"/>
                <w:highlight w:val="none"/>
              </w:rPr>
              <w:t>城镇开发边界</w:t>
            </w: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空间布局约束</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推进新型城镇化，科学规划城镇生产、生活、生态空间，将尊重自然、顺应自然、保护自然的理念贯穿城镇规划设计、建设、管理的全过程。2.加强城镇集中式饮用水源地保护，科学划定饮用水源地保护区并严格依法依规管理，确保饮水安全。</w:t>
            </w:r>
          </w:p>
        </w:tc>
        <w:tc>
          <w:tcPr>
            <w:tcW w:w="1282"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color w:val="auto"/>
                <w:highlight w:val="none"/>
              </w:rPr>
            </w:pPr>
            <w:r>
              <w:rPr>
                <w:rFonts w:hint="eastAsia"/>
                <w:color w:val="auto"/>
                <w:highlight w:val="none"/>
                <w:lang w:val="en-US" w:eastAsia="zh-CN"/>
              </w:rPr>
              <w:t>本次规划为旅游规划，部分规划项目依托当地城镇旅游资源，对于该部分项目，</w:t>
            </w:r>
            <w:r>
              <w:rPr>
                <w:rFonts w:hint="eastAsia"/>
                <w:color w:val="auto"/>
                <w:highlight w:val="none"/>
              </w:rPr>
              <w:t>规划布局上遵循上述管</w:t>
            </w:r>
            <w:r>
              <w:rPr>
                <w:rFonts w:hint="eastAsia"/>
                <w:color w:val="auto"/>
                <w:highlight w:val="none"/>
                <w:lang w:val="en-US" w:eastAsia="zh-CN"/>
              </w:rPr>
              <w:t>控要求</w:t>
            </w:r>
            <w:r>
              <w:rPr>
                <w:rFonts w:hint="eastAsia"/>
                <w:color w:val="auto"/>
                <w:highlight w:val="none"/>
              </w:rPr>
              <w:t>，在项目建设过程中应严格按照相关管理要求落实、执行</w:t>
            </w:r>
            <w:r>
              <w:rPr>
                <w:rFonts w:hint="eastAsia"/>
                <w:color w:val="auto"/>
                <w:highlight w:val="none"/>
                <w:lang w:eastAsia="zh-CN"/>
              </w:rPr>
              <w:t>。</w:t>
            </w:r>
            <w:r>
              <w:rPr>
                <w:rFonts w:hint="eastAsia"/>
                <w:color w:val="auto"/>
                <w:highlight w:val="none"/>
              </w:rPr>
              <w:t>规划坚持以空间优化、资源节约、绿色生态为基本路径，并遵照相关水资源管理要求实施</w:t>
            </w:r>
          </w:p>
        </w:tc>
        <w:tc>
          <w:tcPr>
            <w:tcW w:w="291"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rPr>
              <w:t>符合</w:t>
            </w:r>
          </w:p>
          <w:p>
            <w:pPr>
              <w:pStyle w:val="28"/>
              <w:keepNext w:val="0"/>
              <w:keepLines w:val="0"/>
              <w:suppressLineNumbers w:val="0"/>
              <w:bidi w:val="0"/>
              <w:spacing w:beforeAutospacing="0" w:afterAutospacing="0"/>
              <w:ind w:left="0" w:right="0"/>
              <w:rPr>
                <w:rFonts w:hint="eastAsia" w:eastAsia="宋体"/>
                <w:highlight w:val="none"/>
                <w:lang w:val="en-US" w:eastAsia="zh-CN"/>
              </w:rPr>
            </w:pPr>
            <w:r>
              <w:rPr>
                <w:rFonts w:hint="eastAsia"/>
                <w:highlight w:val="none"/>
              </w:rPr>
              <w:t>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污染物排放管控</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rPr>
              <w:t>1.强化建筑、道路、施工和裸露地等抑尘措施和强化移动源污染防治，减少大气污染物排放。2</w:t>
            </w:r>
            <w:r>
              <w:rPr>
                <w:rFonts w:hint="default"/>
                <w:color w:val="auto"/>
                <w:highlight w:val="none"/>
              </w:rPr>
              <w:t>.统筹考虑城镇水资源、水生态、水环境、水安全、水文化和岸线等多方面的有机联系，保障水环境质量和流域健康。</w:t>
            </w:r>
            <w:r>
              <w:rPr>
                <w:rFonts w:hint="eastAsia"/>
                <w:color w:val="auto"/>
                <w:highlight w:val="none"/>
              </w:rPr>
              <w:t>3.</w:t>
            </w:r>
            <w:r>
              <w:rPr>
                <w:rFonts w:hint="default"/>
                <w:color w:val="auto"/>
                <w:highlight w:val="none"/>
              </w:rPr>
              <w:t>加大资金投入力度，加快建设城镇和各类园区、医院等环境保护基础设施，强化运营管理，规范城镇生活污水处理和排放口设置，提高固体废物、医疗废物、危险废物的处置能力，逐步推行生活垃圾分类制度，建立健全城乡生活垃圾收运、处置体系。</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color w:val="auto"/>
                <w:highlight w:val="none"/>
                <w:lang w:val="en-US" w:eastAsia="zh-CN"/>
              </w:rPr>
            </w:pPr>
          </w:p>
        </w:tc>
        <w:tc>
          <w:tcPr>
            <w:tcW w:w="29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环境风险防控</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rPr>
              <w:t>存在环境风险隐患的企业，开展环境风险排查，制定环境风险应急预案，做好应急准备，并定期进行演练。</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color w:val="FF0000"/>
                <w:highlight w:val="none"/>
              </w:rPr>
            </w:pPr>
          </w:p>
        </w:tc>
        <w:tc>
          <w:tcPr>
            <w:tcW w:w="29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资源开发效率</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改善能源结构，推广使用水能、风能、地热能、太阳能等清洁能源，严控煤、薪柴使用量。提高能源使用效率，全面落实最严格水资源管理制度，强化节水措施，努力提高水资源开发利用效率与效益。</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color w:val="FF0000"/>
                <w:highlight w:val="none"/>
              </w:rPr>
            </w:pPr>
          </w:p>
        </w:tc>
        <w:tc>
          <w:tcPr>
            <w:tcW w:w="29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restar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2.2</w:t>
            </w:r>
            <w:r>
              <w:rPr>
                <w:rFonts w:hint="eastAsia"/>
                <w:highlight w:val="none"/>
              </w:rPr>
              <w:t>矿产资源开发区</w:t>
            </w: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空间布局约束</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1.非经国务院授权的有关主管部门同意，不得在下列地区开采矿产资源:港口、机场、国防工程设施圈定地区以内；重要工业区、大型水利工程设施、城镇市政工程设施附近一定距离以内；铁路、重要公路两侧一定距离以内；重要河流、堤坝两侧一定距离以内；国家划定的自然保护区、重要风景区，国家重点保护的不能移动的历史文物和名胜古迹所在地；国家规定不得开采矿产资源的其他地区。</w:t>
            </w:r>
          </w:p>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2.限制在生态功能保护区和自然保护区（过渡区）内开采矿产资源。生态功能保护区内的开采活动必须符合当地的环境功能区规划，并按规定进行控制性开采，开采活动不得影响本功能区内的主导生态功能。限制在地质灾害易发区、水土流失严重区域等生态脆弱区内开采矿产资源。3.加大矿产资源的整合力度，促进我区优势矿产资源的开发。探矿权每次延续时应根据工作情况集中找矿靶区，缩小勘查面积，原则上不得扩大勘查面积。4.加强矿产资源勘查与开发的环境保护工作。认真落实各项环境保护措施，避免造成环境污染和生态破坏。</w:t>
            </w:r>
          </w:p>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5.全面清理禁止开采区内已有的开采项目，在保障采矿权合法权益的前提下，依法退出禁止开采区。建立和完善开采规划区块管理制度，严格禁止大矿小开，一矿多开。新设采矿权开采设计规模应达到中型以上。</w:t>
            </w:r>
          </w:p>
        </w:tc>
        <w:tc>
          <w:tcPr>
            <w:tcW w:w="1282"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rPr>
              <w:t>规划不</w:t>
            </w:r>
            <w:r>
              <w:rPr>
                <w:rFonts w:hint="eastAsia"/>
                <w:highlight w:val="none"/>
                <w:lang w:val="en-US" w:eastAsia="zh-CN"/>
              </w:rPr>
              <w:t>涉及</w:t>
            </w:r>
            <w:r>
              <w:rPr>
                <w:rFonts w:hint="eastAsia"/>
                <w:highlight w:val="none"/>
              </w:rPr>
              <w:t>矿产资源开发</w:t>
            </w: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污染物排放管控</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1.严格落实矿产资源开发环境保护措施和生态恢复治理方案，采矿区、排土场、尾矿库、废石场等应实行边开采、边保护、边复垦。</w:t>
            </w:r>
          </w:p>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2.矿山应当实施分区作业，对露采断面、运输道路、选矿厂（特别是尾矿库干滩）等重点部位采取喷淋等洒水抑尘措施；对矿石、废渣和精矿等堆场采取遮挡、覆盖、密闭、绿化等措施减少扬尘污染。</w:t>
            </w:r>
          </w:p>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3.采矿废水排放应执行行业或污水综合排放一级标准。</w:t>
            </w:r>
          </w:p>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4.选矿企业继续严格执行污水循环利用和零排放制度。</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环境风险防控</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1.制定环境风险应急预案，成立应急组织机构，配备必要的应急设施和应急物资，定期开展环境风险应急演练。2.矿山采选区、废水处理设施、固体废物储存场所等应配备完善的防扬散、防流失、防渗漏措施，严防对水体、土壤造成污染。3.定期开展矿区、尾矿库等重点部位的土壤、地下水监测，动态跟踪土壤、地下水环境质量变化情况，避免累积性污染问题产生。4.加大选矿企业尾矿库和化学品运输监管力度，消除环境风险。</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资源开发效率</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1.矿山开采回采率、选矿回收率和综合利用率等三项指标应符合自然资源部发布的相关矿种矿产资源合理开发利用“三率”最低指标要求。2.开采矿产资源，必须采取合理的开采顺序、开采方法和选矿工艺。矿山企业的开采回采率、采矿贫化率和选矿回收率应当达到设计要求。</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2.3</w:t>
            </w:r>
            <w:r>
              <w:rPr>
                <w:rFonts w:hint="eastAsia"/>
                <w:highlight w:val="none"/>
              </w:rPr>
              <w:t>矿产资源储备区</w:t>
            </w: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rPr>
              <w:t>空间布局约束</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1.加大矿产资源的整合力度，促进我市优势矿产资源的开发。探矿权每次延续时应根据工作情况集中找矿靶区，缩小勘查面积，原则上不得扩大勘查面积。2.禁止砷、汞、砂金、砂铁和泥炭等对环境有较大影响的矿产勘查开发，坚守环境保护红线。3.按照国家和自治区政府的统一部署，全面清理禁止勘查规划区内已有的勘查项目，对禁止勘查区设立之前已存在的合法探矿权，以及各项手续完备且已征得相关主管部门同意设立的探矿权，分类提出差别化的补偿和退出方案。</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restar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2.</w:t>
            </w:r>
            <w:r>
              <w:rPr>
                <w:rFonts w:hint="eastAsia"/>
                <w:highlight w:val="none"/>
              </w:rPr>
              <w:t>4水能资源开发河段</w:t>
            </w: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空间布局约束</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rPr>
              <w:t>1.水电开发必须服从流域综合规划、水电规划及其规划环评。</w:t>
            </w:r>
          </w:p>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rPr>
              <w:t>2.坚持在确保生态安全的前提下，有序开发水电资源，确保流域生态流量，保护河流生态系统。</w:t>
            </w:r>
            <w:r>
              <w:rPr>
                <w:rFonts w:hint="eastAsia"/>
                <w:highlight w:val="none"/>
              </w:rPr>
              <w:t>3</w:t>
            </w:r>
            <w:r>
              <w:rPr>
                <w:rFonts w:hint="default"/>
                <w:highlight w:val="none"/>
              </w:rPr>
              <w:t>.禁止在自然保护区、风景名胜区及其他具有特殊保护价值的地区开发水电资源。限制在生态脆弱地区和重要生态功能区进行水电资源开发，需要开发的必须要充分论证对生态影响及相关保护措施。</w:t>
            </w:r>
            <w:r>
              <w:rPr>
                <w:rFonts w:hint="eastAsia"/>
                <w:highlight w:val="none"/>
              </w:rPr>
              <w:t>4</w:t>
            </w:r>
            <w:r>
              <w:rPr>
                <w:rFonts w:hint="default"/>
                <w:highlight w:val="none"/>
              </w:rPr>
              <w:t>.应充分考虑环境影响和景观影响，科学设计、优化选址选线。按照环境影响评价要求，设置取料场、弃渣场、施工便道和生活营地等临时设施，及时进行生态恢复。</w:t>
            </w:r>
            <w:r>
              <w:rPr>
                <w:rFonts w:hint="eastAsia"/>
                <w:highlight w:val="none"/>
              </w:rPr>
              <w:t>5.除边境建设必须以外，严格禁止新建装机</w:t>
            </w:r>
            <w:r>
              <w:rPr>
                <w:rFonts w:hint="default"/>
                <w:highlight w:val="none"/>
              </w:rPr>
              <w:t>50兆瓦以下的小水</w:t>
            </w:r>
            <w:r>
              <w:rPr>
                <w:rFonts w:hint="eastAsia"/>
                <w:highlight w:val="none"/>
              </w:rPr>
              <w:t>电站</w:t>
            </w:r>
          </w:p>
        </w:tc>
        <w:tc>
          <w:tcPr>
            <w:tcW w:w="1282"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rPr>
              <w:t>规划不涉及水能资源开发</w:t>
            </w: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lang w:val="en-US" w:eastAsia="zh-CN"/>
              </w:rPr>
            </w:pPr>
            <w:r>
              <w:rPr>
                <w:rFonts w:hint="default"/>
                <w:highlight w:val="none"/>
              </w:rPr>
              <w:t>污染物排放管控</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lang w:val="en-US" w:eastAsia="zh-CN"/>
              </w:rPr>
            </w:pPr>
            <w:r>
              <w:rPr>
                <w:rFonts w:hint="default"/>
                <w:highlight w:val="none"/>
              </w:rPr>
              <w:t>电站建设和运行产生的废水根据水体功能区划，处理后综合利用禁止外排或达标排放。</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lang w:val="en-US" w:eastAsia="zh-CN"/>
              </w:rPr>
            </w:pPr>
            <w:r>
              <w:rPr>
                <w:rFonts w:hint="default"/>
                <w:highlight w:val="none"/>
              </w:rPr>
              <w:t>环境风险防控</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lang w:val="en-US" w:eastAsia="zh-CN"/>
              </w:rPr>
            </w:pPr>
            <w:r>
              <w:rPr>
                <w:rFonts w:hint="default"/>
                <w:highlight w:val="none"/>
              </w:rPr>
              <w:t>强化水电站废机油等危险废物管理。制定环境风险应急预案，建立环境风险防范措施。</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lang w:val="en-US" w:eastAsia="zh-CN"/>
              </w:rPr>
            </w:pPr>
            <w:r>
              <w:rPr>
                <w:rFonts w:hint="default"/>
                <w:highlight w:val="none"/>
              </w:rPr>
              <w:t>资源开发效率</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lang w:val="en-US" w:eastAsia="zh-CN"/>
              </w:rPr>
            </w:pPr>
            <w:r>
              <w:rPr>
                <w:rFonts w:hint="default"/>
                <w:highlight w:val="none"/>
              </w:rPr>
              <w:t>遵循统筹兼顾、确保底线的原则，有序开发主要江河干流，支流开发服从于干流开发，确保流域生态流量。重点保障枯水期生态基流。</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restar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2.5</w:t>
            </w:r>
            <w:r>
              <w:rPr>
                <w:rFonts w:hint="eastAsia"/>
                <w:highlight w:val="none"/>
              </w:rPr>
              <w:t>历史人文景区</w:t>
            </w:r>
          </w:p>
        </w:tc>
        <w:tc>
          <w:tcPr>
            <w:tcW w:w="417" w:type="pct"/>
            <w:vMerge w:val="restar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空间布局约束</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rPr>
              <w:t>1.</w:t>
            </w:r>
            <w:r>
              <w:rPr>
                <w:rFonts w:hint="eastAsia"/>
                <w:highlight w:val="none"/>
              </w:rPr>
              <w:t>所有</w:t>
            </w:r>
            <w:r>
              <w:rPr>
                <w:rFonts w:hint="default"/>
                <w:highlight w:val="none"/>
              </w:rPr>
              <w:t>A级景区在批准设立前都必须依法开展规划和规划环评。合理规划旅游产品、路线、范围及环境容量。禁止在自然保护区核心区、缓冲区等法定禁止区域开发旅游。</w:t>
            </w:r>
          </w:p>
        </w:tc>
        <w:tc>
          <w:tcPr>
            <w:tcW w:w="1282"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color w:val="00B050"/>
                <w:highlight w:val="none"/>
              </w:rPr>
              <w:t>规划</w:t>
            </w:r>
            <w:r>
              <w:rPr>
                <w:rFonts w:hint="eastAsia"/>
                <w:color w:val="00B050"/>
                <w:highlight w:val="none"/>
                <w:lang w:val="en-US" w:eastAsia="zh-CN"/>
              </w:rPr>
              <w:t>要求</w:t>
            </w:r>
            <w:r>
              <w:rPr>
                <w:rFonts w:hint="eastAsia"/>
                <w:color w:val="00B050"/>
                <w:highlight w:val="none"/>
              </w:rPr>
              <w:t>建设项目应依法开展环评，并要求建设项目实施阶段进一步落实是否涉及</w:t>
            </w:r>
            <w:r>
              <w:rPr>
                <w:rFonts w:hint="default"/>
                <w:color w:val="00B050"/>
                <w:highlight w:val="none"/>
              </w:rPr>
              <w:t>自然保护区核心区、缓冲区</w:t>
            </w:r>
            <w:r>
              <w:rPr>
                <w:rFonts w:hint="eastAsia"/>
                <w:color w:val="00B050"/>
                <w:highlight w:val="none"/>
                <w:lang w:eastAsia="zh-CN"/>
              </w:rPr>
              <w:t>，</w:t>
            </w:r>
            <w:r>
              <w:rPr>
                <w:rFonts w:hint="eastAsia"/>
                <w:color w:val="00B050"/>
                <w:highlight w:val="none"/>
              </w:rPr>
              <w:t>严禁在</w:t>
            </w:r>
            <w:r>
              <w:rPr>
                <w:rFonts w:hint="default"/>
                <w:color w:val="00B050"/>
                <w:highlight w:val="none"/>
              </w:rPr>
              <w:t>核心区、缓冲区</w:t>
            </w:r>
            <w:r>
              <w:rPr>
                <w:rFonts w:hint="eastAsia"/>
                <w:color w:val="00B050"/>
                <w:highlight w:val="none"/>
              </w:rPr>
              <w:t>内进行开发建设。</w:t>
            </w: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r>
              <w:rPr>
                <w:rFonts w:hint="eastAsia"/>
                <w:highlight w:val="none"/>
                <w:lang w:val="en-US" w:eastAsia="zh-CN"/>
              </w:rPr>
              <w:t>符合遵守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417" w:type="pct"/>
            <w:vMerge w:val="continue"/>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rPr>
              <w:t>2.</w:t>
            </w:r>
            <w:r>
              <w:rPr>
                <w:rFonts w:hint="eastAsia"/>
                <w:highlight w:val="none"/>
              </w:rPr>
              <w:t>禁止在旅游景区（点）规划范围内从事影响生态环境、破坏旅游资源和公共设施的活动。</w:t>
            </w:r>
          </w:p>
        </w:tc>
        <w:tc>
          <w:tcPr>
            <w:tcW w:w="1282"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r>
              <w:rPr>
                <w:rFonts w:hint="eastAsia"/>
                <w:highlight w:val="none"/>
                <w:lang w:val="en-US" w:eastAsia="zh-CN"/>
              </w:rPr>
              <w:t>遵守</w:t>
            </w: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lang w:val="en-US" w:eastAsia="zh-CN"/>
              </w:rPr>
            </w:pPr>
            <w:r>
              <w:rPr>
                <w:rFonts w:hint="eastAsia"/>
                <w:highlight w:val="none"/>
                <w:lang w:val="en-US" w:eastAsia="zh-CN"/>
              </w:rPr>
              <w:t>符合遵守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417" w:type="pct"/>
            <w:vMerge w:val="continue"/>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rPr>
            </w:pPr>
            <w:r>
              <w:rPr>
                <w:rFonts w:hint="eastAsia"/>
                <w:highlight w:val="none"/>
              </w:rPr>
              <w:t>3.景区应根据核定的最大承载客流量，限制景区接待游客人数</w:t>
            </w:r>
          </w:p>
        </w:tc>
        <w:tc>
          <w:tcPr>
            <w:tcW w:w="1282"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rPr>
              <w:t>本次环评按照规划中提出的规模，预测规划区内承载能力</w:t>
            </w:r>
            <w:r>
              <w:rPr>
                <w:rFonts w:hint="eastAsia"/>
                <w:highlight w:val="none"/>
                <w:lang w:eastAsia="zh-CN"/>
              </w:rPr>
              <w:t>，</w:t>
            </w:r>
            <w:r>
              <w:rPr>
                <w:rFonts w:hint="eastAsia"/>
                <w:highlight w:val="none"/>
              </w:rPr>
              <w:t>但需对各景区承载能力进行细化，确定游客容量上限。</w:t>
            </w: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污染物排放管控</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default"/>
                <w:highlight w:val="none"/>
              </w:rPr>
              <w:t>完善旅游景点污水、垃圾收集处理设施，针对旅游季节性问题，通过配备可移动处理设施或应急处理设施等方式进行处理处置，严控旅游生活污水垃圾直排。</w:t>
            </w:r>
          </w:p>
        </w:tc>
        <w:tc>
          <w:tcPr>
            <w:tcW w:w="1282"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rPr>
              <w:t>规划区内由于规划的活动、项目建设过程中产生的生活污水、生活垃圾在城镇生活污水、垃圾处理设施覆盖范围内的依托进行处理、处置。</w:t>
            </w: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restar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ascii="Calibri" w:hAnsi="Calibri" w:eastAsia="宋体" w:cs="Calibri"/>
                <w:kern w:val="0"/>
                <w:szCs w:val="21"/>
                <w:highlight w:val="none"/>
                <w:lang w:val="en-US" w:eastAsia="zh-CN" w:bidi="ar-SA"/>
              </w:rPr>
            </w:pPr>
            <w:r>
              <w:rPr>
                <w:rFonts w:hint="default"/>
                <w:highlight w:val="none"/>
              </w:rPr>
              <w:t>2.6</w:t>
            </w:r>
            <w:r>
              <w:rPr>
                <w:rFonts w:hint="eastAsia"/>
                <w:highlight w:val="none"/>
              </w:rPr>
              <w:t>工业园区（产业集聚区）</w:t>
            </w: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空间布局约束</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1.自治区统筹规划各类园区建设布局、发布园区建设规划，所有园区的设立必须符合规划，依法依规开展园区规划和规划环评。</w:t>
            </w:r>
            <w:r>
              <w:rPr>
                <w:rFonts w:hint="default"/>
                <w:highlight w:val="none"/>
              </w:rPr>
              <w:t>2.</w:t>
            </w:r>
            <w:r>
              <w:rPr>
                <w:rFonts w:hint="eastAsia"/>
                <w:highlight w:val="none"/>
              </w:rPr>
              <w:t>促进企业向园区集中，产业向园区集聚。新建涉及化工、印染、电镀、酿造等重金属重污染的工业类项目必须入园建设。</w:t>
            </w:r>
            <w:r>
              <w:rPr>
                <w:rFonts w:hint="default"/>
                <w:highlight w:val="none"/>
              </w:rPr>
              <w:t>3.</w:t>
            </w:r>
            <w:r>
              <w:rPr>
                <w:rFonts w:hint="eastAsia"/>
                <w:highlight w:val="none"/>
              </w:rPr>
              <w:t>禁止建设存在重大环境安全隐患的工业项目。严禁工艺技术落后、环境风险高的企业入驻。严格执行相关行业企业布局选址要求，优化环境防护距离设置，按要求设置生态隔离带，防范产业园区涉生态环境</w:t>
            </w:r>
            <w:r>
              <w:rPr>
                <w:rFonts w:hint="default"/>
                <w:highlight w:val="none"/>
              </w:rPr>
              <w:t>“</w:t>
            </w:r>
            <w:r>
              <w:rPr>
                <w:rFonts w:hint="eastAsia"/>
                <w:highlight w:val="none"/>
              </w:rPr>
              <w:t>邻避</w:t>
            </w:r>
            <w:r>
              <w:rPr>
                <w:rFonts w:hint="default"/>
                <w:highlight w:val="none"/>
              </w:rPr>
              <w:t>”</w:t>
            </w:r>
            <w:r>
              <w:rPr>
                <w:rFonts w:hint="eastAsia"/>
                <w:highlight w:val="none"/>
              </w:rPr>
              <w:t>问题，将环境防护距离优化控制在园区边界或用地红线以内。</w:t>
            </w:r>
          </w:p>
        </w:tc>
        <w:tc>
          <w:tcPr>
            <w:tcW w:w="1282"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r>
              <w:rPr>
                <w:rFonts w:hint="eastAsia"/>
                <w:highlight w:val="none"/>
              </w:rPr>
              <w:t>本次规划为旅游发展规划，</w:t>
            </w:r>
            <w:r>
              <w:rPr>
                <w:rFonts w:hint="eastAsia"/>
                <w:highlight w:val="none"/>
                <w:lang w:val="en-US" w:eastAsia="zh-CN"/>
              </w:rPr>
              <w:t>不涉及</w:t>
            </w:r>
            <w:r>
              <w:rPr>
                <w:rFonts w:hint="eastAsia"/>
                <w:highlight w:val="none"/>
              </w:rPr>
              <w:t>工业</w:t>
            </w:r>
            <w:r>
              <w:rPr>
                <w:rFonts w:hint="eastAsia"/>
                <w:highlight w:val="none"/>
                <w:lang w:val="en-US" w:eastAsia="zh-CN"/>
              </w:rPr>
              <w:t>园区</w:t>
            </w:r>
          </w:p>
        </w:tc>
        <w:tc>
          <w:tcPr>
            <w:tcW w:w="291"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污染物排放管控</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同步规划建设与运营园区环境保护设施，加强资源节约集约利用，从源头减少污染物排放。</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c>
          <w:tcPr>
            <w:tcW w:w="29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环境风险防控</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禁止建设存在重大环境安全隐患的工业项目。严禁工艺技术落后、环境风险高的企业入驻。</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c>
          <w:tcPr>
            <w:tcW w:w="29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rPr>
            </w:pP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资源开发效率</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1.加强资源节约集约利用。实行能源、水资源、建设用地总量和强度双控行动，推进节能、节水、节地、节材等节约自然资源行动，从源头减少污染物排放。2</w:t>
            </w:r>
            <w:r>
              <w:rPr>
                <w:rFonts w:hint="default"/>
                <w:highlight w:val="none"/>
              </w:rPr>
              <w:t>.新、改、扩建建设项目的清洁生</w:t>
            </w:r>
            <w:r>
              <w:rPr>
                <w:rFonts w:hint="eastAsia"/>
                <w:highlight w:val="none"/>
              </w:rPr>
              <w:t>产水平应达到国内先进水平。</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c>
          <w:tcPr>
            <w:tcW w:w="29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restar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2.7</w:t>
            </w:r>
            <w:r>
              <w:rPr>
                <w:rFonts w:hint="eastAsia"/>
                <w:highlight w:val="none"/>
              </w:rPr>
              <w:t>口岸</w:t>
            </w: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空间布局约束</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科学规划口岸建设布局，严格控制口岸开发边界。严格按照相关法律法规的要求禁止和限制在自然保护区内的各类活动。</w:t>
            </w:r>
          </w:p>
        </w:tc>
        <w:tc>
          <w:tcPr>
            <w:tcW w:w="1282"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r>
              <w:rPr>
                <w:rFonts w:hint="eastAsia"/>
                <w:highlight w:val="none"/>
                <w:lang w:val="en-US" w:eastAsia="zh-CN"/>
              </w:rPr>
              <w:t>不涉及</w:t>
            </w:r>
          </w:p>
        </w:tc>
        <w:tc>
          <w:tcPr>
            <w:tcW w:w="291"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污染物排放管控</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加快口岸环保基础设施建设，建立健全的垃圾收集系统，提高生活垃圾收集处理率，完善生活污水收集处理。</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c>
          <w:tcPr>
            <w:tcW w:w="29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restar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2.8大气环境布局敏感重点管控区</w:t>
            </w: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rPr>
              <w:t>空间布局约束</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严格控制在城市主导风向的上风向新建对环境空气质量有较大影响的项目。</w:t>
            </w:r>
            <w:r>
              <w:rPr>
                <w:rFonts w:hint="default"/>
                <w:highlight w:val="none"/>
              </w:rPr>
              <w:t>优化建材、矿产资源开发布局，新、改、扩建建材、</w:t>
            </w:r>
            <w:r>
              <w:rPr>
                <w:rFonts w:hint="eastAsia"/>
                <w:highlight w:val="none"/>
              </w:rPr>
              <w:t>矿产资源开发项目应满足区域、规划环评要求，并严格执行质量、环保、能耗、安全等法规标准。</w:t>
            </w:r>
          </w:p>
        </w:tc>
        <w:tc>
          <w:tcPr>
            <w:tcW w:w="1282"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lang w:val="en-US" w:eastAsia="zh-CN"/>
              </w:rPr>
              <w:t>不涉及</w:t>
            </w: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rPr>
            </w:pPr>
          </w:p>
        </w:tc>
        <w:tc>
          <w:tcPr>
            <w:tcW w:w="417"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rPr>
              <w:t>污染物排放管控</w:t>
            </w:r>
          </w:p>
        </w:tc>
        <w:tc>
          <w:tcPr>
            <w:tcW w:w="2150" w:type="pct"/>
            <w:tcMar>
              <w:top w:w="0" w:type="dxa"/>
              <w:left w:w="108" w:type="dxa"/>
              <w:bottom w:w="0" w:type="dxa"/>
              <w:right w:w="108" w:type="dxa"/>
            </w:tcMar>
            <w:vAlign w:val="center"/>
          </w:tcPr>
          <w:p>
            <w:pPr>
              <w:pStyle w:val="29"/>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rPr>
              <w:t>1</w:t>
            </w:r>
            <w:r>
              <w:rPr>
                <w:rFonts w:hint="default"/>
                <w:highlight w:val="none"/>
              </w:rPr>
              <w:t>.</w:t>
            </w:r>
            <w:r>
              <w:rPr>
                <w:rFonts w:hint="eastAsia"/>
                <w:highlight w:val="none"/>
              </w:rPr>
              <w:t>加快天然气输配管网建设，稳步扩大高污染燃料禁燃区；实施非工业燃煤锅炉改造，天然气管网覆盖地区积极实施“煤改气”工程，未覆盖地区实施集中供热改造，鼓励有条件住户使用电能、太阳能等清洁能源，严控原煤散烧，减少污染物排放。2</w:t>
            </w:r>
            <w:r>
              <w:rPr>
                <w:rFonts w:hint="default"/>
                <w:highlight w:val="none"/>
              </w:rPr>
              <w:t>.</w:t>
            </w:r>
            <w:r>
              <w:rPr>
                <w:rFonts w:hint="eastAsia"/>
                <w:highlight w:val="none"/>
              </w:rPr>
              <w:t>强化移动源污染防治，减少污染物排放。3</w:t>
            </w:r>
            <w:r>
              <w:rPr>
                <w:rFonts w:hint="default"/>
                <w:highlight w:val="none"/>
              </w:rPr>
              <w:t>.</w:t>
            </w:r>
            <w:r>
              <w:rPr>
                <w:rFonts w:hint="eastAsia"/>
                <w:highlight w:val="none"/>
              </w:rPr>
              <w:t>加强VOCs污染防治，严控区域臭氧超标风险。</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highlight w:val="none"/>
                <w:lang w:val="en-US" w:eastAsia="zh-CN"/>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color w:val="auto"/>
                <w:highlight w:val="none"/>
                <w:lang w:val="en-US" w:eastAsia="zh-CN"/>
              </w:rPr>
            </w:pPr>
            <w:r>
              <w:rPr>
                <w:rFonts w:hint="default"/>
                <w:color w:val="auto"/>
                <w:highlight w:val="none"/>
              </w:rPr>
              <w:t>2.9</w:t>
            </w:r>
            <w:r>
              <w:rPr>
                <w:rFonts w:hint="eastAsia"/>
                <w:color w:val="auto"/>
                <w:highlight w:val="none"/>
              </w:rPr>
              <w:t>大气环境高排放区重点管控区</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color w:val="auto"/>
                <w:highlight w:val="none"/>
                <w:lang w:val="en-US" w:eastAsia="zh-CN"/>
              </w:rPr>
            </w:pPr>
            <w:r>
              <w:rPr>
                <w:rFonts w:hint="eastAsia"/>
                <w:color w:val="auto"/>
                <w:highlight w:val="none"/>
              </w:rPr>
              <w:t>空间布局约束</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color w:val="auto"/>
                <w:highlight w:val="none"/>
                <w:lang w:val="en-US" w:eastAsia="zh-CN"/>
              </w:rPr>
            </w:pPr>
            <w:r>
              <w:rPr>
                <w:rFonts w:hint="eastAsia"/>
                <w:color w:val="auto"/>
                <w:highlight w:val="none"/>
              </w:rPr>
              <w:t>1</w:t>
            </w:r>
            <w:r>
              <w:rPr>
                <w:rFonts w:hint="default"/>
                <w:color w:val="auto"/>
                <w:highlight w:val="none"/>
              </w:rPr>
              <w:t>.</w:t>
            </w:r>
            <w:r>
              <w:rPr>
                <w:rFonts w:hint="eastAsia"/>
                <w:color w:val="auto"/>
                <w:highlight w:val="none"/>
              </w:rPr>
              <w:t>禁止大气污染物排放水平低于现行企业水平的项目入驻；2</w:t>
            </w:r>
            <w:r>
              <w:rPr>
                <w:rFonts w:hint="default"/>
                <w:color w:val="auto"/>
                <w:highlight w:val="none"/>
              </w:rPr>
              <w:t>.</w:t>
            </w:r>
            <w:r>
              <w:rPr>
                <w:rFonts w:hint="eastAsia"/>
                <w:color w:val="auto"/>
                <w:highlight w:val="none"/>
              </w:rPr>
              <w:t>淘汰落后产能及未达到国内清洁生产先进水平的现役非金属矿物制品业，限制引入国内清洁生产一般水平的企业入驻。3</w:t>
            </w:r>
            <w:r>
              <w:rPr>
                <w:rFonts w:hint="default"/>
                <w:color w:val="auto"/>
                <w:highlight w:val="none"/>
              </w:rPr>
              <w:t>.</w:t>
            </w:r>
            <w:r>
              <w:rPr>
                <w:rFonts w:hint="eastAsia"/>
                <w:color w:val="auto"/>
                <w:highlight w:val="none"/>
              </w:rPr>
              <w:t>禁止引进国家、自治区及林芝市现行产业政策明令禁止或淘汰的产业及工艺；严禁高耗能、高污染和高排放项目进入，严格禁止区外落后产能向区内转移流动。4</w:t>
            </w:r>
            <w:r>
              <w:rPr>
                <w:rFonts w:hint="default"/>
                <w:color w:val="auto"/>
                <w:highlight w:val="none"/>
              </w:rPr>
              <w:t>.</w:t>
            </w:r>
            <w:r>
              <w:rPr>
                <w:rFonts w:hint="eastAsia"/>
                <w:color w:val="auto"/>
                <w:highlight w:val="none"/>
              </w:rPr>
              <w:t>禁止引入排污量较大、污染控制难度大，不符合园区大气总量控制原则、园区规划的项目。5</w:t>
            </w:r>
            <w:r>
              <w:rPr>
                <w:rFonts w:hint="default"/>
                <w:color w:val="auto"/>
                <w:highlight w:val="none"/>
              </w:rPr>
              <w:t>.</w:t>
            </w:r>
            <w:r>
              <w:rPr>
                <w:rFonts w:hint="eastAsia"/>
                <w:color w:val="auto"/>
                <w:highlight w:val="none"/>
              </w:rPr>
              <w:t>禁止在城镇主导风向的上风向新建可能会对环境空气质量有较大影响的项目，形成有利于大气污染物扩散的城镇和区域空间格局。</w:t>
            </w:r>
          </w:p>
        </w:tc>
        <w:tc>
          <w:tcPr>
            <w:tcW w:w="1282"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eastAsia="宋体"/>
                <w:color w:val="auto"/>
                <w:highlight w:val="none"/>
                <w:lang w:eastAsia="zh-CN"/>
              </w:rPr>
            </w:pPr>
            <w:r>
              <w:rPr>
                <w:rFonts w:hint="eastAsia"/>
                <w:color w:val="auto"/>
                <w:highlight w:val="none"/>
                <w:lang w:val="en-US" w:eastAsia="zh-CN"/>
              </w:rPr>
              <w:t>不涉及</w:t>
            </w: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color w:val="auto"/>
                <w:highlight w:val="none"/>
              </w:rPr>
            </w:pPr>
            <w:r>
              <w:rPr>
                <w:rFonts w:hint="eastAsia"/>
                <w:color w:val="auto"/>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color w:val="auto"/>
                <w:highlight w:val="none"/>
              </w:rPr>
            </w:pP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color w:val="auto"/>
                <w:highlight w:val="none"/>
                <w:lang w:val="en-US" w:eastAsia="zh-CN"/>
              </w:rPr>
            </w:pPr>
            <w:r>
              <w:rPr>
                <w:rFonts w:hint="eastAsia"/>
                <w:color w:val="auto"/>
                <w:highlight w:val="none"/>
              </w:rPr>
              <w:t>污染物排放管控</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color w:val="auto"/>
                <w:highlight w:val="none"/>
                <w:lang w:val="en-US" w:eastAsia="zh-CN"/>
              </w:rPr>
            </w:pPr>
            <w:r>
              <w:rPr>
                <w:rFonts w:hint="eastAsia"/>
                <w:color w:val="auto"/>
                <w:highlight w:val="none"/>
              </w:rPr>
              <w:t>1</w:t>
            </w:r>
            <w:r>
              <w:rPr>
                <w:rFonts w:hint="default"/>
                <w:color w:val="auto"/>
                <w:highlight w:val="none"/>
              </w:rPr>
              <w:t>.</w:t>
            </w:r>
            <w:r>
              <w:rPr>
                <w:rFonts w:hint="eastAsia"/>
                <w:color w:val="auto"/>
                <w:highlight w:val="none"/>
              </w:rPr>
              <w:t>区域内非金属矿物制品业企业、危险废物处置和生活垃圾焚烧等重点行业应依法开展强制性清洁生产审核；除尘效率应在现有基础上整体提升，降低颗粒物排放总量。2</w:t>
            </w:r>
            <w:r>
              <w:rPr>
                <w:rFonts w:hint="default"/>
                <w:color w:val="auto"/>
                <w:highlight w:val="none"/>
              </w:rPr>
              <w:t>.</w:t>
            </w:r>
            <w:r>
              <w:rPr>
                <w:rFonts w:hint="eastAsia"/>
                <w:color w:val="auto"/>
                <w:highlight w:val="none"/>
              </w:rPr>
              <w:t>新增排放挥发性有机物的项目实施等量或倍量替代。3</w:t>
            </w:r>
            <w:r>
              <w:rPr>
                <w:rFonts w:hint="default"/>
                <w:color w:val="auto"/>
                <w:highlight w:val="none"/>
              </w:rPr>
              <w:t>.</w:t>
            </w:r>
            <w:r>
              <w:rPr>
                <w:rFonts w:hint="eastAsia"/>
                <w:color w:val="auto"/>
                <w:highlight w:val="none"/>
              </w:rPr>
              <w:t>矿山生产、运输、储存过程中做好防尘保洁措施，确保矿区环境卫生整洁。生产过程中产生的废气、尾矿产生的粉尘等污染物得到有效处置，特别是无组织面源应采取高效降尘措施，实现达标排放。</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color w:val="auto"/>
                <w:highlight w:val="none"/>
              </w:rPr>
            </w:pP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color w:val="auto"/>
                <w:highlight w:val="none"/>
              </w:rPr>
            </w:pPr>
            <w:r>
              <w:rPr>
                <w:rFonts w:hint="eastAsia"/>
                <w:color w:val="auto"/>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color w:val="auto"/>
                <w:highlight w:val="none"/>
              </w:rPr>
            </w:pP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color w:val="auto"/>
                <w:highlight w:val="none"/>
                <w:lang w:val="en-US" w:eastAsia="zh-CN"/>
              </w:rPr>
            </w:pPr>
            <w:r>
              <w:rPr>
                <w:rFonts w:hint="eastAsia"/>
                <w:color w:val="auto"/>
                <w:highlight w:val="none"/>
              </w:rPr>
              <w:t>环境风险防控</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color w:val="auto"/>
                <w:highlight w:val="none"/>
                <w:lang w:val="en-US" w:eastAsia="zh-CN"/>
              </w:rPr>
            </w:pPr>
            <w:r>
              <w:rPr>
                <w:rFonts w:hint="eastAsia"/>
                <w:color w:val="auto"/>
                <w:highlight w:val="none"/>
              </w:rPr>
              <w:t>1</w:t>
            </w:r>
            <w:r>
              <w:rPr>
                <w:rFonts w:hint="default"/>
                <w:color w:val="auto"/>
                <w:highlight w:val="none"/>
              </w:rPr>
              <w:t>.</w:t>
            </w:r>
            <w:r>
              <w:rPr>
                <w:rFonts w:hint="eastAsia"/>
                <w:color w:val="auto"/>
                <w:highlight w:val="none"/>
              </w:rPr>
              <w:t>制定环境风险应急预案，成立应急组织机构，定期开展应急风险防范能力。2</w:t>
            </w:r>
            <w:r>
              <w:rPr>
                <w:rFonts w:hint="default"/>
                <w:color w:val="auto"/>
                <w:highlight w:val="none"/>
              </w:rPr>
              <w:t>.</w:t>
            </w:r>
            <w:r>
              <w:rPr>
                <w:rFonts w:hint="eastAsia"/>
                <w:color w:val="auto"/>
                <w:highlight w:val="none"/>
              </w:rPr>
              <w:t>以林芝市产业园为重点，强化环境风险防控工作，建立危险源数据库，并动态更新。3</w:t>
            </w:r>
            <w:r>
              <w:rPr>
                <w:rFonts w:hint="default"/>
                <w:color w:val="auto"/>
                <w:highlight w:val="none"/>
              </w:rPr>
              <w:t>.</w:t>
            </w:r>
            <w:r>
              <w:rPr>
                <w:rFonts w:hint="eastAsia"/>
                <w:color w:val="auto"/>
                <w:highlight w:val="none"/>
              </w:rPr>
              <w:t>建立园区、企业、装置三级应急联动方案，强化区域环境风险应急防范能力。建设突发环境事件应急物资储备库，利用空间信息采集等技术，建立环境风险源数据库及风险源信息管理系统。</w:t>
            </w:r>
          </w:p>
        </w:tc>
        <w:tc>
          <w:tcPr>
            <w:tcW w:w="1282" w:type="pct"/>
            <w:vMerge w:val="continue"/>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color w:val="auto"/>
                <w:highlight w:val="none"/>
              </w:rPr>
            </w:pP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color w:val="auto"/>
                <w:highlight w:val="none"/>
              </w:rPr>
            </w:pPr>
            <w:r>
              <w:rPr>
                <w:rFonts w:hint="eastAsia"/>
                <w:color w:val="auto"/>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eastAsia="宋体"/>
                <w:highlight w:val="none"/>
                <w:lang w:val="en-US" w:eastAsia="zh-CN"/>
              </w:rPr>
            </w:pPr>
            <w:r>
              <w:rPr>
                <w:rFonts w:hint="default" w:eastAsia="宋体"/>
                <w:highlight w:val="none"/>
                <w:lang w:val="en-US" w:eastAsia="zh-CN"/>
              </w:rPr>
              <w:t>一般管控单元</w:t>
            </w:r>
          </w:p>
        </w:tc>
        <w:tc>
          <w:tcPr>
            <w:tcW w:w="577" w:type="pct"/>
            <w:vMerge w:val="restar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lang w:val="en-US" w:eastAsia="zh-CN"/>
              </w:rPr>
            </w:pPr>
            <w:r>
              <w:rPr>
                <w:rFonts w:hint="eastAsia"/>
                <w:highlight w:val="none"/>
              </w:rPr>
              <w:t>一般管控单元</w:t>
            </w:r>
          </w:p>
        </w:tc>
        <w:tc>
          <w:tcPr>
            <w:tcW w:w="417"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default"/>
                <w:highlight w:val="none"/>
                <w:lang w:val="en-US" w:eastAsia="zh-CN"/>
              </w:rPr>
            </w:pPr>
            <w:r>
              <w:rPr>
                <w:rFonts w:hint="eastAsia"/>
                <w:highlight w:val="none"/>
              </w:rPr>
              <w:t>空间布局约束</w:t>
            </w:r>
          </w:p>
        </w:tc>
        <w:tc>
          <w:tcPr>
            <w:tcW w:w="2150"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lang w:val="en-US" w:eastAsia="zh-CN"/>
              </w:rPr>
            </w:pPr>
            <w:r>
              <w:rPr>
                <w:rFonts w:hint="eastAsia"/>
                <w:highlight w:val="none"/>
              </w:rPr>
              <w:t>以集中安置点，人口集聚区为重点，补齐环保基础设施，因地制宜建设污水收集处理设施，推广生活垃圾分类收集处理，从源头减少处理处置量；加快生活垃圾收集处理设施建设、改造，建设、完善“三防”设施，避免污染区域地下水。</w:t>
            </w:r>
          </w:p>
        </w:tc>
        <w:tc>
          <w:tcPr>
            <w:tcW w:w="1282"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r>
              <w:rPr>
                <w:rFonts w:hint="eastAsia"/>
                <w:highlight w:val="none"/>
              </w:rPr>
              <w:t>规划区内由于规划的活动、项目建设过程中产生的生活污水、生活垃圾在城镇生活污水、垃圾处理设施覆盖范围内的依托进行处理、处置。</w:t>
            </w:r>
          </w:p>
        </w:tc>
        <w:tc>
          <w:tcPr>
            <w:tcW w:w="291" w:type="pct"/>
            <w:tcMar>
              <w:top w:w="0" w:type="dxa"/>
              <w:left w:w="108" w:type="dxa"/>
              <w:bottom w:w="0" w:type="dxa"/>
              <w:right w:w="108" w:type="dxa"/>
            </w:tcMar>
            <w:vAlign w:val="center"/>
          </w:tcPr>
          <w:p>
            <w:pPr>
              <w:pStyle w:val="28"/>
              <w:keepNext w:val="0"/>
              <w:keepLines w:val="0"/>
              <w:suppressLineNumbers w:val="0"/>
              <w:bidi w:val="0"/>
              <w:spacing w:beforeAutospacing="0" w:afterAutospacing="0"/>
              <w:ind w:left="0" w:right="0"/>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Pr>
          <w:p>
            <w:pPr>
              <w:pStyle w:val="28"/>
              <w:keepNext w:val="0"/>
              <w:keepLines w:val="0"/>
              <w:suppressLineNumbers w:val="0"/>
              <w:bidi w:val="0"/>
              <w:spacing w:beforeAutospacing="0" w:afterAutospacing="0"/>
              <w:ind w:left="0" w:right="0"/>
              <w:rPr>
                <w:rFonts w:hint="default"/>
                <w:highlight w:val="none"/>
              </w:rPr>
            </w:pPr>
          </w:p>
        </w:tc>
        <w:tc>
          <w:tcPr>
            <w:tcW w:w="417" w:type="pct"/>
            <w:vMerge w:val="restart"/>
            <w:vAlign w:val="center"/>
          </w:tcPr>
          <w:p>
            <w:pPr>
              <w:pStyle w:val="28"/>
              <w:keepNext w:val="0"/>
              <w:keepLines w:val="0"/>
              <w:suppressLineNumbers w:val="0"/>
              <w:bidi w:val="0"/>
              <w:spacing w:beforeAutospacing="0" w:afterAutospacing="0"/>
              <w:ind w:left="0" w:right="0"/>
              <w:rPr>
                <w:rFonts w:hint="default"/>
                <w:highlight w:val="none"/>
                <w:lang w:val="en-US" w:eastAsia="zh-CN"/>
              </w:rPr>
            </w:pPr>
            <w:r>
              <w:rPr>
                <w:rFonts w:hint="eastAsia"/>
                <w:highlight w:val="none"/>
              </w:rPr>
              <w:t>污染物排放管控</w:t>
            </w:r>
          </w:p>
        </w:tc>
        <w:tc>
          <w:tcPr>
            <w:tcW w:w="2150" w:type="pct"/>
            <w:vAlign w:val="center"/>
          </w:tcPr>
          <w:p>
            <w:pPr>
              <w:pStyle w:val="28"/>
              <w:keepNext w:val="0"/>
              <w:keepLines w:val="0"/>
              <w:suppressLineNumbers w:val="0"/>
              <w:bidi w:val="0"/>
              <w:spacing w:beforeAutospacing="0" w:afterAutospacing="0"/>
              <w:ind w:left="0" w:right="0"/>
              <w:rPr>
                <w:rFonts w:hint="eastAsia"/>
                <w:highlight w:val="none"/>
                <w:lang w:val="en-US" w:eastAsia="zh-CN"/>
              </w:rPr>
            </w:pPr>
            <w:r>
              <w:rPr>
                <w:rFonts w:hint="eastAsia"/>
                <w:highlight w:val="none"/>
              </w:rPr>
              <w:t>禁养区外新建、改建和扩建规模化畜禽养殖场（小区）应当配套建设粪便污水贮存、处理、利用设施。严格执行《关于打好农业面源污染防治攻坚战的实施意见》（农科教发〔2015〕1号），全面做好农业面源污染防治工作。</w:t>
            </w:r>
          </w:p>
        </w:tc>
        <w:tc>
          <w:tcPr>
            <w:tcW w:w="1282" w:type="pct"/>
            <w:vMerge w:val="restart"/>
          </w:tcPr>
          <w:p>
            <w:pPr>
              <w:pStyle w:val="28"/>
              <w:keepNext w:val="0"/>
              <w:keepLines w:val="0"/>
              <w:suppressLineNumbers w:val="0"/>
              <w:bidi w:val="0"/>
              <w:spacing w:beforeAutospacing="0" w:afterAutospacing="0"/>
              <w:ind w:left="0" w:right="0"/>
              <w:rPr>
                <w:rFonts w:hint="eastAsia"/>
                <w:highlight w:val="none"/>
              </w:rPr>
            </w:pPr>
            <w:r>
              <w:rPr>
                <w:rFonts w:hint="eastAsia" w:cs="Times New Roman" w:asciiTheme="minorEastAsia" w:hAnsiTheme="minorEastAsia" w:eastAsiaTheme="minorEastAsia"/>
                <w:kern w:val="0"/>
                <w:sz w:val="21"/>
                <w:szCs w:val="21"/>
                <w:highlight w:val="none"/>
              </w:rPr>
              <w:t>不涉及该行业。</w:t>
            </w:r>
          </w:p>
        </w:tc>
        <w:tc>
          <w:tcPr>
            <w:tcW w:w="0" w:type="auto"/>
          </w:tcPr>
          <w:p>
            <w:pPr>
              <w:pStyle w:val="28"/>
              <w:keepNext w:val="0"/>
              <w:keepLines w:val="0"/>
              <w:suppressLineNumbers w:val="0"/>
              <w:bidi w:val="0"/>
              <w:spacing w:beforeAutospacing="0" w:afterAutospacing="0"/>
              <w:ind w:left="0" w:right="0"/>
              <w:rPr>
                <w:rFonts w:hint="eastAsia" w:eastAsia="宋体"/>
                <w:highlight w:val="none"/>
                <w:lang w:val="en-US" w:eastAsia="zh-CN"/>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Pr>
          <w:p>
            <w:pPr>
              <w:pStyle w:val="28"/>
              <w:keepNext w:val="0"/>
              <w:keepLines w:val="0"/>
              <w:suppressLineNumbers w:val="0"/>
              <w:bidi w:val="0"/>
              <w:spacing w:beforeAutospacing="0" w:afterAutospacing="0"/>
              <w:ind w:left="0" w:right="0"/>
              <w:rPr>
                <w:rFonts w:hint="default"/>
                <w:highlight w:val="none"/>
              </w:rPr>
            </w:pPr>
          </w:p>
        </w:tc>
        <w:tc>
          <w:tcPr>
            <w:tcW w:w="417" w:type="pct"/>
            <w:vMerge w:val="continue"/>
          </w:tcPr>
          <w:p>
            <w:pPr>
              <w:pStyle w:val="28"/>
              <w:keepNext w:val="0"/>
              <w:keepLines w:val="0"/>
              <w:suppressLineNumbers w:val="0"/>
              <w:bidi w:val="0"/>
              <w:spacing w:beforeAutospacing="0" w:afterAutospacing="0"/>
              <w:ind w:left="0" w:right="0"/>
              <w:rPr>
                <w:rFonts w:hint="default"/>
                <w:highlight w:val="none"/>
              </w:rPr>
            </w:pPr>
          </w:p>
        </w:tc>
        <w:tc>
          <w:tcPr>
            <w:tcW w:w="2150" w:type="pct"/>
            <w:vAlign w:val="center"/>
          </w:tcPr>
          <w:p>
            <w:pPr>
              <w:pStyle w:val="28"/>
              <w:keepNext w:val="0"/>
              <w:keepLines w:val="0"/>
              <w:suppressLineNumbers w:val="0"/>
              <w:bidi w:val="0"/>
              <w:spacing w:beforeAutospacing="0" w:afterAutospacing="0"/>
              <w:ind w:left="0" w:right="0"/>
              <w:rPr>
                <w:rFonts w:hint="eastAsia"/>
                <w:highlight w:val="none"/>
                <w:lang w:val="en-US" w:eastAsia="zh-CN"/>
              </w:rPr>
            </w:pPr>
            <w:r>
              <w:rPr>
                <w:rFonts w:hint="eastAsia"/>
                <w:highlight w:val="none"/>
              </w:rPr>
              <w:t>以粪污资源化利用能力确定新建养殖场养殖规模，严控畜禽养殖粪污。</w:t>
            </w:r>
          </w:p>
        </w:tc>
        <w:tc>
          <w:tcPr>
            <w:tcW w:w="1282" w:type="pct"/>
            <w:vMerge w:val="continue"/>
          </w:tcPr>
          <w:p>
            <w:pPr>
              <w:pStyle w:val="28"/>
              <w:keepNext w:val="0"/>
              <w:keepLines w:val="0"/>
              <w:suppressLineNumbers w:val="0"/>
              <w:bidi w:val="0"/>
              <w:spacing w:beforeAutospacing="0" w:afterAutospacing="0"/>
              <w:ind w:left="0" w:right="0"/>
              <w:rPr>
                <w:rFonts w:hint="eastAsia"/>
                <w:highlight w:val="none"/>
              </w:rPr>
            </w:pPr>
          </w:p>
        </w:tc>
        <w:tc>
          <w:tcPr>
            <w:tcW w:w="0" w:type="auto"/>
          </w:tcPr>
          <w:p>
            <w:pPr>
              <w:pStyle w:val="28"/>
              <w:keepNext w:val="0"/>
              <w:keepLines w:val="0"/>
              <w:suppressLineNumbers w:val="0"/>
              <w:tabs>
                <w:tab w:val="left" w:pos="361"/>
              </w:tabs>
              <w:bidi w:val="0"/>
              <w:spacing w:beforeAutospacing="0" w:afterAutospacing="0"/>
              <w:ind w:left="0" w:right="0"/>
              <w:jc w:val="left"/>
              <w:rPr>
                <w:rFonts w:hint="default" w:eastAsia="宋体"/>
                <w:highlight w:val="none"/>
                <w:lang w:val="en-US" w:eastAsia="zh-CN"/>
              </w:rPr>
            </w:pPr>
            <w:r>
              <w:rPr>
                <w:rFonts w:hint="eastAsia"/>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restart"/>
            <w:vAlign w:val="center"/>
          </w:tcPr>
          <w:p>
            <w:pPr>
              <w:pStyle w:val="28"/>
              <w:keepNext w:val="0"/>
              <w:keepLines w:val="0"/>
              <w:suppressLineNumbers w:val="0"/>
              <w:bidi w:val="0"/>
              <w:spacing w:beforeAutospacing="0" w:afterAutospacing="0"/>
              <w:ind w:left="0" w:right="0"/>
              <w:rPr>
                <w:rFonts w:hint="default"/>
                <w:highlight w:val="none"/>
                <w:lang w:val="en-US" w:eastAsia="zh-CN"/>
              </w:rPr>
            </w:pPr>
            <w:r>
              <w:rPr>
                <w:rFonts w:hint="eastAsia"/>
                <w:highlight w:val="none"/>
              </w:rPr>
              <w:t>一般管控单元（永久基本农田）</w:t>
            </w:r>
          </w:p>
        </w:tc>
        <w:tc>
          <w:tcPr>
            <w:tcW w:w="417" w:type="pct"/>
            <w:vAlign w:val="center"/>
          </w:tcPr>
          <w:p>
            <w:pPr>
              <w:pStyle w:val="28"/>
              <w:keepNext w:val="0"/>
              <w:keepLines w:val="0"/>
              <w:suppressLineNumbers w:val="0"/>
              <w:bidi w:val="0"/>
              <w:spacing w:beforeAutospacing="0" w:afterAutospacing="0"/>
              <w:ind w:left="0" w:right="0"/>
              <w:rPr>
                <w:rFonts w:hint="default"/>
                <w:highlight w:val="none"/>
                <w:lang w:val="en-US" w:eastAsia="zh-CN"/>
              </w:rPr>
            </w:pPr>
            <w:r>
              <w:rPr>
                <w:rFonts w:hint="eastAsia"/>
                <w:highlight w:val="none"/>
              </w:rPr>
              <w:t>空间布局约束</w:t>
            </w:r>
          </w:p>
        </w:tc>
        <w:tc>
          <w:tcPr>
            <w:tcW w:w="2150" w:type="pct"/>
            <w:vAlign w:val="center"/>
          </w:tcPr>
          <w:p>
            <w:pPr>
              <w:pStyle w:val="28"/>
              <w:keepNext w:val="0"/>
              <w:keepLines w:val="0"/>
              <w:suppressLineNumbers w:val="0"/>
              <w:bidi w:val="0"/>
              <w:spacing w:beforeAutospacing="0" w:afterAutospacing="0"/>
              <w:ind w:left="0" w:right="0"/>
              <w:rPr>
                <w:rFonts w:hint="default"/>
                <w:highlight w:val="none"/>
              </w:rPr>
            </w:pPr>
            <w:r>
              <w:rPr>
                <w:rFonts w:hint="eastAsia"/>
                <w:highlight w:val="none"/>
              </w:rPr>
              <w:t>永久基本农田不得擅自占用或改变用途。一般建设项目不得占用永久基本农田，临时用地一般不得占用永久基本农田；重大建设项目占用永久基本农田的，深度贫困地区、集中连片特困地区、国家扶贫开发工作重点县省级以下基础设施、易地扶贫搬迁、民生发展等建设项目确实难以避让永久基本农田的，建设项目施工和地质勘查需要临时用地、选址确实难以避让永久基本农田的，按照相关要求办理相关手续。</w:t>
            </w:r>
          </w:p>
          <w:p>
            <w:pPr>
              <w:pStyle w:val="28"/>
              <w:keepNext w:val="0"/>
              <w:keepLines w:val="0"/>
              <w:suppressLineNumbers w:val="0"/>
              <w:bidi w:val="0"/>
              <w:spacing w:beforeAutospacing="0" w:afterAutospacing="0"/>
              <w:ind w:left="0" w:right="0"/>
              <w:rPr>
                <w:rFonts w:hint="eastAsia"/>
                <w:highlight w:val="none"/>
                <w:lang w:val="en-US" w:eastAsia="zh-CN"/>
              </w:rPr>
            </w:pPr>
            <w:r>
              <w:rPr>
                <w:rFonts w:hint="eastAsia"/>
                <w:highlight w:val="none"/>
              </w:rPr>
              <w:t>禁止在基本农田保护区内建窑、建房、建坟、挖砂、采石、采矿、取土、堆放固体废弃物或者进行其他破坏基本农田的活动；禁止任何单位和个人占用基本农田发展林果业和挖塘养鱼；禁止任何单位和个人破坏永久基本农田耕作层；禁止以设施农用地为名违规占用永久基本农田建设休闲旅游、仓储厂房等设施；对利用永久基本农田进行农业结构调整的不得对耕作层造成破坏；禁止在优先保护类耕地集中的区域新建矿产资源采选、制革等高污染型企业；禁止开发利用土壤重金属高背景值区域未利用地。</w:t>
            </w:r>
          </w:p>
        </w:tc>
        <w:tc>
          <w:tcPr>
            <w:tcW w:w="1282" w:type="pct"/>
            <w:vMerge w:val="restart"/>
          </w:tcPr>
          <w:p>
            <w:pPr>
              <w:pStyle w:val="28"/>
              <w:keepNext w:val="0"/>
              <w:keepLines w:val="0"/>
              <w:suppressLineNumbers w:val="0"/>
              <w:bidi w:val="0"/>
              <w:spacing w:beforeAutospacing="0" w:afterAutospacing="0"/>
              <w:ind w:left="0" w:right="0"/>
              <w:rPr>
                <w:rFonts w:hint="eastAsia"/>
                <w:highlight w:val="none"/>
              </w:rPr>
            </w:pPr>
            <w:r>
              <w:rPr>
                <w:rFonts w:hint="eastAsia"/>
                <w:highlight w:val="none"/>
              </w:rPr>
              <w:t>本次规划建设项目实施过程中，用地严格按照相关土地管理要求划定，不得占用永久基本基本农田。规划建设项目主要为旅游业，不属于会对土壤造成严重污染行业。</w:t>
            </w:r>
          </w:p>
        </w:tc>
        <w:tc>
          <w:tcPr>
            <w:tcW w:w="0" w:type="auto"/>
          </w:tcPr>
          <w:p>
            <w:pPr>
              <w:pStyle w:val="28"/>
              <w:keepNext w:val="0"/>
              <w:keepLines w:val="0"/>
              <w:suppressLineNumbers w:val="0"/>
              <w:bidi w:val="0"/>
              <w:spacing w:beforeAutospacing="0" w:afterAutospacing="0"/>
              <w:ind w:left="0" w:right="0"/>
              <w:rPr>
                <w:rFonts w:hint="eastAsia" w:eastAsia="宋体"/>
                <w:highlight w:val="none"/>
                <w:lang w:val="en-US" w:eastAsia="zh-CN"/>
              </w:rPr>
            </w:pPr>
            <w:r>
              <w:rPr>
                <w:rFonts w:hint="eastAsia"/>
                <w:highlight w:val="none"/>
                <w:lang w:val="en-US" w:eastAsia="zh-CN"/>
              </w:rPr>
              <w:t>符合遵守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trPr>
        <w:tc>
          <w:tcPr>
            <w:tcW w:w="281" w:type="pct"/>
            <w:vMerge w:val="continue"/>
          </w:tcPr>
          <w:p>
            <w:pPr>
              <w:pStyle w:val="28"/>
              <w:keepNext w:val="0"/>
              <w:keepLines w:val="0"/>
              <w:suppressLineNumbers w:val="0"/>
              <w:bidi w:val="0"/>
              <w:spacing w:beforeAutospacing="0" w:afterAutospacing="0"/>
              <w:ind w:left="0" w:right="0"/>
              <w:rPr>
                <w:rFonts w:hint="default" w:eastAsia="宋体"/>
                <w:highlight w:val="none"/>
                <w:lang w:val="en-US" w:eastAsia="zh-CN"/>
              </w:rPr>
            </w:pPr>
          </w:p>
        </w:tc>
        <w:tc>
          <w:tcPr>
            <w:tcW w:w="577" w:type="pct"/>
            <w:vMerge w:val="continue"/>
          </w:tcPr>
          <w:p>
            <w:pPr>
              <w:pStyle w:val="28"/>
              <w:keepNext w:val="0"/>
              <w:keepLines w:val="0"/>
              <w:suppressLineNumbers w:val="0"/>
              <w:bidi w:val="0"/>
              <w:spacing w:beforeAutospacing="0" w:afterAutospacing="0"/>
              <w:ind w:left="0" w:right="0"/>
              <w:rPr>
                <w:rFonts w:hint="default"/>
                <w:highlight w:val="none"/>
              </w:rPr>
            </w:pPr>
          </w:p>
        </w:tc>
        <w:tc>
          <w:tcPr>
            <w:tcW w:w="417" w:type="pct"/>
            <w:vAlign w:val="center"/>
          </w:tcPr>
          <w:p>
            <w:pPr>
              <w:pStyle w:val="28"/>
              <w:keepNext w:val="0"/>
              <w:keepLines w:val="0"/>
              <w:suppressLineNumbers w:val="0"/>
              <w:bidi w:val="0"/>
              <w:spacing w:beforeAutospacing="0" w:afterAutospacing="0"/>
              <w:ind w:left="0" w:right="0"/>
              <w:rPr>
                <w:rFonts w:hint="default"/>
                <w:highlight w:val="none"/>
                <w:lang w:val="en-US" w:eastAsia="zh-CN"/>
              </w:rPr>
            </w:pPr>
            <w:r>
              <w:rPr>
                <w:rFonts w:hint="eastAsia"/>
                <w:highlight w:val="none"/>
              </w:rPr>
              <w:t>污染物排放管控</w:t>
            </w:r>
          </w:p>
        </w:tc>
        <w:tc>
          <w:tcPr>
            <w:tcW w:w="2150" w:type="pct"/>
            <w:vAlign w:val="center"/>
          </w:tcPr>
          <w:p>
            <w:pPr>
              <w:pStyle w:val="28"/>
              <w:keepNext w:val="0"/>
              <w:keepLines w:val="0"/>
              <w:suppressLineNumbers w:val="0"/>
              <w:bidi w:val="0"/>
              <w:spacing w:beforeAutospacing="0" w:afterAutospacing="0"/>
              <w:ind w:left="0" w:right="0"/>
              <w:rPr>
                <w:rFonts w:hint="eastAsia"/>
                <w:highlight w:val="none"/>
                <w:lang w:val="en-US" w:eastAsia="zh-CN"/>
              </w:rPr>
            </w:pPr>
            <w:r>
              <w:rPr>
                <w:rFonts w:hint="eastAsia"/>
                <w:highlight w:val="none"/>
              </w:rPr>
              <w:t>禁止向农用地排放重金属或者其他有毒有害物质含量超标的污水、污泥，以及可能造成土壤污染的清淤底泥、尾矿、矿渣等；加强污水处理产生的污泥稳定化、无害化或资源化处理，禁止污泥进入耕地。强化农业生产化肥农药施用管控，推广高效施肥技术、灌溉技术等，提高化肥利用率，减少农业种植源污染。</w:t>
            </w:r>
          </w:p>
        </w:tc>
        <w:tc>
          <w:tcPr>
            <w:tcW w:w="1282" w:type="pct"/>
            <w:vMerge w:val="continue"/>
          </w:tcPr>
          <w:p>
            <w:pPr>
              <w:pStyle w:val="28"/>
              <w:keepNext w:val="0"/>
              <w:keepLines w:val="0"/>
              <w:suppressLineNumbers w:val="0"/>
              <w:bidi w:val="0"/>
              <w:spacing w:beforeAutospacing="0" w:afterAutospacing="0"/>
              <w:ind w:left="0" w:right="0"/>
              <w:rPr>
                <w:rFonts w:hint="eastAsia" w:eastAsia="宋体"/>
                <w:highlight w:val="none"/>
                <w:lang w:val="en-US" w:eastAsia="zh-CN"/>
              </w:rPr>
            </w:pPr>
          </w:p>
        </w:tc>
        <w:tc>
          <w:tcPr>
            <w:tcW w:w="0" w:type="auto"/>
          </w:tcPr>
          <w:p>
            <w:pPr>
              <w:pStyle w:val="28"/>
              <w:keepNext w:val="0"/>
              <w:keepLines w:val="0"/>
              <w:suppressLineNumbers w:val="0"/>
              <w:bidi w:val="0"/>
              <w:spacing w:beforeAutospacing="0" w:afterAutospacing="0"/>
              <w:ind w:left="0" w:right="0"/>
              <w:rPr>
                <w:rFonts w:hint="eastAsia"/>
                <w:highlight w:val="none"/>
              </w:rPr>
            </w:pPr>
            <w:r>
              <w:rPr>
                <w:rFonts w:hint="eastAsia"/>
                <w:highlight w:val="none"/>
                <w:lang w:val="en-US" w:eastAsia="zh-CN"/>
              </w:rPr>
              <w:t>符合遵守</w:t>
            </w:r>
          </w:p>
        </w:tc>
      </w:tr>
    </w:tbl>
    <w:p>
      <w:pPr>
        <w:pStyle w:val="6"/>
        <w:bidi w:val="0"/>
        <w:rPr>
          <w:rFonts w:hint="default" w:eastAsia="宋体"/>
          <w:color w:val="FF0000"/>
          <w:highlight w:val="none"/>
          <w:lang w:val="en-US" w:eastAsia="zh-CN"/>
        </w:rPr>
      </w:pPr>
    </w:p>
    <w:p>
      <w:pPr>
        <w:pStyle w:val="6"/>
        <w:ind w:firstLine="480"/>
        <w:rPr>
          <w:rFonts w:hint="eastAsia"/>
          <w:color w:val="2A26F7"/>
        </w:rPr>
      </w:pPr>
      <w:r>
        <w:rPr>
          <w:color w:val="2A26F7"/>
        </w:rPr>
        <w:t>由于本次规划的项目属于概念</w:t>
      </w:r>
      <w:r>
        <w:rPr>
          <w:rFonts w:hint="eastAsia"/>
          <w:color w:val="2A26F7"/>
        </w:rPr>
        <w:t>性，且规划内容较为宏观；旅游资源为示意点位，无具体项目空间矢量分布；本次环评只能根据“林芝市三线一单”中的环境管控单元</w:t>
      </w:r>
      <w:r>
        <w:rPr>
          <w:color w:val="2A26F7"/>
        </w:rPr>
        <w:t>图</w:t>
      </w:r>
      <w:r>
        <w:rPr>
          <w:rFonts w:hint="eastAsia"/>
          <w:color w:val="2A26F7"/>
        </w:rPr>
        <w:t>进行初步叠图分析，初步判断新建、在建类有</w:t>
      </w:r>
      <w:r>
        <w:rPr>
          <w:rFonts w:hint="eastAsia"/>
          <w:color w:val="2A26F7"/>
          <w:lang w:val="en-US" w:eastAsia="zh-CN"/>
        </w:rPr>
        <w:t>42</w:t>
      </w:r>
      <w:r>
        <w:rPr>
          <w:rFonts w:hint="eastAsia"/>
          <w:color w:val="2A26F7"/>
        </w:rPr>
        <w:t>个项目可能位于</w:t>
      </w:r>
      <w:r>
        <w:rPr>
          <w:rFonts w:hint="eastAsia"/>
          <w:color w:val="2A26F7"/>
          <w:kern w:val="0"/>
          <w:szCs w:val="21"/>
        </w:rPr>
        <w:t>优先保护单元</w:t>
      </w:r>
      <w:r>
        <w:rPr>
          <w:rFonts w:hint="eastAsia"/>
          <w:color w:val="2A26F7"/>
        </w:rPr>
        <w:t>，具体见表2.2-25。</w:t>
      </w:r>
    </w:p>
    <w:p>
      <w:pPr>
        <w:pStyle w:val="27"/>
        <w:bidi w:val="0"/>
        <w:rPr>
          <w:rFonts w:hint="eastAsia"/>
          <w:highlight w:val="none"/>
          <w:lang w:val="en-US" w:eastAsia="zh-CN"/>
        </w:rPr>
      </w:pPr>
      <w:r>
        <w:rPr>
          <w:rFonts w:hint="eastAsia"/>
          <w:highlight w:val="none"/>
        </w:rPr>
        <w:t>表</w:t>
      </w:r>
      <w:r>
        <w:rPr>
          <w:rFonts w:hint="eastAsia"/>
          <w:highlight w:val="none"/>
          <w:lang w:val="en-US" w:eastAsia="zh-CN"/>
        </w:rPr>
        <w:t>2-25</w:t>
      </w:r>
      <w:r>
        <w:rPr>
          <w:rFonts w:hint="eastAsia"/>
          <w:highlight w:val="none"/>
        </w:rPr>
        <w:t xml:space="preserve">  初步判断规划建设项目</w:t>
      </w:r>
      <w:r>
        <w:rPr>
          <w:rFonts w:hint="eastAsia"/>
          <w:highlight w:val="none"/>
          <w:lang w:val="en-US" w:eastAsia="zh-CN"/>
        </w:rPr>
        <w:t>优先保护单元分布情况</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616"/>
        <w:gridCol w:w="1185"/>
        <w:gridCol w:w="2160"/>
        <w:gridCol w:w="4311"/>
        <w:gridCol w:w="4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b/>
                <w:bCs/>
                <w:highlight w:val="none"/>
                <w:lang w:val="en-US" w:eastAsia="zh-CN"/>
              </w:rPr>
            </w:pPr>
            <w:r>
              <w:rPr>
                <w:rFonts w:hint="eastAsia"/>
                <w:b/>
                <w:bCs/>
                <w:highlight w:val="none"/>
                <w:lang w:val="en-US" w:eastAsia="zh-CN"/>
              </w:rPr>
              <w:t>序号</w:t>
            </w:r>
          </w:p>
        </w:tc>
        <w:tc>
          <w:tcPr>
            <w:tcW w:w="570" w:type="pct"/>
            <w:vAlign w:val="center"/>
          </w:tcPr>
          <w:p>
            <w:pPr>
              <w:pStyle w:val="28"/>
              <w:keepNext w:val="0"/>
              <w:keepLines w:val="0"/>
              <w:suppressLineNumbers w:val="0"/>
              <w:bidi w:val="0"/>
              <w:spacing w:beforeAutospacing="0" w:afterAutospacing="0" w:line="276" w:lineRule="auto"/>
              <w:ind w:left="0" w:right="0"/>
              <w:rPr>
                <w:rFonts w:hint="eastAsia"/>
                <w:b/>
                <w:bCs/>
                <w:color w:val="1A15F1"/>
                <w:highlight w:val="none"/>
                <w:lang w:val="en-US" w:eastAsia="zh-CN"/>
              </w:rPr>
            </w:pPr>
            <w:r>
              <w:rPr>
                <w:rFonts w:hint="eastAsia"/>
                <w:b/>
                <w:bCs/>
                <w:color w:val="1A15F1"/>
                <w:highlight w:val="none"/>
              </w:rPr>
              <w:t>泛景区</w:t>
            </w:r>
            <w:r>
              <w:rPr>
                <w:rFonts w:hint="eastAsia"/>
                <w:b/>
                <w:bCs/>
                <w:color w:val="1A15F1"/>
                <w:highlight w:val="none"/>
                <w:lang w:val="en-US" w:eastAsia="zh-CN"/>
              </w:rPr>
              <w:t>名称</w:t>
            </w:r>
          </w:p>
        </w:tc>
        <w:tc>
          <w:tcPr>
            <w:tcW w:w="418" w:type="pct"/>
            <w:vAlign w:val="center"/>
          </w:tcPr>
          <w:p>
            <w:pPr>
              <w:pStyle w:val="28"/>
              <w:keepNext w:val="0"/>
              <w:keepLines w:val="0"/>
              <w:suppressLineNumbers w:val="0"/>
              <w:bidi w:val="0"/>
              <w:spacing w:beforeAutospacing="0" w:afterAutospacing="0" w:line="276" w:lineRule="auto"/>
              <w:ind w:left="0" w:right="0"/>
              <w:rPr>
                <w:rFonts w:hint="default"/>
                <w:b/>
                <w:bCs/>
                <w:color w:val="1A15F1"/>
                <w:highlight w:val="none"/>
                <w:lang w:val="en-US" w:eastAsia="zh-CN"/>
              </w:rPr>
            </w:pPr>
            <w:r>
              <w:rPr>
                <w:rFonts w:hint="eastAsia"/>
                <w:b/>
                <w:bCs/>
                <w:color w:val="1A15F1"/>
                <w:highlight w:val="none"/>
                <w:lang w:val="en-US" w:eastAsia="zh-CN"/>
              </w:rPr>
              <w:t>行政区域</w:t>
            </w:r>
          </w:p>
        </w:tc>
        <w:tc>
          <w:tcPr>
            <w:tcW w:w="762" w:type="pct"/>
            <w:vAlign w:val="center"/>
          </w:tcPr>
          <w:p>
            <w:pPr>
              <w:pStyle w:val="28"/>
              <w:keepNext w:val="0"/>
              <w:keepLines w:val="0"/>
              <w:suppressLineNumbers w:val="0"/>
              <w:bidi w:val="0"/>
              <w:spacing w:beforeAutospacing="0" w:afterAutospacing="0" w:line="276" w:lineRule="auto"/>
              <w:ind w:left="0" w:right="0"/>
              <w:rPr>
                <w:rFonts w:hint="default"/>
                <w:b/>
                <w:bCs/>
                <w:color w:val="1A15F1"/>
                <w:highlight w:val="none"/>
                <w:lang w:val="en-US" w:eastAsia="zh-CN"/>
              </w:rPr>
            </w:pPr>
            <w:r>
              <w:rPr>
                <w:rFonts w:hint="eastAsia"/>
                <w:b/>
                <w:bCs/>
                <w:color w:val="1A15F1"/>
                <w:highlight w:val="none"/>
                <w:lang w:val="en-US" w:eastAsia="zh-CN"/>
              </w:rPr>
              <w:t>景点名称</w:t>
            </w:r>
          </w:p>
        </w:tc>
        <w:tc>
          <w:tcPr>
            <w:tcW w:w="1521" w:type="pct"/>
            <w:vAlign w:val="center"/>
          </w:tcPr>
          <w:p>
            <w:pPr>
              <w:pStyle w:val="28"/>
              <w:keepNext w:val="0"/>
              <w:keepLines w:val="0"/>
              <w:suppressLineNumbers w:val="0"/>
              <w:bidi w:val="0"/>
              <w:spacing w:beforeAutospacing="0" w:afterAutospacing="0" w:line="276" w:lineRule="auto"/>
              <w:ind w:left="0" w:right="0"/>
              <w:rPr>
                <w:rFonts w:hint="default"/>
                <w:b/>
                <w:bCs/>
                <w:color w:val="1A15F1"/>
                <w:highlight w:val="none"/>
                <w:lang w:val="en-US" w:eastAsia="zh-CN"/>
              </w:rPr>
            </w:pPr>
            <w:r>
              <w:rPr>
                <w:rFonts w:hint="eastAsia"/>
                <w:b/>
                <w:bCs/>
                <w:color w:val="1A15F1"/>
                <w:highlight w:val="none"/>
                <w:lang w:val="en-US" w:eastAsia="zh-CN"/>
              </w:rPr>
              <w:t>建设内容</w:t>
            </w:r>
          </w:p>
        </w:tc>
        <w:tc>
          <w:tcPr>
            <w:tcW w:w="1522" w:type="pct"/>
            <w:vAlign w:val="center"/>
          </w:tcPr>
          <w:p>
            <w:pPr>
              <w:pStyle w:val="28"/>
              <w:keepNext w:val="0"/>
              <w:keepLines w:val="0"/>
              <w:suppressLineNumbers w:val="0"/>
              <w:bidi w:val="0"/>
              <w:spacing w:beforeAutospacing="0" w:afterAutospacing="0" w:line="276" w:lineRule="auto"/>
              <w:ind w:left="0" w:right="0"/>
              <w:rPr>
                <w:rFonts w:hint="default"/>
                <w:b/>
                <w:bCs/>
                <w:color w:val="1A15F1"/>
                <w:highlight w:val="none"/>
                <w:lang w:val="en-US" w:eastAsia="zh-CN"/>
              </w:rPr>
            </w:pPr>
            <w:r>
              <w:rPr>
                <w:rFonts w:hint="eastAsia"/>
                <w:b/>
                <w:bCs/>
                <w:color w:val="1A15F1"/>
                <w:highlight w:val="none"/>
                <w:lang w:val="en-US" w:eastAsia="zh-CN"/>
              </w:rPr>
              <w:t>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1</w:t>
            </w:r>
          </w:p>
        </w:tc>
        <w:tc>
          <w:tcPr>
            <w:tcW w:w="570"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lang w:val="en-US" w:eastAsia="zh-CN"/>
              </w:rPr>
            </w:pPr>
            <w:r>
              <w:rPr>
                <w:rFonts w:hint="eastAsia"/>
                <w:color w:val="1A15F1"/>
                <w:highlight w:val="none"/>
              </w:rPr>
              <w:t>鲁朗小镇及周边地区</w:t>
            </w:r>
          </w:p>
        </w:tc>
        <w:tc>
          <w:tcPr>
            <w:tcW w:w="418"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lang w:val="en-US" w:eastAsia="zh-CN"/>
              </w:rPr>
            </w:pPr>
            <w:r>
              <w:rPr>
                <w:rFonts w:hint="eastAsia"/>
                <w:color w:val="1A15F1"/>
                <w:highlight w:val="none"/>
                <w:lang w:val="en-US" w:eastAsia="zh-CN"/>
              </w:rPr>
              <w:t>巴宜区</w:t>
            </w: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鲁朗小镇</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增设停机坪和航空应急、补给设施</w:t>
            </w:r>
          </w:p>
        </w:tc>
        <w:tc>
          <w:tcPr>
            <w:tcW w:w="1522"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西藏色季拉森林公园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2</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扎西岗村</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改造村内民宿，开拓全屋智能家居、农牧远程养殖等服务</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3</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鲁朗林海</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开展城郊休闲和花卉摄影活动</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4</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鲁朗花海牧场</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结合现有的雅鲁藏布大峡谷高空观光航拍产品，发展空中特种旅游活动</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5</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雅伊沟</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结合茶马古道，以雅伊湖为终点，开展徒步穿越、观南迦巴瓦以及科考活动</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6</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9"/>
              <w:keepNext w:val="0"/>
              <w:keepLines w:val="0"/>
              <w:suppressLineNumbers w:val="0"/>
              <w:bidi w:val="0"/>
              <w:spacing w:before="0" w:beforeAutospacing="0" w:after="0" w:afterAutospacing="0"/>
              <w:ind w:left="0" w:right="0"/>
              <w:rPr>
                <w:rFonts w:hint="eastAsia"/>
                <w:color w:val="1A15F1"/>
                <w:highlight w:val="none"/>
              </w:rPr>
            </w:pPr>
            <w:r>
              <w:rPr>
                <w:rFonts w:hint="eastAsia"/>
                <w:color w:val="1A15F1"/>
                <w:highlight w:val="none"/>
              </w:rPr>
              <w:t>苯日景区</w:t>
            </w:r>
          </w:p>
        </w:tc>
        <w:tc>
          <w:tcPr>
            <w:tcW w:w="1521" w:type="pct"/>
            <w:vAlign w:val="center"/>
          </w:tcPr>
          <w:p>
            <w:pPr>
              <w:pStyle w:val="29"/>
              <w:keepNext w:val="0"/>
              <w:keepLines w:val="0"/>
              <w:suppressLineNumbers w:val="0"/>
              <w:bidi w:val="0"/>
              <w:spacing w:before="0" w:beforeAutospacing="0" w:after="0" w:afterAutospacing="0"/>
              <w:ind w:left="0" w:right="0"/>
              <w:rPr>
                <w:rFonts w:hint="eastAsia"/>
                <w:color w:val="1A15F1"/>
                <w:highlight w:val="none"/>
                <w:lang w:val="en-US" w:eastAsia="zh-CN"/>
              </w:rPr>
            </w:pPr>
            <w:r>
              <w:rPr>
                <w:rFonts w:hint="eastAsia"/>
                <w:color w:val="1A15F1"/>
                <w:highlight w:val="none"/>
                <w:lang w:val="en-US" w:eastAsia="zh-CN"/>
              </w:rPr>
              <w:t>建设观景平台、栈道</w:t>
            </w:r>
          </w:p>
        </w:tc>
        <w:tc>
          <w:tcPr>
            <w:tcW w:w="1522" w:type="pct"/>
            <w:vAlign w:val="center"/>
          </w:tcPr>
          <w:p>
            <w:pPr>
              <w:pStyle w:val="29"/>
              <w:keepNext w:val="0"/>
              <w:keepLines w:val="0"/>
              <w:suppressLineNumbers w:val="0"/>
              <w:bidi w:val="0"/>
              <w:spacing w:before="0" w:beforeAutospacing="0" w:after="0" w:afterAutospacing="0"/>
              <w:ind w:left="0" w:right="0"/>
              <w:rPr>
                <w:rFonts w:hint="eastAsia"/>
                <w:color w:val="1A15F1"/>
                <w:highlight w:val="none"/>
                <w:lang w:val="en-US" w:eastAsia="zh-CN"/>
              </w:rPr>
            </w:pPr>
            <w:r>
              <w:rPr>
                <w:rFonts w:hint="eastAsia"/>
                <w:color w:val="1A15F1"/>
                <w:highlight w:val="none"/>
              </w:rPr>
              <w:t>雅尼国家湿地公园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7</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keepNext w:val="0"/>
              <w:keepLines w:val="0"/>
              <w:suppressLineNumbers w:val="0"/>
              <w:spacing w:before="0" w:beforeAutospacing="0" w:after="0" w:afterAutospacing="0" w:line="276" w:lineRule="auto"/>
              <w:ind w:left="0" w:right="0"/>
              <w:jc w:val="center"/>
              <w:rPr>
                <w:rFonts w:hint="eastAsia" w:ascii="仿宋" w:hAnsi="仿宋" w:eastAsia="仿宋" w:cs="Times New Roman"/>
                <w:color w:val="1A15F1"/>
                <w:kern w:val="2"/>
                <w:sz w:val="24"/>
                <w:szCs w:val="21"/>
                <w:highlight w:val="none"/>
                <w:lang w:val="en-US" w:eastAsia="zh-CN" w:bidi="ar-SA"/>
              </w:rPr>
            </w:pPr>
          </w:p>
        </w:tc>
        <w:tc>
          <w:tcPr>
            <w:tcW w:w="762" w:type="pct"/>
            <w:vAlign w:val="center"/>
          </w:tcPr>
          <w:p>
            <w:pPr>
              <w:pStyle w:val="29"/>
              <w:keepNext w:val="0"/>
              <w:keepLines w:val="0"/>
              <w:suppressLineNumbers w:val="0"/>
              <w:bidi w:val="0"/>
              <w:spacing w:before="0" w:beforeAutospacing="0" w:after="0" w:afterAutospacing="0"/>
              <w:ind w:left="0" w:right="0"/>
              <w:rPr>
                <w:rFonts w:hint="eastAsia"/>
                <w:color w:val="1A15F1"/>
                <w:highlight w:val="none"/>
                <w:lang w:val="en-US" w:eastAsia="zh-CN"/>
              </w:rPr>
            </w:pPr>
            <w:r>
              <w:rPr>
                <w:rFonts w:hint="eastAsia"/>
                <w:color w:val="1A15F1"/>
                <w:highlight w:val="none"/>
              </w:rPr>
              <w:t>措木及日景区</w:t>
            </w:r>
          </w:p>
        </w:tc>
        <w:tc>
          <w:tcPr>
            <w:tcW w:w="1521" w:type="pct"/>
            <w:vAlign w:val="center"/>
          </w:tcPr>
          <w:p>
            <w:pPr>
              <w:pStyle w:val="29"/>
              <w:keepNext w:val="0"/>
              <w:keepLines w:val="0"/>
              <w:suppressLineNumbers w:val="0"/>
              <w:bidi w:val="0"/>
              <w:spacing w:before="0" w:beforeAutospacing="0" w:after="0" w:afterAutospacing="0"/>
              <w:ind w:left="0" w:right="0"/>
              <w:rPr>
                <w:rFonts w:hint="eastAsia"/>
                <w:color w:val="1A15F1"/>
                <w:highlight w:val="none"/>
                <w:lang w:val="en-US" w:eastAsia="zh-CN"/>
              </w:rPr>
            </w:pPr>
            <w:r>
              <w:rPr>
                <w:rFonts w:hint="eastAsia"/>
                <w:color w:val="1A15F1"/>
                <w:highlight w:val="none"/>
              </w:rPr>
              <w:t>设置了游览及接待设施</w:t>
            </w:r>
            <w:r>
              <w:rPr>
                <w:rFonts w:hint="eastAsia"/>
                <w:color w:val="1A15F1"/>
                <w:highlight w:val="none"/>
                <w:lang w:eastAsia="zh-CN"/>
              </w:rPr>
              <w:t>：</w:t>
            </w:r>
            <w:r>
              <w:rPr>
                <w:rFonts w:hint="eastAsia"/>
                <w:color w:val="1A15F1"/>
                <w:highlight w:val="none"/>
              </w:rPr>
              <w:t>游客咨询点、停车场、电瓶车道、游步道、观景平台，开展骑马、摄影、观鸟、观湖等。</w:t>
            </w:r>
          </w:p>
        </w:tc>
        <w:tc>
          <w:tcPr>
            <w:tcW w:w="1522" w:type="pct"/>
            <w:vAlign w:val="center"/>
          </w:tcPr>
          <w:p>
            <w:pPr>
              <w:pStyle w:val="29"/>
              <w:keepNext w:val="0"/>
              <w:keepLines w:val="0"/>
              <w:suppressLineNumbers w:val="0"/>
              <w:bidi w:val="0"/>
              <w:spacing w:before="0" w:beforeAutospacing="0" w:after="0" w:afterAutospacing="0"/>
              <w:ind w:left="0" w:right="0"/>
              <w:rPr>
                <w:rFonts w:hint="eastAsia"/>
                <w:color w:val="1A15F1"/>
                <w:highlight w:val="none"/>
                <w:lang w:val="en-US" w:eastAsia="zh-CN"/>
              </w:rPr>
            </w:pPr>
            <w:r>
              <w:rPr>
                <w:rFonts w:hint="eastAsia"/>
                <w:color w:val="1A15F1"/>
                <w:highlight w:val="none"/>
              </w:rPr>
              <w:t>比日神山国家森林公园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8</w:t>
            </w:r>
          </w:p>
        </w:tc>
        <w:tc>
          <w:tcPr>
            <w:tcW w:w="570"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工布原乡及周边地区</w:t>
            </w:r>
          </w:p>
        </w:tc>
        <w:tc>
          <w:tcPr>
            <w:tcW w:w="418"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lang w:val="en-US" w:eastAsia="zh-CN"/>
              </w:rPr>
            </w:pPr>
            <w:r>
              <w:rPr>
                <w:rFonts w:hint="eastAsia"/>
                <w:color w:val="1A15F1"/>
                <w:highlight w:val="none"/>
                <w:lang w:val="en-US" w:eastAsia="zh-CN"/>
              </w:rPr>
              <w:t>巴宜区</w:t>
            </w: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工布花谷</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完善游览、接待、文化娱乐设施</w:t>
            </w:r>
          </w:p>
        </w:tc>
        <w:tc>
          <w:tcPr>
            <w:tcW w:w="1522"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lang w:val="en-US" w:eastAsia="zh-CN"/>
              </w:rPr>
              <w:t>西藏</w:t>
            </w:r>
            <w:r>
              <w:rPr>
                <w:rFonts w:hint="eastAsia"/>
                <w:color w:val="1A15F1"/>
                <w:highlight w:val="none"/>
              </w:rPr>
              <w:t>雅鲁藏布大峡谷国家级自然保护区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9</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default"/>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default"/>
                <w:color w:val="1A15F1"/>
                <w:highlight w:val="none"/>
              </w:rPr>
            </w:pPr>
            <w:r>
              <w:rPr>
                <w:rFonts w:hint="eastAsia"/>
                <w:color w:val="1A15F1"/>
                <w:highlight w:val="none"/>
              </w:rPr>
              <w:t>喇嘛岭寺</w:t>
            </w:r>
          </w:p>
        </w:tc>
        <w:tc>
          <w:tcPr>
            <w:tcW w:w="1521"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建设“传统民俗文化体验区”的区域型服务中心，透过改造民居或新建的形式，增设精品民宿群落</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10</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珠曲登寺</w:t>
            </w:r>
          </w:p>
        </w:tc>
        <w:tc>
          <w:tcPr>
            <w:tcW w:w="1521"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11</w:t>
            </w:r>
          </w:p>
        </w:tc>
        <w:tc>
          <w:tcPr>
            <w:tcW w:w="570"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雅鲁藏布大峡谷景区及周边地区</w:t>
            </w:r>
          </w:p>
        </w:tc>
        <w:tc>
          <w:tcPr>
            <w:tcW w:w="418"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lang w:val="en-US" w:eastAsia="zh-CN"/>
              </w:rPr>
            </w:pPr>
            <w:r>
              <w:rPr>
                <w:rFonts w:hint="eastAsia"/>
                <w:color w:val="1A15F1"/>
                <w:highlight w:val="none"/>
                <w:lang w:val="en-US" w:eastAsia="zh-CN"/>
              </w:rPr>
              <w:t>米林县</w:t>
            </w: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雅鲁藏布大峡谷景区</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有序推进景区5A</w:t>
            </w:r>
            <w:r>
              <w:rPr>
                <w:rFonts w:hint="eastAsia"/>
                <w:color w:val="1A15F1"/>
                <w:highlight w:val="none"/>
                <w:lang w:eastAsia="zh-CN"/>
              </w:rPr>
              <w:t>，</w:t>
            </w:r>
            <w:r>
              <w:rPr>
                <w:rFonts w:hint="eastAsia"/>
                <w:color w:val="1A15F1"/>
                <w:highlight w:val="none"/>
              </w:rPr>
              <w:t>保护性开发峡谷漫步、帐篷营地、橡皮筏漂流等大众型休闲观光体验产品和峡谷高空蹦极、热气球、滑翔伞、直升机摄影等高端定制和特种旅游项目</w:t>
            </w:r>
          </w:p>
        </w:tc>
        <w:tc>
          <w:tcPr>
            <w:tcW w:w="1522"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lang w:val="en-US" w:eastAsia="zh-CN"/>
              </w:rPr>
              <w:t>西藏</w:t>
            </w:r>
            <w:r>
              <w:rPr>
                <w:rFonts w:hint="eastAsia"/>
                <w:color w:val="1A15F1"/>
                <w:highlight w:val="none"/>
              </w:rPr>
              <w:t>雅鲁藏布大峡谷国家级自然保护区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eastAsia"/>
                <w:highlight w:val="none"/>
                <w:lang w:val="en-US" w:eastAsia="zh-CN"/>
              </w:rPr>
              <w:t>12</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default"/>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派镇</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lang w:val="en-US" w:eastAsia="zh-CN"/>
              </w:rPr>
              <w:t>建设</w:t>
            </w:r>
            <w:r>
              <w:rPr>
                <w:rFonts w:hint="eastAsia"/>
                <w:color w:val="1A15F1"/>
                <w:highlight w:val="none"/>
              </w:rPr>
              <w:t>汽车营地</w:t>
            </w:r>
            <w:r>
              <w:rPr>
                <w:rFonts w:hint="eastAsia"/>
                <w:color w:val="1A15F1"/>
                <w:highlight w:val="none"/>
                <w:lang w:eastAsia="zh-CN"/>
              </w:rPr>
              <w:t>、</w:t>
            </w:r>
            <w:r>
              <w:rPr>
                <w:rFonts w:hint="eastAsia"/>
                <w:color w:val="1A15F1"/>
                <w:highlight w:val="none"/>
              </w:rPr>
              <w:t>发展悬崖酒店、空中餐厅等高端旅游产品</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12</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丹娘乡</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依托建设完成的农业综合开发高标准农田项目和藏鸡养殖基地，发展高原生态农业和藏鸡养殖业</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13</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羌纳乡</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提升乡村人居环境，以本土农牧产品、藏家民俗和羌纳寺佛教文化为卖点，以朗多村“找个地儿待着”民宿为参照，发展精品民宿集群</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14</w:t>
            </w:r>
          </w:p>
        </w:tc>
        <w:tc>
          <w:tcPr>
            <w:tcW w:w="570"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南伊沟景区及周边地区</w:t>
            </w:r>
          </w:p>
        </w:tc>
        <w:tc>
          <w:tcPr>
            <w:tcW w:w="418"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lang w:val="en-US" w:eastAsia="zh-CN"/>
              </w:rPr>
              <w:t>米林县</w:t>
            </w: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lang w:eastAsia="zh-CN"/>
              </w:rPr>
            </w:pPr>
            <w:r>
              <w:rPr>
                <w:rFonts w:hint="eastAsia"/>
                <w:color w:val="1A15F1"/>
                <w:highlight w:val="none"/>
              </w:rPr>
              <w:t>南伊沟景区</w:t>
            </w:r>
            <w:r>
              <w:rPr>
                <w:rFonts w:hint="eastAsia"/>
                <w:color w:val="1A15F1"/>
                <w:highlight w:val="none"/>
                <w:lang w:eastAsia="zh-CN"/>
              </w:rPr>
              <w:t>（</w:t>
            </w:r>
            <w:r>
              <w:rPr>
                <w:rFonts w:hint="eastAsia"/>
                <w:color w:val="1A15F1"/>
                <w:highlight w:val="none"/>
                <w:lang w:val="en-US" w:eastAsia="zh-CN"/>
              </w:rPr>
              <w:t>米林</w:t>
            </w:r>
            <w:r>
              <w:rPr>
                <w:rFonts w:hint="eastAsia"/>
                <w:color w:val="1A15F1"/>
                <w:highlight w:val="none"/>
                <w:lang w:eastAsia="zh-CN"/>
              </w:rPr>
              <w:t>）</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lang w:val="en-US" w:eastAsia="zh-CN"/>
              </w:rPr>
              <w:t>完善</w:t>
            </w:r>
            <w:r>
              <w:rPr>
                <w:rFonts w:hint="eastAsia"/>
                <w:color w:val="1A15F1"/>
                <w:highlight w:val="none"/>
              </w:rPr>
              <w:t>游客接待中心、停车场、</w:t>
            </w:r>
            <w:r>
              <w:rPr>
                <w:rFonts w:hint="eastAsia"/>
                <w:color w:val="1A15F1"/>
                <w:highlight w:val="none"/>
                <w:lang w:val="en-US" w:eastAsia="zh-CN"/>
              </w:rPr>
              <w:t>新建</w:t>
            </w:r>
            <w:r>
              <w:rPr>
                <w:rFonts w:hint="eastAsia"/>
                <w:color w:val="1A15F1"/>
                <w:highlight w:val="none"/>
              </w:rPr>
              <w:t>观景平台、生态厕所</w:t>
            </w:r>
          </w:p>
        </w:tc>
        <w:tc>
          <w:tcPr>
            <w:tcW w:w="1522"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西藏</w:t>
            </w:r>
            <w:r>
              <w:rPr>
                <w:rFonts w:hint="eastAsia"/>
                <w:color w:val="1A15F1"/>
                <w:highlight w:val="none"/>
                <w:lang w:val="en-US" w:eastAsia="zh-CN"/>
              </w:rPr>
              <w:t>工布自然保护区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15</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default"/>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扎贡沟景区</w:t>
            </w:r>
            <w:r>
              <w:rPr>
                <w:rFonts w:hint="eastAsia"/>
                <w:color w:val="1A15F1"/>
                <w:highlight w:val="none"/>
                <w:lang w:eastAsia="zh-CN"/>
              </w:rPr>
              <w:t>（</w:t>
            </w:r>
            <w:r>
              <w:rPr>
                <w:rFonts w:hint="eastAsia"/>
                <w:color w:val="1A15F1"/>
                <w:highlight w:val="none"/>
                <w:lang w:val="en-US" w:eastAsia="zh-CN"/>
              </w:rPr>
              <w:t>米林</w:t>
            </w:r>
            <w:r>
              <w:rPr>
                <w:rFonts w:hint="eastAsia"/>
                <w:color w:val="1A15F1"/>
                <w:highlight w:val="none"/>
                <w:lang w:eastAsia="zh-CN"/>
              </w:rPr>
              <w:t>）</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建设藏医药微型博物馆，充分利用 VR、全息投影等高科技，打造科普性与</w:t>
            </w:r>
          </w:p>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趣味性互融的藏医药展厅，进一步丰富游客体验，增强藏医药知识科普、文化传承</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16</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南伊洛巴民族乡</w:t>
            </w:r>
            <w:r>
              <w:rPr>
                <w:rFonts w:hint="eastAsia"/>
                <w:color w:val="1A15F1"/>
                <w:highlight w:val="none"/>
                <w:lang w:eastAsia="zh-CN"/>
              </w:rPr>
              <w:t>（</w:t>
            </w:r>
            <w:r>
              <w:rPr>
                <w:rFonts w:hint="eastAsia"/>
                <w:color w:val="1A15F1"/>
                <w:highlight w:val="none"/>
                <w:lang w:val="en-US" w:eastAsia="zh-CN"/>
              </w:rPr>
              <w:t>米林</w:t>
            </w:r>
            <w:r>
              <w:rPr>
                <w:rFonts w:hint="eastAsia"/>
                <w:color w:val="1A15F1"/>
                <w:highlight w:val="none"/>
                <w:lang w:eastAsia="zh-CN"/>
              </w:rPr>
              <w:t>）</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lang w:val="en-US" w:eastAsia="zh-CN"/>
              </w:rPr>
            </w:pPr>
            <w:r>
              <w:rPr>
                <w:rFonts w:hint="eastAsia"/>
                <w:color w:val="1A15F1"/>
                <w:highlight w:val="none"/>
              </w:rPr>
              <w:t>完善旅游交通、住宿、餐饮配套</w:t>
            </w:r>
            <w:r>
              <w:rPr>
                <w:rFonts w:hint="eastAsia"/>
                <w:color w:val="1A15F1"/>
                <w:highlight w:val="none"/>
                <w:lang w:val="en-US" w:eastAsia="zh-CN"/>
              </w:rPr>
              <w:t>设施</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17</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才召民俗村、</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打造度假牧居和骑行绿道</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18</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琼林珞巴民族村</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改善乡村人居环境，开设庭院式乡村精品民宿</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19</w:t>
            </w:r>
          </w:p>
        </w:tc>
        <w:tc>
          <w:tcPr>
            <w:tcW w:w="570"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lang w:eastAsia="zh-CN"/>
              </w:rPr>
            </w:pPr>
            <w:r>
              <w:rPr>
                <w:rFonts w:hint="eastAsia"/>
                <w:color w:val="1A15F1"/>
                <w:highlight w:val="none"/>
              </w:rPr>
              <w:t>巴松措 及周边地区</w:t>
            </w:r>
          </w:p>
        </w:tc>
        <w:tc>
          <w:tcPr>
            <w:tcW w:w="418"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lang w:val="en-US" w:eastAsia="zh-CN"/>
              </w:rPr>
              <w:t>工布江达</w:t>
            </w: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游客中心</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对照 5A 级景区标准，聘请专业团队，完善外语翻译、厕所标识、电线埋地等工作</w:t>
            </w:r>
          </w:p>
        </w:tc>
        <w:tc>
          <w:tcPr>
            <w:tcW w:w="1522"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西藏巴松湖国家森林公园</w:t>
            </w:r>
            <w:r>
              <w:rPr>
                <w:rFonts w:hint="eastAsia"/>
                <w:color w:val="1A15F1"/>
                <w:highlight w:val="none"/>
                <w:lang w:eastAsia="zh-CN"/>
              </w:rPr>
              <w:t>、</w:t>
            </w:r>
            <w:r>
              <w:rPr>
                <w:rFonts w:hint="eastAsia"/>
                <w:color w:val="1A15F1"/>
                <w:highlight w:val="none"/>
              </w:rPr>
              <w:t>西藏</w:t>
            </w:r>
            <w:r>
              <w:rPr>
                <w:rFonts w:hint="eastAsia"/>
                <w:color w:val="1A15F1"/>
                <w:highlight w:val="none"/>
                <w:lang w:eastAsia="zh-CN"/>
              </w:rPr>
              <w:t>朱拉河国家湿地公园、</w:t>
            </w:r>
            <w:r>
              <w:rPr>
                <w:rFonts w:hint="eastAsia"/>
                <w:color w:val="1A15F1"/>
                <w:highlight w:val="none"/>
              </w:rPr>
              <w:t>西藏</w:t>
            </w:r>
            <w:r>
              <w:rPr>
                <w:rFonts w:hint="eastAsia"/>
                <w:color w:val="1A15F1"/>
                <w:highlight w:val="none"/>
                <w:lang w:val="en-US" w:eastAsia="zh-CN"/>
              </w:rPr>
              <w:t>工布自然保护实验区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20</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default"/>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湖区</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通过完善巴松湖、新措、仲措环湖风景道路系统，建立统一标识体系，将“三措”区域连成一体；适当增加水吧、观景平台等设施</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21</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措高村</w:t>
            </w:r>
          </w:p>
        </w:tc>
        <w:tc>
          <w:tcPr>
            <w:tcW w:w="1521"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重点发展结巴村、错高村、乡村生态旅游住宿产品和周边生态旅游活动产品</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22</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结巴村</w:t>
            </w:r>
          </w:p>
        </w:tc>
        <w:tc>
          <w:tcPr>
            <w:tcW w:w="1521"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23</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巴河镇农业观光园</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连体温室大棚、住宿酒店、服务区，集住宿、餐饮、休闲、采摘、科普、培训为一体</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24</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杂拉沟</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发展旅游综合接待、配套户外商品售卖</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25</w:t>
            </w:r>
          </w:p>
        </w:tc>
        <w:tc>
          <w:tcPr>
            <w:tcW w:w="570"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帕隆藏布一河两岸</w:t>
            </w:r>
          </w:p>
        </w:tc>
        <w:tc>
          <w:tcPr>
            <w:tcW w:w="418"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lang w:val="en-US" w:eastAsia="zh-CN"/>
              </w:rPr>
              <w:t>波密县</w:t>
            </w: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岗云杉林</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建立生态敏感区监测体系；限制社会车辆进入，配置电瓶车、马车、马匹等环保交通工具。</w:t>
            </w:r>
          </w:p>
        </w:tc>
        <w:tc>
          <w:tcPr>
            <w:tcW w:w="152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lang w:val="en-US" w:eastAsia="zh-CN"/>
              </w:rPr>
              <w:t>西藏</w:t>
            </w:r>
            <w:r>
              <w:rPr>
                <w:rFonts w:hint="eastAsia"/>
                <w:color w:val="1A15F1"/>
                <w:highlight w:val="none"/>
              </w:rPr>
              <w:t>雅鲁藏布大峡谷国家级自然保护区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26</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default"/>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波堆桃花谷</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深度开发桃子采摘、桃品鉴赏、动物喂饲、桃胶烹调、桃核雕刻制作等体验活动</w:t>
            </w:r>
          </w:p>
        </w:tc>
        <w:tc>
          <w:tcPr>
            <w:tcW w:w="152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lang w:val="en-US" w:eastAsia="zh-CN"/>
              </w:rPr>
            </w:pPr>
            <w:r>
              <w:rPr>
                <w:rFonts w:hint="eastAsia"/>
                <w:color w:val="1A15F1"/>
                <w:highlight w:val="none"/>
                <w:lang w:val="en-US" w:eastAsia="zh-CN"/>
              </w:rPr>
              <w:t>桃花谷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27</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嘎朗国家湿地公园</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完善观光体验、森林康养、自然教育等业态的布局；充分利用现有的消防瞭望台，开放予游客作森林防火教育和观光摄影之用</w:t>
            </w:r>
          </w:p>
        </w:tc>
        <w:tc>
          <w:tcPr>
            <w:tcW w:w="1522"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lang w:val="en-US" w:eastAsia="zh-CN"/>
              </w:rPr>
              <w:t>西藏</w:t>
            </w:r>
            <w:r>
              <w:rPr>
                <w:rFonts w:hint="eastAsia"/>
                <w:color w:val="1A15F1"/>
                <w:highlight w:val="none"/>
              </w:rPr>
              <w:t>嘎朗国家湿地公园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28</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嘎朗村</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增设停车、咨询、厕所、解说、环卫等基础设施</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29</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lang w:val="en-US" w:eastAsia="zh-CN"/>
              </w:rPr>
            </w:pPr>
            <w:r>
              <w:rPr>
                <w:rFonts w:hint="eastAsia"/>
                <w:color w:val="1A15F1"/>
                <w:highlight w:val="none"/>
              </w:rPr>
              <w:t>古乡</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布设花池、停车场、公共厕所、标识系统，以及特产商铺群</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30</w:t>
            </w:r>
          </w:p>
        </w:tc>
        <w:tc>
          <w:tcPr>
            <w:tcW w:w="570"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lang w:eastAsia="zh-CN"/>
              </w:rPr>
            </w:pPr>
            <w:r>
              <w:rPr>
                <w:rFonts w:hint="eastAsia"/>
                <w:color w:val="1A15F1"/>
                <w:highlight w:val="none"/>
              </w:rPr>
              <w:t>易贡国家地质公园 及周边地区</w:t>
            </w:r>
            <w:r>
              <w:rPr>
                <w:rFonts w:hint="eastAsia"/>
                <w:color w:val="1A15F1"/>
                <w:highlight w:val="none"/>
                <w:lang w:eastAsia="zh-CN"/>
              </w:rPr>
              <w:t>（</w:t>
            </w:r>
            <w:r>
              <w:rPr>
                <w:rFonts w:hint="eastAsia"/>
                <w:color w:val="1A15F1"/>
                <w:highlight w:val="none"/>
                <w:lang w:val="en-US" w:eastAsia="zh-CN"/>
              </w:rPr>
              <w:t>波密县</w:t>
            </w:r>
            <w:r>
              <w:rPr>
                <w:rFonts w:hint="eastAsia"/>
                <w:color w:val="1A15F1"/>
                <w:highlight w:val="none"/>
                <w:lang w:eastAsia="zh-CN"/>
              </w:rPr>
              <w:t>）</w:t>
            </w:r>
          </w:p>
        </w:tc>
        <w:tc>
          <w:tcPr>
            <w:tcW w:w="418"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lang w:val="en-US" w:eastAsia="zh-CN"/>
              </w:rPr>
              <w:t>波密县</w:t>
            </w: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易贡国家地质公园</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新建“易贡地质公园博物馆”、“多媒体地质灾害模拟演示中心”、“游客环境教育中心”等设施；就滑坡高发地带和裸露山体实施连续性监控和复绿治理</w:t>
            </w:r>
          </w:p>
        </w:tc>
        <w:tc>
          <w:tcPr>
            <w:tcW w:w="152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易贡国家地质公园、</w:t>
            </w:r>
            <w:r>
              <w:rPr>
                <w:rFonts w:hint="eastAsia"/>
                <w:color w:val="1A15F1"/>
                <w:highlight w:val="none"/>
                <w:lang w:val="en-US" w:eastAsia="zh-CN"/>
              </w:rPr>
              <w:t>西藏</w:t>
            </w:r>
            <w:r>
              <w:rPr>
                <w:rFonts w:hint="eastAsia"/>
                <w:color w:val="1A15F1"/>
                <w:highlight w:val="none"/>
              </w:rPr>
              <w:t>雅鲁藏布大峡谷国家级自然保护区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31</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default"/>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易贡湖</w:t>
            </w:r>
          </w:p>
        </w:tc>
        <w:tc>
          <w:tcPr>
            <w:tcW w:w="1521" w:type="pct"/>
            <w:vAlign w:val="center"/>
          </w:tcPr>
          <w:p>
            <w:pPr>
              <w:pStyle w:val="28"/>
              <w:keepNext w:val="0"/>
              <w:keepLines w:val="0"/>
              <w:suppressLineNumbers w:val="0"/>
              <w:bidi w:val="0"/>
              <w:spacing w:beforeAutospacing="0" w:afterAutospacing="0" w:line="276" w:lineRule="auto"/>
              <w:ind w:left="0" w:right="0"/>
              <w:rPr>
                <w:rFonts w:hint="default"/>
                <w:color w:val="1A15F1"/>
                <w:highlight w:val="none"/>
                <w:lang w:val="en-US" w:eastAsia="zh-CN"/>
              </w:rPr>
            </w:pPr>
            <w:r>
              <w:rPr>
                <w:rFonts w:hint="eastAsia"/>
                <w:color w:val="1A15F1"/>
                <w:highlight w:val="none"/>
                <w:lang w:val="en-US" w:eastAsia="zh-CN"/>
              </w:rPr>
              <w:t>完善基础设施建设</w:t>
            </w:r>
          </w:p>
        </w:tc>
        <w:tc>
          <w:tcPr>
            <w:tcW w:w="152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易贡国家地质公园、雅鲁藏布大峡谷国家级自然保护区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32</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易贡茶场</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开设藏式甜茶馆，利用茶场旧厂房发展民宿产品</w:t>
            </w:r>
          </w:p>
        </w:tc>
        <w:tc>
          <w:tcPr>
            <w:tcW w:w="1522"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lang w:val="en-US" w:eastAsia="zh-CN"/>
              </w:rPr>
              <w:t>西藏</w:t>
            </w:r>
            <w:r>
              <w:rPr>
                <w:rFonts w:hint="eastAsia"/>
                <w:color w:val="1A15F1"/>
                <w:highlight w:val="none"/>
              </w:rPr>
              <w:t>雅鲁藏布大峡谷国家自然保护区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33</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铁山</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适度开展“易贡藏刀”的生产加工观摩、体验活动</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34</w:t>
            </w:r>
          </w:p>
        </w:tc>
        <w:tc>
          <w:tcPr>
            <w:tcW w:w="570"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墨脱县城 及周边地区</w:t>
            </w:r>
          </w:p>
        </w:tc>
        <w:tc>
          <w:tcPr>
            <w:tcW w:w="418"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lang w:val="en-US" w:eastAsia="zh-CN"/>
              </w:rPr>
            </w:pPr>
            <w:r>
              <w:rPr>
                <w:rFonts w:hint="eastAsia"/>
                <w:color w:val="1A15F1"/>
                <w:highlight w:val="none"/>
                <w:lang w:val="en-US" w:eastAsia="zh-CN"/>
              </w:rPr>
              <w:t>墨脱县</w:t>
            </w: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德兴民俗村</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结合村级配套设施，打造富有亚热带雨林风情和少数民族特色的精品民宿度假群落；因应门巴族传统建筑和德兴藤网桥的结构和形制，改造当代建筑，塑造更为协调的建筑风貌；活化广场、公园等公共空间，开展歌舞、射箭、摔跤、抱石、攀藤索等康体运动。</w:t>
            </w:r>
          </w:p>
        </w:tc>
        <w:tc>
          <w:tcPr>
            <w:tcW w:w="1522"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lang w:val="en-US" w:eastAsia="zh-CN"/>
              </w:rPr>
              <w:t>西藏</w:t>
            </w:r>
            <w:r>
              <w:rPr>
                <w:rFonts w:hint="eastAsia"/>
                <w:color w:val="1A15F1"/>
                <w:highlight w:val="none"/>
              </w:rPr>
              <w:t>雅鲁藏布大峡谷国家自然保护区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35</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default"/>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仁青崩寺</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布置标识系统、修复生态，建立森林康养和宗教文化体验主题的徒步径</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36</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莲花阁</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沿线配套自行车租赁、观景台、户外健身器械等设施</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37</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布裙湖风景区</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建设台阶型、爬梯型、栈桥型等地面观光通道，建立全时游览体系</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38</w:t>
            </w:r>
          </w:p>
        </w:tc>
        <w:tc>
          <w:tcPr>
            <w:tcW w:w="570"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背崩徒步站 及周边地区</w:t>
            </w:r>
          </w:p>
        </w:tc>
        <w:tc>
          <w:tcPr>
            <w:tcW w:w="418" w:type="pct"/>
            <w:vMerge w:val="restar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lang w:val="en-US" w:eastAsia="zh-CN"/>
              </w:rPr>
              <w:t>墨脱县</w:t>
            </w: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派墨徒步路线</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打造精品旅游徒步路线；接入林芝智慧旅游大数据平台，为游客和景区决策方提供路况、险情预警、客流监测等资讯</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39</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default"/>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背崩徒步站</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补充餐饮、营地、物资补给、医疗救助等功能</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eastAsia="宋体"/>
                <w:highlight w:val="none"/>
                <w:lang w:val="en-US" w:eastAsia="zh-CN"/>
              </w:rPr>
            </w:pPr>
            <w:r>
              <w:rPr>
                <w:rFonts w:hint="eastAsia"/>
                <w:highlight w:val="none"/>
                <w:lang w:val="en-US" w:eastAsia="zh-CN"/>
              </w:rPr>
              <w:t>40</w:t>
            </w:r>
          </w:p>
        </w:tc>
        <w:tc>
          <w:tcPr>
            <w:tcW w:w="570"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418"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背崩村</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建设“派墨徒步博物馆”</w:t>
            </w:r>
          </w:p>
        </w:tc>
        <w:tc>
          <w:tcPr>
            <w:tcW w:w="1522" w:type="pct"/>
            <w:vMerge w:val="continue"/>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41</w:t>
            </w:r>
          </w:p>
        </w:tc>
        <w:tc>
          <w:tcPr>
            <w:tcW w:w="570"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梅里雪山及甲兴片区</w:t>
            </w:r>
          </w:p>
        </w:tc>
        <w:tc>
          <w:tcPr>
            <w:tcW w:w="418"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lang w:val="en-US" w:eastAsia="zh-CN"/>
              </w:rPr>
            </w:pPr>
            <w:r>
              <w:rPr>
                <w:rFonts w:hint="eastAsia"/>
                <w:color w:val="1A15F1"/>
                <w:highlight w:val="none"/>
                <w:lang w:val="en-US" w:eastAsia="zh-CN"/>
              </w:rPr>
              <w:t>察隅县</w:t>
            </w:r>
          </w:p>
        </w:tc>
        <w:tc>
          <w:tcPr>
            <w:tcW w:w="76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梅里雪山</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加强旅游基础设施建设为主，修复提升转山道路，沿转山道修建观景平台及标识系统</w:t>
            </w:r>
          </w:p>
        </w:tc>
        <w:tc>
          <w:tcPr>
            <w:tcW w:w="1522"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lang w:val="en-US" w:eastAsia="zh-CN"/>
              </w:rPr>
            </w:pPr>
            <w:r>
              <w:rPr>
                <w:rFonts w:hint="eastAsia"/>
                <w:color w:val="1A15F1"/>
                <w:highlight w:val="none"/>
                <w:lang w:val="en-US" w:eastAsia="zh-CN"/>
              </w:rPr>
              <w:t>察隅县</w:t>
            </w:r>
            <w:r>
              <w:rPr>
                <w:rFonts w:hint="eastAsia"/>
                <w:color w:val="1A15F1"/>
                <w:highlight w:val="none"/>
              </w:rPr>
              <w:t>梅里雪山</w:t>
            </w:r>
            <w:r>
              <w:rPr>
                <w:rFonts w:hint="eastAsia"/>
                <w:color w:val="1A15F1"/>
                <w:highlight w:val="none"/>
                <w:lang w:val="en-US" w:eastAsia="zh-CN"/>
              </w:rPr>
              <w:t>西坡风景景区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04"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42</w:t>
            </w:r>
          </w:p>
        </w:tc>
        <w:tc>
          <w:tcPr>
            <w:tcW w:w="570"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lang w:eastAsia="zh-CN"/>
              </w:rPr>
            </w:pPr>
            <w:r>
              <w:rPr>
                <w:rFonts w:hint="eastAsia"/>
                <w:color w:val="1A15F1"/>
                <w:highlight w:val="none"/>
              </w:rPr>
              <w:t>下察隅 及周边地区</w:t>
            </w:r>
          </w:p>
        </w:tc>
        <w:tc>
          <w:tcPr>
            <w:tcW w:w="418"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lang w:val="en-US" w:eastAsia="zh-CN"/>
              </w:rPr>
              <w:t>察隅县</w:t>
            </w:r>
          </w:p>
        </w:tc>
        <w:tc>
          <w:tcPr>
            <w:tcW w:w="762" w:type="pct"/>
            <w:vAlign w:val="center"/>
          </w:tcPr>
          <w:p>
            <w:pPr>
              <w:pStyle w:val="28"/>
              <w:keepNext w:val="0"/>
              <w:keepLines w:val="0"/>
              <w:suppressLineNumbers w:val="0"/>
              <w:bidi w:val="0"/>
              <w:spacing w:beforeAutospacing="0" w:afterAutospacing="0" w:line="276" w:lineRule="auto"/>
              <w:ind w:left="0" w:right="0"/>
              <w:rPr>
                <w:rFonts w:hint="default" w:eastAsia="宋体"/>
                <w:color w:val="1A15F1"/>
                <w:highlight w:val="none"/>
                <w:lang w:val="en-US" w:eastAsia="zh-CN"/>
              </w:rPr>
            </w:pPr>
            <w:r>
              <w:rPr>
                <w:rFonts w:hint="eastAsia"/>
                <w:color w:val="1A15F1"/>
                <w:highlight w:val="none"/>
                <w:lang w:val="en-US" w:eastAsia="zh-CN"/>
              </w:rPr>
              <w:t>慈巴沟景区</w:t>
            </w:r>
          </w:p>
        </w:tc>
        <w:tc>
          <w:tcPr>
            <w:tcW w:w="1521" w:type="pct"/>
            <w:vAlign w:val="center"/>
          </w:tcPr>
          <w:p>
            <w:pPr>
              <w:pStyle w:val="28"/>
              <w:keepNext w:val="0"/>
              <w:keepLines w:val="0"/>
              <w:suppressLineNumbers w:val="0"/>
              <w:bidi w:val="0"/>
              <w:spacing w:beforeAutospacing="0" w:afterAutospacing="0" w:line="276" w:lineRule="auto"/>
              <w:ind w:left="0" w:right="0"/>
              <w:rPr>
                <w:rFonts w:hint="eastAsia"/>
                <w:color w:val="1A15F1"/>
                <w:highlight w:val="none"/>
              </w:rPr>
            </w:pPr>
            <w:r>
              <w:rPr>
                <w:rFonts w:hint="eastAsia"/>
                <w:color w:val="1A15F1"/>
                <w:highlight w:val="none"/>
              </w:rPr>
              <w:t>开展生态休闲旅游，建设生态小道，开展徒步、生态通道旅游</w:t>
            </w:r>
          </w:p>
        </w:tc>
        <w:tc>
          <w:tcPr>
            <w:tcW w:w="1522" w:type="pct"/>
            <w:vAlign w:val="center"/>
          </w:tcPr>
          <w:p>
            <w:pPr>
              <w:pStyle w:val="28"/>
              <w:keepNext w:val="0"/>
              <w:keepLines w:val="0"/>
              <w:suppressLineNumbers w:val="0"/>
              <w:bidi w:val="0"/>
              <w:spacing w:beforeAutospacing="0" w:afterAutospacing="0" w:line="276" w:lineRule="auto"/>
              <w:ind w:left="0" w:right="0"/>
              <w:rPr>
                <w:rFonts w:hint="default" w:eastAsia="宋体"/>
                <w:color w:val="1A15F1"/>
                <w:highlight w:val="none"/>
                <w:lang w:val="en-US" w:eastAsia="zh-CN"/>
              </w:rPr>
            </w:pPr>
            <w:r>
              <w:rPr>
                <w:rFonts w:hint="eastAsia"/>
                <w:color w:val="1A15F1"/>
                <w:highlight w:val="none"/>
                <w:lang w:val="en-US" w:eastAsia="zh-CN"/>
              </w:rPr>
              <w:t>西藏慈巴沟国家级自然保护区</w:t>
            </w:r>
          </w:p>
        </w:tc>
      </w:tr>
    </w:tbl>
    <w:p>
      <w:pPr>
        <w:pStyle w:val="6"/>
        <w:rPr>
          <w:rFonts w:hint="eastAsia"/>
          <w:highlight w:val="none"/>
          <w:lang w:val="en-US" w:eastAsia="zh-CN"/>
        </w:rPr>
      </w:pPr>
    </w:p>
    <w:p>
      <w:pPr>
        <w:pStyle w:val="6"/>
        <w:ind w:left="0" w:leftChars="0" w:firstLine="0" w:firstLineChars="0"/>
        <w:rPr>
          <w:rFonts w:hint="eastAsia"/>
          <w:highlight w:val="none"/>
          <w:lang w:val="en-US" w:eastAsia="zh-CN"/>
        </w:rPr>
      </w:pPr>
    </w:p>
    <w:p>
      <w:pPr>
        <w:pStyle w:val="6"/>
        <w:rPr>
          <w:rFonts w:hint="eastAsia"/>
          <w:highlight w:val="none"/>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6"/>
        <w:rPr>
          <w:rFonts w:hint="default"/>
          <w:b/>
          <w:bCs/>
          <w:highlight w:val="none"/>
          <w:lang w:val="en-US" w:eastAsia="zh-CN"/>
        </w:rPr>
      </w:pPr>
      <w:r>
        <w:rPr>
          <w:rFonts w:hint="eastAsia"/>
          <w:b/>
          <w:bCs/>
          <w:highlight w:val="none"/>
          <w:lang w:val="en-US" w:eastAsia="zh-CN"/>
        </w:rPr>
        <w:t>（3）小结</w:t>
      </w:r>
    </w:p>
    <w:p>
      <w:pPr>
        <w:pStyle w:val="6"/>
        <w:ind w:firstLine="480"/>
        <w:rPr>
          <w:rFonts w:hint="eastAsia"/>
          <w:color w:val="2A26F7"/>
        </w:rPr>
      </w:pPr>
      <w:r>
        <w:rPr>
          <w:rFonts w:hint="eastAsia"/>
          <w:color w:val="2A26F7"/>
        </w:rPr>
        <w:t>初步判断，本次规划中可能涉及重点优先保护区的建设项目</w:t>
      </w:r>
      <w:r>
        <w:rPr>
          <w:rFonts w:hint="eastAsia"/>
          <w:color w:val="2A26F7"/>
          <w:lang w:val="en-US" w:eastAsia="zh-CN"/>
        </w:rPr>
        <w:t>42</w:t>
      </w:r>
      <w:r>
        <w:rPr>
          <w:rFonts w:hint="eastAsia"/>
          <w:color w:val="2A26F7"/>
        </w:rPr>
        <w:t>个，并要求所有建设项目在后续实施阶段应进一步落实是否涉及该管控区。对于涉及西藏雅鲁藏布大峡谷国家级自然保护区、西藏察隅慈巴沟国家级自然保护区、西藏工布自然保护区、林芝巴结巨柏自然保护区、西藏白朗沟白唇鹿自然保护区的项目应严格按照</w:t>
      </w:r>
      <w:r>
        <w:rPr>
          <w:color w:val="2A26F7"/>
        </w:rPr>
        <w:t>《中华人民共和国自然保护区条例》</w:t>
      </w:r>
      <w:r>
        <w:rPr>
          <w:rFonts w:hint="eastAsia"/>
          <w:color w:val="2A26F7"/>
        </w:rPr>
        <w:t>、《在国家级自然保护区修筑设施审批管理暂行办法》、《关于进一步加强涉及自然保护区开发建设活动监督管理的通知》、</w:t>
      </w:r>
      <w:r>
        <w:rPr>
          <w:color w:val="2A26F7"/>
        </w:rPr>
        <w:t>《关于做好自然保护区范围及功能分区优化调整前期有关工作的函》</w:t>
      </w:r>
      <w:r>
        <w:rPr>
          <w:rFonts w:hint="eastAsia"/>
          <w:color w:val="2A26F7"/>
        </w:rPr>
        <w:t>等进行管理；对于涉及西藏色季拉国家森林公园、西藏巴松湖国家森林公园、西藏比日神山国家森林公园的项目，依据《森林公园管理办法》《国家级森林公园管理办法》等进行管理；对于涉及西藏雅尼国家湿地公园、西藏嘎朗国家湿地公园、西藏朱拉河国家湿地公园的规划项目需按《国家湿地公园管理办法》《湿地保护管理规定》等进行管理。</w:t>
      </w:r>
    </w:p>
    <w:p>
      <w:pPr>
        <w:pStyle w:val="6"/>
        <w:rPr>
          <w:rFonts w:hint="eastAsia"/>
          <w:highlight w:val="none"/>
          <w:lang w:val="en-US" w:eastAsia="zh-CN"/>
        </w:rPr>
      </w:pPr>
      <w:r>
        <w:rPr>
          <w:rFonts w:hint="eastAsia"/>
          <w:highlight w:val="none"/>
          <w:lang w:val="en-US" w:eastAsia="zh-CN"/>
        </w:rPr>
        <w:t>初步判断本次规划为旅游规划，不涉及重点管控单元中的工业集中区、矿区等，主要涉及城镇开发边界重点管控单元及历史人文景区重点管控单元。此类规划项目大部分位于各城镇生活区，应遵守各管控单元的相关空间布局约束、污染物排放管控、环境风险防控及资源开发利用效率要求，落实并执行。</w:t>
      </w:r>
    </w:p>
    <w:p>
      <w:pPr>
        <w:pStyle w:val="6"/>
        <w:rPr>
          <w:rFonts w:hint="eastAsia"/>
          <w:highlight w:val="none"/>
          <w:lang w:val="en-US" w:eastAsia="zh-CN"/>
        </w:rPr>
      </w:pPr>
      <w:r>
        <w:rPr>
          <w:rFonts w:hint="eastAsia"/>
          <w:highlight w:val="none"/>
          <w:lang w:val="en-US" w:eastAsia="zh-CN"/>
        </w:rPr>
        <w:t>本次规划符合并遵守《</w:t>
      </w:r>
      <w:r>
        <w:rPr>
          <w:rFonts w:hint="eastAsia"/>
          <w:color w:val="auto"/>
          <w:highlight w:val="none"/>
          <w:lang w:val="en-US" w:eastAsia="zh-CN"/>
        </w:rPr>
        <w:t>林芝市“三线一单”生态环境分区管控实施意见</w:t>
      </w:r>
      <w:r>
        <w:rPr>
          <w:rFonts w:hint="eastAsia"/>
          <w:highlight w:val="none"/>
          <w:lang w:val="en-US" w:eastAsia="zh-CN"/>
        </w:rPr>
        <w:t>》提出的约束性及控制性要求，并在规划实施阶段进一步落实，对于不符合《实施意见》管理要求的即时纠正，避免出现违法违规侵占保护用地，并根据实际情况依据相关自然保护区、风景名胜区、重要湿地等管理要求进行调整、修改。项目建设应符合属地“三线一单”管理要求，做好环保“三同时”，确保污染物达标排放，避免环境污染事件发生，确保规划实施过程依法依规。</w:t>
      </w:r>
    </w:p>
    <w:p>
      <w:pPr>
        <w:pStyle w:val="4"/>
        <w:bidi w:val="0"/>
        <w:rPr>
          <w:rFonts w:hint="eastAsia"/>
          <w:color w:val="auto"/>
          <w:highlight w:val="none"/>
        </w:rPr>
      </w:pPr>
      <w:bookmarkStart w:id="75" w:name="_Toc9062"/>
      <w:r>
        <w:rPr>
          <w:rFonts w:hint="eastAsia"/>
          <w:color w:val="auto"/>
          <w:highlight w:val="none"/>
        </w:rPr>
        <w:t>2.3</w:t>
      </w:r>
      <w:r>
        <w:rPr>
          <w:rFonts w:hint="eastAsia"/>
        </w:rPr>
        <w:t>规划的不确定性</w:t>
      </w:r>
      <w:r>
        <w:rPr>
          <w:rFonts w:hint="eastAsia"/>
          <w:lang w:val="en-US" w:eastAsia="zh-CN"/>
        </w:rPr>
        <w:t>及应对分析</w:t>
      </w:r>
      <w:bookmarkEnd w:id="75"/>
    </w:p>
    <w:p>
      <w:pPr>
        <w:pStyle w:val="6"/>
        <w:bidi w:val="0"/>
        <w:rPr>
          <w:rFonts w:hint="eastAsia"/>
          <w:color w:val="1A15F1"/>
          <w:highlight w:val="none"/>
        </w:rPr>
      </w:pPr>
      <w:r>
        <w:rPr>
          <w:rFonts w:hint="eastAsia"/>
          <w:color w:val="1A15F1"/>
          <w:highlight w:val="none"/>
        </w:rPr>
        <w:t>《林芝市全域旅游发展规划（2018-2025年）》是</w:t>
      </w:r>
      <w:r>
        <w:rPr>
          <w:rFonts w:hint="eastAsia"/>
          <w:color w:val="1A15F1"/>
          <w:highlight w:val="none"/>
          <w:lang w:val="en-US" w:eastAsia="zh-CN"/>
        </w:rPr>
        <w:t>林芝市全域</w:t>
      </w:r>
      <w:r>
        <w:rPr>
          <w:rFonts w:hint="eastAsia"/>
          <w:color w:val="1A15F1"/>
          <w:highlight w:val="none"/>
        </w:rPr>
        <w:t>旅游业发展的综合性方案，涉及门类广、种类多，规划仅从宏观层面给出了</w:t>
      </w:r>
      <w:r>
        <w:rPr>
          <w:rFonts w:hint="eastAsia"/>
          <w:color w:val="1A15F1"/>
          <w:highlight w:val="none"/>
          <w:lang w:val="en-US" w:eastAsia="zh-CN"/>
        </w:rPr>
        <w:t>林芝市</w:t>
      </w:r>
      <w:r>
        <w:rPr>
          <w:rFonts w:hint="eastAsia"/>
          <w:color w:val="1A15F1"/>
          <w:highlight w:val="none"/>
        </w:rPr>
        <w:t>旅游业发展总体指标，仅有部分重点建设项目名称和发展方向，未给出定量的发展规模、指标，规划实施过程中存在诸多不确定性，具体表现在以下几个方面。</w:t>
      </w:r>
    </w:p>
    <w:p>
      <w:pPr>
        <w:pStyle w:val="6"/>
        <w:ind w:firstLine="480"/>
        <w:rPr>
          <w:rFonts w:hint="default" w:eastAsia="宋体"/>
          <w:b/>
          <w:bCs/>
          <w:lang w:val="en-US" w:eastAsia="zh-CN"/>
        </w:rPr>
      </w:pPr>
      <w:r>
        <w:rPr>
          <w:rFonts w:hint="eastAsia"/>
          <w:b/>
          <w:bCs/>
          <w:lang w:val="en-US" w:eastAsia="zh-CN"/>
        </w:rPr>
        <w:t>1、规划的不确定性分析</w:t>
      </w:r>
    </w:p>
    <w:p>
      <w:pPr>
        <w:pStyle w:val="6"/>
        <w:ind w:firstLine="480"/>
        <w:rPr>
          <w:rFonts w:hint="eastAsia"/>
        </w:rPr>
      </w:pPr>
      <w:r>
        <w:rPr>
          <w:rFonts w:hint="eastAsia"/>
          <w:lang w:eastAsia="zh-CN"/>
        </w:rPr>
        <w:t>（</w:t>
      </w:r>
      <w:r>
        <w:rPr>
          <w:rFonts w:hint="eastAsia"/>
          <w:lang w:val="en-US" w:eastAsia="zh-CN"/>
        </w:rPr>
        <w:t>1</w:t>
      </w:r>
      <w:r>
        <w:rPr>
          <w:rFonts w:hint="eastAsia"/>
          <w:lang w:eastAsia="zh-CN"/>
        </w:rPr>
        <w:t>）</w:t>
      </w:r>
      <w:r>
        <w:rPr>
          <w:rFonts w:hint="eastAsia"/>
        </w:rPr>
        <w:t>规划</w:t>
      </w:r>
      <w:r>
        <w:rPr>
          <w:rFonts w:hint="eastAsia"/>
          <w:color w:val="1A15F1"/>
          <w:highlight w:val="none"/>
        </w:rPr>
        <w:t>仅从宏观层面给出了</w:t>
      </w:r>
      <w:r>
        <w:rPr>
          <w:rFonts w:hint="eastAsia"/>
          <w:color w:val="1A15F1"/>
          <w:highlight w:val="none"/>
          <w:lang w:val="en-US" w:eastAsia="zh-CN"/>
        </w:rPr>
        <w:t>林芝市</w:t>
      </w:r>
      <w:r>
        <w:rPr>
          <w:rFonts w:hint="eastAsia"/>
          <w:color w:val="1A15F1"/>
          <w:highlight w:val="none"/>
        </w:rPr>
        <w:t>旅游业发展总体指标，仅有部分重点建设项目名称和发展方向，未给出定量的发展规模、指标</w:t>
      </w:r>
      <w:r>
        <w:rPr>
          <w:rFonts w:hint="eastAsia"/>
          <w:color w:val="1A15F1"/>
          <w:highlight w:val="none"/>
          <w:lang w:eastAsia="zh-CN"/>
        </w:rPr>
        <w:t>，</w:t>
      </w:r>
      <w:r>
        <w:rPr>
          <w:rFonts w:hint="eastAsia"/>
        </w:rPr>
        <w:t>其后续实际发展状况存在不确定性。</w:t>
      </w:r>
      <w:r>
        <w:rPr>
          <w:rFonts w:hint="eastAsia"/>
          <w:color w:val="auto"/>
          <w:lang w:val="en-US" w:eastAsia="zh-CN"/>
        </w:rPr>
        <w:t>《林芝市全域旅游发展规划（2018~2025年）》中主题旅游县发展指引、十五个泛景区发展指引、旅游发展带指引</w:t>
      </w:r>
      <w:r>
        <w:rPr>
          <w:rFonts w:hint="eastAsia"/>
        </w:rPr>
        <w:t>三者之间存在项目包含关系，规划项目的关系存在一定的模糊性</w:t>
      </w:r>
      <w:r>
        <w:rPr>
          <w:rFonts w:hint="eastAsia"/>
          <w:lang w:eastAsia="zh-CN"/>
        </w:rPr>
        <w:t>。</w:t>
      </w:r>
      <w:r>
        <w:rPr>
          <w:rFonts w:hint="eastAsia"/>
        </w:rPr>
        <w:t>且部分项目点缺少专项规划及修建性详规等，规划环境影响评价的工作深度受规划层次、详细程度所制约。</w:t>
      </w:r>
    </w:p>
    <w:p>
      <w:pPr>
        <w:pStyle w:val="6"/>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本规划的实施主要依托旅游资源等，在规划实施过程中所依托的旅游资源及环境条件可能会发生变化；本次规划所涉及的区域旅游人数、可游览面积不确定，导致环境承载量、旅游环境承载力的不确定。规划各区域涉及面积较广，各区环境现状差异较大，环境容量的不确定性。</w:t>
      </w:r>
    </w:p>
    <w:p>
      <w:pPr>
        <w:pStyle w:val="6"/>
        <w:bidi w:val="0"/>
        <w:rPr>
          <w:rFonts w:hint="eastAsia"/>
        </w:rPr>
      </w:pPr>
      <w:r>
        <w:rPr>
          <w:rFonts w:hint="eastAsia"/>
          <w:lang w:eastAsia="zh-CN"/>
        </w:rPr>
        <w:t>（</w:t>
      </w:r>
      <w:r>
        <w:rPr>
          <w:rFonts w:hint="eastAsia"/>
          <w:lang w:val="en-US" w:eastAsia="zh-CN"/>
        </w:rPr>
        <w:t>3</w:t>
      </w:r>
      <w:r>
        <w:rPr>
          <w:rFonts w:hint="eastAsia"/>
          <w:lang w:eastAsia="zh-CN"/>
        </w:rPr>
        <w:t>）</w:t>
      </w:r>
      <w:r>
        <w:rPr>
          <w:rFonts w:hint="eastAsia"/>
        </w:rPr>
        <w:t>由于规划中存在规划项目选址</w:t>
      </w:r>
      <w:r>
        <w:rPr>
          <w:rFonts w:hint="eastAsia"/>
          <w:lang w:val="en-US" w:eastAsia="zh-CN"/>
        </w:rPr>
        <w:t>与建设</w:t>
      </w:r>
      <w:r>
        <w:rPr>
          <w:rFonts w:hint="eastAsia"/>
        </w:rPr>
        <w:t>规模的不确定性，本报告在对各类旅游项目周边保护目标进行叠图分析时存在边界误差，从而可能导致识别的环境保护目标出现缺漏或者多余的情况，且由于部分项目缺少矢量资料，采用缓冲工具进行叠图分析，对保护目标的识别也存在一定的不确定。</w:t>
      </w:r>
    </w:p>
    <w:p>
      <w:pPr>
        <w:pStyle w:val="6"/>
        <w:bidi w:val="0"/>
        <w:rPr>
          <w:rFonts w:hint="eastAsia"/>
          <w:b/>
          <w:bCs/>
        </w:rPr>
      </w:pPr>
      <w:r>
        <w:rPr>
          <w:rFonts w:hint="eastAsia"/>
          <w:b/>
          <w:bCs/>
          <w:lang w:val="en-US" w:eastAsia="zh-CN"/>
        </w:rPr>
        <w:t>2、</w:t>
      </w:r>
      <w:r>
        <w:rPr>
          <w:rFonts w:hint="eastAsia"/>
          <w:b/>
          <w:bCs/>
        </w:rPr>
        <w:t>规划不确定的应对分析</w:t>
      </w:r>
    </w:p>
    <w:p>
      <w:pPr>
        <w:pStyle w:val="6"/>
        <w:ind w:firstLine="480"/>
        <w:rPr>
          <w:rFonts w:hint="eastAsia"/>
        </w:rPr>
      </w:pPr>
      <w:r>
        <w:rPr>
          <w:rFonts w:hint="eastAsia"/>
        </w:rPr>
        <w:t>由于规划基础条件及具体方案的不确定，规划在实施过程中会给规划社会经济、环境影响和生态环境分析等带来一定的影响，因此在规划实施过程中对产生的不确定性进行相应的应对分析，使之产生的影响较小。</w:t>
      </w:r>
    </w:p>
    <w:p>
      <w:pPr>
        <w:pStyle w:val="6"/>
        <w:ind w:firstLine="480"/>
        <w:rPr>
          <w:rFonts w:hint="eastAsia"/>
          <w:color w:val="auto"/>
          <w:highlight w:val="none"/>
        </w:rPr>
      </w:pPr>
      <w:r>
        <w:rPr>
          <w:rFonts w:hint="eastAsia"/>
          <w:highlight w:val="none"/>
        </w:rPr>
        <w:t>目前，林芝市全域旅游发展规划（2018-2025年）只考虑了旅游发展方向和发展目标，</w:t>
      </w:r>
      <w:r>
        <w:rPr>
          <w:rFonts w:hint="eastAsia"/>
          <w:highlight w:val="none"/>
          <w:lang w:val="en-US" w:eastAsia="zh-CN"/>
        </w:rPr>
        <w:t>规划项目后续</w:t>
      </w:r>
      <w:r>
        <w:rPr>
          <w:rFonts w:hint="eastAsia"/>
          <w:highlight w:val="none"/>
        </w:rPr>
        <w:t>具体发展内容和规模是不确定的，</w:t>
      </w:r>
      <w:r>
        <w:rPr>
          <w:rFonts w:hint="eastAsia"/>
          <w:highlight w:val="none"/>
          <w:lang w:val="en-US" w:eastAsia="zh-CN"/>
        </w:rPr>
        <w:t>故</w:t>
      </w:r>
      <w:r>
        <w:rPr>
          <w:rFonts w:hint="eastAsia"/>
          <w:highlight w:val="none"/>
        </w:rPr>
        <w:t>项目对社会经济、环境的影响就存在着很多不确定性因素。因此，本规划环评只能从宏观角度对规划产业定位合理性、功能布局合理性、区域环境承载力等进行分析，并对可能出现的环境影响提出减缓措施和调整建议。</w:t>
      </w:r>
    </w:p>
    <w:p>
      <w:pPr>
        <w:pStyle w:val="6"/>
        <w:bidi w:val="0"/>
        <w:rPr>
          <w:rFonts w:hint="eastAsia" w:eastAsia="宋体"/>
          <w:color w:val="auto"/>
          <w:highlight w:val="none"/>
          <w:lang w:eastAsia="zh-CN"/>
        </w:rPr>
      </w:pPr>
      <w:r>
        <w:rPr>
          <w:rFonts w:hint="eastAsia"/>
          <w:color w:val="auto"/>
          <w:highlight w:val="none"/>
        </w:rPr>
        <w:t>本次环评中采用的评价方法参考《规划环境影响评价技术导则总纲》</w:t>
      </w:r>
      <w:r>
        <w:rPr>
          <w:rFonts w:hint="eastAsia"/>
          <w:color w:val="auto"/>
          <w:highlight w:val="none"/>
          <w:lang w:eastAsia="zh-CN"/>
        </w:rPr>
        <w:t>（HJ130</w:t>
      </w:r>
      <w:r>
        <w:rPr>
          <w:rFonts w:hint="eastAsia"/>
          <w:color w:val="auto"/>
          <w:highlight w:val="none"/>
          <w:lang w:val="en-US" w:eastAsia="zh-CN"/>
        </w:rPr>
        <w:t>-</w:t>
      </w:r>
      <w:r>
        <w:rPr>
          <w:rFonts w:hint="eastAsia"/>
          <w:color w:val="auto"/>
          <w:highlight w:val="none"/>
          <w:lang w:eastAsia="zh-CN"/>
        </w:rPr>
        <w:t>2019）</w:t>
      </w:r>
      <w:r>
        <w:rPr>
          <w:rFonts w:hint="eastAsia"/>
          <w:color w:val="auto"/>
          <w:highlight w:val="none"/>
        </w:rPr>
        <w:t>中提出的方法</w:t>
      </w:r>
      <w:r>
        <w:rPr>
          <w:rFonts w:hint="eastAsia"/>
          <w:color w:val="auto"/>
          <w:highlight w:val="none"/>
          <w:lang w:eastAsia="zh-CN"/>
        </w:rPr>
        <w:t>，</w:t>
      </w:r>
      <w:r>
        <w:rPr>
          <w:rFonts w:hint="eastAsia"/>
          <w:color w:val="auto"/>
          <w:highlight w:val="none"/>
        </w:rPr>
        <w:t>主要采用资料分析、现场调查、叠图分析、矩阵分析、情景分析、类比分析、公众参与等</w:t>
      </w:r>
      <w:r>
        <w:rPr>
          <w:rFonts w:hint="eastAsia"/>
          <w:color w:val="auto"/>
          <w:highlight w:val="none"/>
          <w:lang w:val="en-US" w:eastAsia="zh-CN"/>
        </w:rPr>
        <w:t>方法</w:t>
      </w:r>
      <w:r>
        <w:rPr>
          <w:rFonts w:hint="eastAsia"/>
          <w:color w:val="auto"/>
          <w:highlight w:val="none"/>
        </w:rPr>
        <w:t>进行评价</w:t>
      </w:r>
      <w:r>
        <w:rPr>
          <w:rFonts w:hint="eastAsia"/>
          <w:color w:val="auto"/>
          <w:highlight w:val="none"/>
          <w:lang w:eastAsia="zh-CN"/>
        </w:rPr>
        <w:t>。</w:t>
      </w:r>
      <w:r>
        <w:rPr>
          <w:rFonts w:hint="eastAsia"/>
          <w:color w:val="auto"/>
          <w:highlight w:val="none"/>
          <w:lang w:val="en-US" w:eastAsia="zh-CN"/>
        </w:rPr>
        <w:t>依据</w:t>
      </w:r>
      <w:r>
        <w:rPr>
          <w:rFonts w:hint="eastAsia"/>
          <w:color w:val="auto"/>
          <w:highlight w:val="none"/>
          <w:lang w:eastAsia="zh-CN"/>
        </w:rPr>
        <w:t>环境现状评价和回顾性分析结果，</w:t>
      </w:r>
      <w:r>
        <w:rPr>
          <w:rFonts w:hint="eastAsia"/>
          <w:color w:val="auto"/>
          <w:highlight w:val="none"/>
        </w:rPr>
        <w:t>并结合规划文件等相关数据，对规划区域开发的环境影响进行预测，预测结果和预测结论均建立在现状影响的基础之上，能够反映规划实施开发对环境在空间和时间尺度上的影响。</w:t>
      </w:r>
    </w:p>
    <w:p>
      <w:pPr>
        <w:pStyle w:val="6"/>
        <w:bidi w:val="0"/>
        <w:rPr>
          <w:color w:val="auto"/>
          <w:highlight w:val="none"/>
        </w:rPr>
      </w:pPr>
    </w:p>
    <w:p>
      <w:pPr>
        <w:pStyle w:val="6"/>
        <w:bidi w:val="0"/>
        <w:rPr>
          <w:color w:val="FF0000"/>
          <w:highlight w:val="none"/>
        </w:rPr>
        <w:sectPr>
          <w:pgSz w:w="11906" w:h="16838"/>
          <w:pgMar w:top="1440" w:right="1800" w:bottom="1440" w:left="1800" w:header="851" w:footer="992" w:gutter="0"/>
          <w:pgNumType w:fmt="decimal"/>
          <w:cols w:space="425" w:num="1"/>
          <w:docGrid w:type="lines" w:linePitch="312" w:charSpace="0"/>
        </w:sectPr>
      </w:pPr>
    </w:p>
    <w:p>
      <w:pPr>
        <w:pStyle w:val="3"/>
        <w:bidi w:val="0"/>
        <w:rPr>
          <w:rFonts w:hint="eastAsia"/>
        </w:rPr>
      </w:pPr>
      <w:bookmarkStart w:id="76" w:name="_Toc4202"/>
      <w:bookmarkStart w:id="77" w:name="_Toc18861"/>
      <w:r>
        <w:rPr>
          <w:rFonts w:hint="eastAsia"/>
        </w:rPr>
        <w:t>3规划区域现状调查与评价</w:t>
      </w:r>
      <w:bookmarkEnd w:id="76"/>
      <w:bookmarkEnd w:id="77"/>
    </w:p>
    <w:p>
      <w:pPr>
        <w:pStyle w:val="4"/>
        <w:rPr>
          <w:rFonts w:hint="eastAsia"/>
        </w:rPr>
      </w:pPr>
      <w:bookmarkStart w:id="78" w:name="_Toc29936"/>
      <w:bookmarkStart w:id="79" w:name="_Toc18417"/>
      <w:r>
        <w:rPr>
          <w:rFonts w:hint="eastAsia"/>
        </w:rPr>
        <w:t>3.1自然环境概况</w:t>
      </w:r>
      <w:bookmarkEnd w:id="78"/>
      <w:bookmarkEnd w:id="79"/>
    </w:p>
    <w:p>
      <w:pPr>
        <w:pStyle w:val="5"/>
        <w:rPr>
          <w:rFonts w:hint="default" w:eastAsia="黑体"/>
          <w:lang w:val="en-US" w:eastAsia="zh-CN"/>
        </w:rPr>
      </w:pPr>
      <w:bookmarkStart w:id="80" w:name="_Toc18078"/>
      <w:bookmarkStart w:id="81" w:name="_Toc7627"/>
      <w:r>
        <w:rPr>
          <w:rFonts w:hint="eastAsia"/>
        </w:rPr>
        <w:t>3.1.1地理</w:t>
      </w:r>
      <w:r>
        <w:rPr>
          <w:rFonts w:hint="eastAsia"/>
          <w:lang w:val="en-US" w:eastAsia="zh-CN"/>
        </w:rPr>
        <w:t>位置</w:t>
      </w:r>
      <w:bookmarkEnd w:id="80"/>
      <w:bookmarkEnd w:id="81"/>
    </w:p>
    <w:p>
      <w:pPr>
        <w:pStyle w:val="6"/>
        <w:ind w:firstLine="480"/>
        <w:rPr>
          <w:rFonts w:ascii="宋体" w:hAnsi="宋体" w:cs="宋体"/>
        </w:rPr>
      </w:pPr>
      <w:r>
        <w:rPr>
          <w:rFonts w:hint="eastAsia"/>
          <w:lang w:eastAsia="zh-CN"/>
        </w:rPr>
        <w:t>林芝市</w:t>
      </w:r>
      <w:r>
        <w:rPr>
          <w:rFonts w:hint="eastAsia"/>
        </w:rPr>
        <w:t>位于西藏自治区东南部，在藏语中林芝意为“太阳的宝座”，平均海拔3100m，是西藏地区海拔最低的地区之一。</w:t>
      </w:r>
      <w:r>
        <w:rPr>
          <w:rFonts w:ascii="宋体" w:hAnsi="宋体" w:cs="宋体"/>
        </w:rPr>
        <w:t>林芝市位于北纬</w:t>
      </w:r>
      <w:r>
        <w:rPr>
          <w:rFonts w:ascii="TimesNewRomanPSMT" w:hAnsi="TimesNewRomanPSMT" w:eastAsia="TimesNewRomanPSMT" w:cs="TimesNewRomanPSMT"/>
        </w:rPr>
        <w:t>26°52'~30°40'</w:t>
      </w:r>
      <w:r>
        <w:rPr>
          <w:rFonts w:ascii="宋体" w:hAnsi="宋体" w:cs="宋体"/>
        </w:rPr>
        <w:t>，东经</w:t>
      </w:r>
      <w:r>
        <w:rPr>
          <w:rFonts w:ascii="TimesNewRomanPSMT" w:hAnsi="TimesNewRomanPSMT" w:eastAsia="TimesNewRomanPSMT" w:cs="TimesNewRomanPSMT"/>
        </w:rPr>
        <w:t>92°09'~98°47'</w:t>
      </w:r>
      <w:r>
        <w:rPr>
          <w:rFonts w:ascii="宋体" w:hAnsi="宋体" w:cs="宋体"/>
        </w:rPr>
        <w:t>之间，东西长</w:t>
      </w:r>
      <w:r>
        <w:rPr>
          <w:rFonts w:ascii="TimesNewRomanPSMT" w:hAnsi="TimesNewRomanPSMT" w:eastAsia="TimesNewRomanPSMT" w:cs="TimesNewRomanPSMT"/>
        </w:rPr>
        <w:t>646.7km</w:t>
      </w:r>
      <w:r>
        <w:rPr>
          <w:rFonts w:ascii="宋体" w:hAnsi="宋体" w:cs="宋体"/>
        </w:rPr>
        <w:t>，南北宽</w:t>
      </w:r>
      <w:r>
        <w:rPr>
          <w:rFonts w:ascii="TimesNewRomanPSMT" w:hAnsi="TimesNewRomanPSMT" w:eastAsia="TimesNewRomanPSMT" w:cs="TimesNewRomanPSMT"/>
        </w:rPr>
        <w:t>353.2km</w:t>
      </w:r>
      <w:r>
        <w:rPr>
          <w:rFonts w:ascii="宋体" w:hAnsi="宋体" w:cs="宋体"/>
        </w:rPr>
        <w:t>。林芝市东部及东北部与云南省迪庆藏族自治州、昌都市毗邻；北部与那曲地区相连；西部和西南部分别与拉萨市、山南市相邻；南部与印度、缅甸两国接壤，边境线长达</w:t>
      </w:r>
      <w:r>
        <w:rPr>
          <w:rFonts w:ascii="TimesNewRomanPSMT" w:hAnsi="TimesNewRomanPSMT" w:eastAsia="TimesNewRomanPSMT" w:cs="TimesNewRomanPSMT"/>
        </w:rPr>
        <w:t>1006.5km</w:t>
      </w:r>
      <w:r>
        <w:rPr>
          <w:rFonts w:ascii="宋体" w:hAnsi="宋体" w:cs="宋体"/>
        </w:rPr>
        <w:t>。</w:t>
      </w:r>
    </w:p>
    <w:p>
      <w:pPr>
        <w:pStyle w:val="6"/>
        <w:ind w:firstLine="480"/>
        <w:rPr>
          <w:rFonts w:cs="Times New Roman"/>
        </w:rPr>
      </w:pPr>
      <w:r>
        <w:rPr>
          <w:rFonts w:hint="eastAsia"/>
        </w:rPr>
        <w:t>林芝</w:t>
      </w:r>
      <w:r>
        <w:rPr>
          <w:rFonts w:hint="eastAsia"/>
          <w:lang w:val="en-US" w:eastAsia="zh-CN"/>
        </w:rPr>
        <w:t>市</w:t>
      </w:r>
      <w:r>
        <w:rPr>
          <w:rFonts w:hint="eastAsia"/>
        </w:rPr>
        <w:t>辖察隅、波密、米林、林芝、工布江达、朗县、墨脱七县，55个乡镇，615个行政村。</w:t>
      </w:r>
      <w:r>
        <w:rPr>
          <w:rFonts w:cs="Times New Roman"/>
        </w:rPr>
        <w:t>本规划涉及的地域为林芝市市域全境</w:t>
      </w:r>
      <w:r>
        <w:rPr>
          <w:rFonts w:hint="eastAsia" w:cs="Times New Roman"/>
          <w:lang w:eastAsia="zh-CN"/>
        </w:rPr>
        <w:t>，</w:t>
      </w:r>
      <w:r>
        <w:rPr>
          <w:rFonts w:hint="eastAsia" w:cs="Times New Roman"/>
          <w:lang w:val="en-US" w:eastAsia="zh-CN"/>
        </w:rPr>
        <w:t>共</w:t>
      </w:r>
      <w:r>
        <w:rPr>
          <w:rFonts w:cs="Times New Roman"/>
        </w:rPr>
        <w:t>7.6万km</w:t>
      </w:r>
      <w:r>
        <w:rPr>
          <w:rFonts w:cs="Times New Roman"/>
          <w:vertAlign w:val="superscript"/>
        </w:rPr>
        <w:t>2</w:t>
      </w:r>
      <w:r>
        <w:rPr>
          <w:rFonts w:cs="Times New Roman"/>
        </w:rPr>
        <w:t>。</w:t>
      </w:r>
    </w:p>
    <w:p>
      <w:pPr>
        <w:pStyle w:val="5"/>
      </w:pPr>
      <w:bookmarkStart w:id="82" w:name="_Toc32376"/>
      <w:bookmarkStart w:id="83" w:name="_Toc6727"/>
      <w:r>
        <w:rPr>
          <w:rFonts w:hint="eastAsia"/>
        </w:rPr>
        <w:t>3.1.2地形地貌</w:t>
      </w:r>
      <w:bookmarkEnd w:id="82"/>
      <w:bookmarkEnd w:id="83"/>
    </w:p>
    <w:p>
      <w:pPr>
        <w:pStyle w:val="6"/>
        <w:ind w:firstLine="482"/>
        <w:rPr>
          <w:rFonts w:hint="eastAsia"/>
          <w:b/>
          <w:bCs/>
        </w:rPr>
      </w:pPr>
      <w:r>
        <w:rPr>
          <w:rFonts w:hint="eastAsia"/>
          <w:b/>
          <w:bCs/>
        </w:rPr>
        <w:t>（一）地形</w:t>
      </w:r>
    </w:p>
    <w:p>
      <w:pPr>
        <w:pStyle w:val="6"/>
        <w:ind w:firstLine="480"/>
        <w:rPr>
          <w:rFonts w:hint="eastAsia"/>
        </w:rPr>
      </w:pPr>
      <w:r>
        <w:rPr>
          <w:rFonts w:hint="eastAsia"/>
          <w:lang w:eastAsia="zh-CN"/>
        </w:rPr>
        <w:t>林芝市</w:t>
      </w:r>
      <w:r>
        <w:rPr>
          <w:rFonts w:hint="eastAsia"/>
        </w:rPr>
        <w:t>北部为念青唐古拉山，南部属喜马拉雅山东段，西北部为冈底斯山余脉，东部系横断山脉，前三大山脉为东西走向，后者多为南北走向。海拔4800米以上地区现代冰雪地貌占绝对优势，海拔3800～4800米地区冻土和冰缘地貌占优势，海拔3800米以下流水侵蚀和堆积地貌占主要地位，并伴随重力和泥石流等各种物理地貌作用广泛发育。境内高海拔及深切割而造成的相对高差带来地貌上明显的垂直分带现象，垂直方向上不同高程地带有不同成因的地貌类型及其组合，水平方向也呈现不同高程、不同成因类型的地貌组合。</w:t>
      </w:r>
    </w:p>
    <w:p>
      <w:pPr>
        <w:pStyle w:val="6"/>
        <w:ind w:firstLine="480"/>
        <w:rPr>
          <w:rFonts w:hint="eastAsia"/>
        </w:rPr>
      </w:pPr>
      <w:r>
        <w:rPr>
          <w:rFonts w:hint="eastAsia"/>
        </w:rPr>
        <w:t>境内地形总的趋势是自西北向东南倾斜，高差悬殊大，最高是喜马拉雅山东端米林与墨脱两县交界的南迦巴瓦峰，海拔为7782米，最低在雅鲁藏布江下游墨脱县巴昔卡，海拔为155米，相对高差达7627米。以喜马拉雅山脉、念青唐古拉山脉为代表，境内东西延展120～300多千米，并以喜马拉雅山脉为分界线、海拔3900～6000米之间形成两大台阶，第一台阶高原面海拔在5000米，第二台阶高原面海拔在4500米，北高南低，两者间呈过渡关系，形成于第四纪以前。</w:t>
      </w:r>
    </w:p>
    <w:p>
      <w:pPr>
        <w:pStyle w:val="6"/>
        <w:ind w:firstLine="480"/>
        <w:rPr>
          <w:rFonts w:hint="eastAsia"/>
        </w:rPr>
      </w:pPr>
      <w:r>
        <w:rPr>
          <w:rFonts w:hint="eastAsia"/>
        </w:rPr>
        <w:t>全境具有典型的高山峡谷与山地河谷地貌，山脉之间是宽窄相间的河流谷地，其中最大的是喜马拉雅山和冈底斯山之间的雅鲁藏布江谷地及其支流尼洋河、帕隆藏布、察隅曲谷地。</w:t>
      </w:r>
    </w:p>
    <w:p>
      <w:pPr>
        <w:pStyle w:val="6"/>
        <w:ind w:firstLine="482"/>
        <w:rPr>
          <w:rFonts w:hint="eastAsia"/>
          <w:b/>
          <w:bCs/>
        </w:rPr>
      </w:pPr>
      <w:r>
        <w:rPr>
          <w:rFonts w:hint="eastAsia"/>
          <w:b/>
          <w:bCs/>
        </w:rPr>
        <w:t>（二）山脉峡谷</w:t>
      </w:r>
    </w:p>
    <w:p>
      <w:pPr>
        <w:pStyle w:val="6"/>
        <w:ind w:firstLine="482"/>
        <w:rPr>
          <w:rFonts w:hint="eastAsia"/>
          <w:b/>
          <w:bCs/>
        </w:rPr>
      </w:pPr>
      <w:r>
        <w:rPr>
          <w:rFonts w:hint="eastAsia"/>
          <w:b/>
          <w:bCs/>
        </w:rPr>
        <w:t>1、山脉</w:t>
      </w:r>
    </w:p>
    <w:p>
      <w:pPr>
        <w:pStyle w:val="6"/>
        <w:ind w:firstLine="480"/>
        <w:rPr>
          <w:rFonts w:hint="eastAsia"/>
        </w:rPr>
      </w:pPr>
      <w:r>
        <w:rPr>
          <w:rFonts w:hint="eastAsia"/>
          <w:lang w:eastAsia="zh-CN"/>
        </w:rPr>
        <w:t>林芝市</w:t>
      </w:r>
      <w:r>
        <w:rPr>
          <w:rFonts w:hint="eastAsia"/>
        </w:rPr>
        <w:t>境内山脉展布以波密县东侧——察隅县西侧之间为分界（约东经96°30′以西），以西山脉受喜马拉雅孤形构造带制约，主体呈近东西向，形成以喜马拉雅山脉、念青唐古拉山脉为代表的东西走向山系；以东山脉受南北向大地构造制约，形成以横断山脉为主体的一系列近南北走向山系。</w:t>
      </w:r>
    </w:p>
    <w:p>
      <w:pPr>
        <w:pStyle w:val="6"/>
        <w:ind w:firstLine="480"/>
        <w:rPr>
          <w:rFonts w:hint="eastAsia"/>
        </w:rPr>
      </w:pPr>
      <w:r>
        <w:rPr>
          <w:rFonts w:hint="eastAsia"/>
        </w:rPr>
        <w:t>（1）近东西向山脉</w:t>
      </w:r>
    </w:p>
    <w:p>
      <w:pPr>
        <w:pStyle w:val="6"/>
        <w:ind w:firstLine="480"/>
        <w:rPr>
          <w:rFonts w:hint="eastAsia"/>
        </w:rPr>
      </w:pPr>
      <w:r>
        <w:rPr>
          <w:rFonts w:hint="eastAsia"/>
        </w:rPr>
        <w:t>①喜马拉雅山脉</w:t>
      </w:r>
    </w:p>
    <w:p>
      <w:pPr>
        <w:pStyle w:val="6"/>
        <w:ind w:firstLine="480"/>
        <w:rPr>
          <w:rFonts w:hint="eastAsia"/>
        </w:rPr>
      </w:pPr>
      <w:r>
        <w:rPr>
          <w:rFonts w:hint="eastAsia"/>
        </w:rPr>
        <w:t>喜马拉雅山脉东段自西向东延入</w:t>
      </w:r>
      <w:r>
        <w:rPr>
          <w:rFonts w:hint="eastAsia"/>
          <w:lang w:eastAsia="zh-CN"/>
        </w:rPr>
        <w:t>林芝市</w:t>
      </w:r>
      <w:r>
        <w:rPr>
          <w:rFonts w:hint="eastAsia"/>
        </w:rPr>
        <w:t>南部朗县、米林、林芝、墨脱四县，山脉西侧进入山南地区隆子县。山脉长约300多千米，宽度一般在100千米以上，山岭海拔一般在3800～5200米。受喜马拉雅孤形构造牵引，呈北东向展布，东段作孤形拐弯扭曲，构成奇特地貌景观，世界第十五高峰南迦巴瓦峰（海拔7782米）是境内喜马拉雅山脉暨所有山体的最高峰。</w:t>
      </w:r>
    </w:p>
    <w:p>
      <w:pPr>
        <w:pStyle w:val="6"/>
        <w:ind w:firstLine="480"/>
        <w:rPr>
          <w:rFonts w:hint="eastAsia"/>
        </w:rPr>
      </w:pPr>
      <w:r>
        <w:rPr>
          <w:rFonts w:hint="eastAsia"/>
        </w:rPr>
        <w:t>地壳史上，喜马拉雅山脉最晚脱离海侵成陆，从晚第三纪，特别是上新世末——第四纪开始，喜马拉雅山脉的上升速度和幅度明显多于其它区域而后来者居上，构造成因表现为南北向水平挤压。喜马拉雅山脉</w:t>
      </w:r>
      <w:r>
        <w:rPr>
          <w:rFonts w:hint="eastAsia"/>
          <w:lang w:eastAsia="zh-CN"/>
        </w:rPr>
        <w:t>林芝市</w:t>
      </w:r>
      <w:r>
        <w:rPr>
          <w:rFonts w:hint="eastAsia"/>
        </w:rPr>
        <w:t>境内部分约以4500米为高原面，面之上分布有约40座巨大山岭，面之下分布有众多高山峡谷、山地丘陵、山川河谷、山间平原盆地、河流与湖泊等众多地貌单元组合。地貌单元组合在垂直方向上存在明显的垂直分带性，各自所处水平带谱内呈现不同类型组合，平原表现在山前宽谷和海拔3800米以上山间谷地呈狭长带状，但多因地表水的浓度切割而支离破碎。</w:t>
      </w:r>
    </w:p>
    <w:p>
      <w:pPr>
        <w:pStyle w:val="6"/>
        <w:ind w:firstLine="480"/>
        <w:rPr>
          <w:rFonts w:hint="eastAsia"/>
        </w:rPr>
      </w:pPr>
      <w:r>
        <w:rPr>
          <w:rFonts w:hint="eastAsia"/>
        </w:rPr>
        <w:t>喜马拉雅山脉横亘于</w:t>
      </w:r>
      <w:r>
        <w:rPr>
          <w:rFonts w:hint="eastAsia"/>
          <w:lang w:eastAsia="zh-CN"/>
        </w:rPr>
        <w:t>林芝市</w:t>
      </w:r>
      <w:r>
        <w:rPr>
          <w:rFonts w:hint="eastAsia"/>
        </w:rPr>
        <w:t>南部，成为印度洋暖湿气流向北入侵的天然屏嶂。</w:t>
      </w:r>
    </w:p>
    <w:p>
      <w:pPr>
        <w:pStyle w:val="6"/>
        <w:ind w:firstLine="480"/>
        <w:rPr>
          <w:rFonts w:hint="eastAsia"/>
        </w:rPr>
      </w:pPr>
      <w:r>
        <w:rPr>
          <w:rFonts w:hint="eastAsia"/>
        </w:rPr>
        <w:t>②念青唐古拉山脉</w:t>
      </w:r>
    </w:p>
    <w:p>
      <w:pPr>
        <w:pStyle w:val="6"/>
        <w:ind w:firstLine="480"/>
        <w:rPr>
          <w:rFonts w:hint="eastAsia"/>
        </w:rPr>
      </w:pPr>
      <w:r>
        <w:rPr>
          <w:rFonts w:hint="eastAsia"/>
        </w:rPr>
        <w:t>分布于</w:t>
      </w:r>
      <w:r>
        <w:rPr>
          <w:rFonts w:hint="eastAsia"/>
          <w:lang w:eastAsia="zh-CN"/>
        </w:rPr>
        <w:t>林芝市</w:t>
      </w:r>
      <w:r>
        <w:rPr>
          <w:rFonts w:hint="eastAsia"/>
        </w:rPr>
        <w:t>北侧工布江达、波密两县内，分支部分延入林芝、墨脱、察隅等县内之北侧，是一条断续延伸的巨大山系，在</w:t>
      </w:r>
      <w:r>
        <w:rPr>
          <w:rFonts w:hint="eastAsia"/>
          <w:lang w:eastAsia="zh-CN"/>
        </w:rPr>
        <w:t>林芝市</w:t>
      </w:r>
      <w:r>
        <w:rPr>
          <w:rFonts w:hint="eastAsia"/>
        </w:rPr>
        <w:t>境内断续延展约300千米，南北平均宽约80千米，山岭海拔一般4600～5800米，其中超过5000米山峰约40座，高原夷平面海拔为5000米，波密县八盖北西侧、北侧及北东侧为凹陷地带，山脉西延进入拉萨市墨竹工卡县，东延折向演变为伯舒拉岭山。</w:t>
      </w:r>
    </w:p>
    <w:p>
      <w:pPr>
        <w:pStyle w:val="6"/>
        <w:ind w:firstLine="480"/>
        <w:rPr>
          <w:rFonts w:hint="eastAsia"/>
        </w:rPr>
      </w:pPr>
      <w:r>
        <w:rPr>
          <w:rFonts w:hint="eastAsia"/>
        </w:rPr>
        <w:t>高原夷平面之下地貌为典型中高山地地貌，有众多高山峡谷、山地丘陵、山川河谷盆地、河流与湖泊等地貌单元平面组合，在波密县和工布江达县北侧海拔4000米以上山岭上，大片分布有雪原、现代冰川及古冰川遗迹。</w:t>
      </w:r>
    </w:p>
    <w:p>
      <w:pPr>
        <w:pStyle w:val="6"/>
        <w:ind w:firstLine="480"/>
        <w:rPr>
          <w:rFonts w:hint="eastAsia"/>
        </w:rPr>
      </w:pPr>
      <w:r>
        <w:rPr>
          <w:rFonts w:hint="eastAsia"/>
        </w:rPr>
        <w:t>由于巨大海拔高度和深切割而造成的相对高差，念青唐古拉山脉地貌上存在明显的垂直分带性。</w:t>
      </w:r>
    </w:p>
    <w:p>
      <w:pPr>
        <w:pStyle w:val="6"/>
        <w:ind w:firstLine="480"/>
        <w:rPr>
          <w:rFonts w:hint="eastAsia"/>
        </w:rPr>
      </w:pPr>
      <w:r>
        <w:rPr>
          <w:rFonts w:hint="eastAsia"/>
        </w:rPr>
        <w:t>念青唐古拉山脉是</w:t>
      </w:r>
      <w:r>
        <w:rPr>
          <w:rFonts w:hint="eastAsia"/>
          <w:lang w:eastAsia="zh-CN"/>
        </w:rPr>
        <w:t>林芝市</w:t>
      </w:r>
      <w:r>
        <w:rPr>
          <w:rFonts w:hint="eastAsia"/>
        </w:rPr>
        <w:t>河流水系与那曲地区河流水系的主要分界线。</w:t>
      </w:r>
    </w:p>
    <w:p>
      <w:pPr>
        <w:pStyle w:val="6"/>
        <w:ind w:firstLine="480"/>
        <w:rPr>
          <w:rFonts w:hint="eastAsia"/>
        </w:rPr>
      </w:pPr>
      <w:r>
        <w:rPr>
          <w:rFonts w:hint="eastAsia"/>
        </w:rPr>
        <w:t>（2）近南北向山脉</w:t>
      </w:r>
    </w:p>
    <w:p>
      <w:pPr>
        <w:pStyle w:val="6"/>
        <w:ind w:firstLine="480"/>
        <w:rPr>
          <w:rFonts w:hint="eastAsia"/>
        </w:rPr>
      </w:pPr>
      <w:r>
        <w:rPr>
          <w:rFonts w:hint="eastAsia"/>
          <w:lang w:eastAsia="zh-CN"/>
        </w:rPr>
        <w:t>林芝市</w:t>
      </w:r>
      <w:r>
        <w:rPr>
          <w:rFonts w:hint="eastAsia"/>
        </w:rPr>
        <w:t>近南北向山脉主要是伯舒拉岭山脉，归属横断山脉体系。</w:t>
      </w:r>
    </w:p>
    <w:p>
      <w:pPr>
        <w:pStyle w:val="6"/>
        <w:ind w:firstLine="480"/>
        <w:rPr>
          <w:rFonts w:hint="eastAsia"/>
        </w:rPr>
      </w:pPr>
      <w:r>
        <w:rPr>
          <w:rFonts w:hint="eastAsia"/>
        </w:rPr>
        <w:t>伯舒拉岭山脉分布于波密县、察隅县境内，并以波密县玉普乡北东侧伯舒拉岭峰（海拔5592米）为中心，呈北北西走向断续展布，长约250千米，东西宽约100千米，山岭海拔高度一般为4500～6000米，超过4500米山峰有50多座，山脉南延进入云南省、北延进入昌都地区洛隆县，东侧犹如一道天然屏峰，与云南相隔。伯舒拉岭山脉高原表平面4500米，夷平面以下为中高山地地貌特征，有众多高山峡谷、山地丘陵、山川河谷盆地组合，而水系河流极发育，地表切割普遍较深。局部有雪原、冰川等地貌出现，均分布于海拔4500米以上。</w:t>
      </w:r>
    </w:p>
    <w:p>
      <w:pPr>
        <w:pStyle w:val="6"/>
        <w:ind w:firstLine="480"/>
        <w:rPr>
          <w:rFonts w:hint="eastAsia"/>
        </w:rPr>
      </w:pPr>
      <w:r>
        <w:rPr>
          <w:rFonts w:hint="eastAsia"/>
        </w:rPr>
        <w:t>由于巨大海拔高度和深切割而造成的相对高差，伯舒拉岭山脉地貌上存在明显的垂直分带性。</w:t>
      </w:r>
    </w:p>
    <w:p>
      <w:pPr>
        <w:pStyle w:val="6"/>
        <w:ind w:firstLine="480"/>
        <w:rPr>
          <w:rFonts w:hint="eastAsia"/>
        </w:rPr>
      </w:pPr>
      <w:r>
        <w:rPr>
          <w:rFonts w:hint="eastAsia"/>
        </w:rPr>
        <w:t>（3）次级山脉</w:t>
      </w:r>
    </w:p>
    <w:p>
      <w:pPr>
        <w:pStyle w:val="6"/>
        <w:ind w:firstLine="480"/>
        <w:rPr>
          <w:rFonts w:hint="eastAsia"/>
        </w:rPr>
      </w:pPr>
      <w:r>
        <w:rPr>
          <w:rFonts w:hint="eastAsia"/>
        </w:rPr>
        <w:t>①岗日嘎布山脉</w:t>
      </w:r>
    </w:p>
    <w:p>
      <w:pPr>
        <w:pStyle w:val="6"/>
        <w:ind w:firstLine="480"/>
        <w:rPr>
          <w:rFonts w:hint="eastAsia"/>
        </w:rPr>
      </w:pPr>
      <w:r>
        <w:rPr>
          <w:rFonts w:hint="eastAsia"/>
        </w:rPr>
        <w:t>分布于波密县与工布江达、林芝、墨脱、察隅四县邻界上，由倒较胜左山、拉格不山、布泵格尼山、麦龙坡容山，恰母那山、座玛金珠山、嘎日山、埂日嘎布山、白日嘎山、都拉山口等一系列海拔5000米以上的山体组成，属于念青唐古拉山系分支山脉。</w:t>
      </w:r>
    </w:p>
    <w:p>
      <w:pPr>
        <w:pStyle w:val="6"/>
        <w:ind w:firstLine="480"/>
        <w:rPr>
          <w:rFonts w:hint="eastAsia"/>
        </w:rPr>
      </w:pPr>
      <w:r>
        <w:rPr>
          <w:rFonts w:hint="eastAsia"/>
        </w:rPr>
        <w:t>山脉西起波密县八盖乡南西侧，与念青唐古拉山脉汇合，东至察隅县都拉山口，与伯舒拉岭山脉汇合。总体走向北西，断续延展约330多千米，宽度25～40千米，海拔5000米以上的山峰有15座，其中东段白日嘎峰最高，海拔6882米。山岭上分布有众多现代冰川、雪原。</w:t>
      </w:r>
    </w:p>
    <w:p>
      <w:pPr>
        <w:pStyle w:val="6"/>
        <w:ind w:firstLine="480"/>
        <w:rPr>
          <w:rFonts w:hint="eastAsia"/>
        </w:rPr>
      </w:pPr>
      <w:r>
        <w:rPr>
          <w:rFonts w:hint="eastAsia"/>
        </w:rPr>
        <w:t>②米什米山脉</w:t>
      </w:r>
    </w:p>
    <w:p>
      <w:pPr>
        <w:pStyle w:val="6"/>
        <w:ind w:firstLine="480"/>
        <w:rPr>
          <w:rFonts w:hint="eastAsia"/>
        </w:rPr>
      </w:pPr>
      <w:r>
        <w:rPr>
          <w:rFonts w:hint="eastAsia"/>
        </w:rPr>
        <w:t>分布于墨脱县中部，走向东西，长约100千米，宽约25千米，海拔一般为2000～4000米，最高为阿拉雅山，海拔4106米，为典型低山丘陵地貌特征。</w:t>
      </w:r>
    </w:p>
    <w:p>
      <w:pPr>
        <w:pStyle w:val="6"/>
        <w:ind w:firstLine="480"/>
        <w:rPr>
          <w:rFonts w:hint="eastAsia"/>
        </w:rPr>
      </w:pPr>
      <w:r>
        <w:rPr>
          <w:rFonts w:hint="eastAsia"/>
        </w:rPr>
        <w:t>③阿波尔山脉</w:t>
      </w:r>
    </w:p>
    <w:p>
      <w:pPr>
        <w:pStyle w:val="6"/>
        <w:ind w:firstLine="480"/>
        <w:rPr>
          <w:rFonts w:hint="eastAsia"/>
        </w:rPr>
      </w:pPr>
      <w:r>
        <w:rPr>
          <w:rFonts w:hint="eastAsia"/>
        </w:rPr>
        <w:t>分布于墨脱县南西侧，走向南北，长约80多千米，宽约20千米，海拔高度一般2000～3500米，最高为约尔京山，海拔3829米，为典型低山丘陵地貌。</w:t>
      </w:r>
    </w:p>
    <w:p>
      <w:pPr>
        <w:pStyle w:val="6"/>
        <w:ind w:firstLine="480"/>
        <w:rPr>
          <w:rFonts w:hint="eastAsia"/>
        </w:rPr>
      </w:pPr>
      <w:r>
        <w:rPr>
          <w:rFonts w:hint="eastAsia"/>
        </w:rPr>
        <w:t>④康藏山脉</w:t>
      </w:r>
    </w:p>
    <w:p>
      <w:pPr>
        <w:pStyle w:val="6"/>
        <w:ind w:firstLine="480"/>
        <w:rPr>
          <w:rFonts w:hint="eastAsia"/>
        </w:rPr>
      </w:pPr>
      <w:r>
        <w:rPr>
          <w:rFonts w:hint="eastAsia"/>
        </w:rPr>
        <w:t>位于察隅县南侧与缅甸国相邻的国境线上，走向北北东，长约20千米，宽约30千米，海拔一般3500～4500米，主峰加秋拉山，海拔4628米，为典型高山丘陵地貌。</w:t>
      </w:r>
    </w:p>
    <w:p>
      <w:pPr>
        <w:pStyle w:val="6"/>
        <w:ind w:firstLine="480"/>
        <w:rPr>
          <w:rFonts w:hint="eastAsia"/>
        </w:rPr>
      </w:pPr>
      <w:r>
        <w:rPr>
          <w:rFonts w:hint="eastAsia"/>
        </w:rPr>
        <w:t>⑤⑥布惹嘎热山等山脉 </w:t>
      </w:r>
    </w:p>
    <w:p>
      <w:pPr>
        <w:pStyle w:val="6"/>
        <w:ind w:firstLine="480"/>
        <w:rPr>
          <w:rFonts w:hint="eastAsia"/>
        </w:rPr>
      </w:pPr>
      <w:r>
        <w:rPr>
          <w:rFonts w:hint="eastAsia"/>
        </w:rPr>
        <w:t>察隅县南侧从东向西依次有恩达普山、雪峰山、布惹嘎热山、龙地亚山等四条次一级山脉，南北向，长度一般数十千米，宽度10～30千米，海拔一般2000～4000米，为典型低山丘陵地貌。</w:t>
      </w:r>
    </w:p>
    <w:p>
      <w:pPr>
        <w:pStyle w:val="6"/>
        <w:ind w:firstLine="482"/>
        <w:rPr>
          <w:rFonts w:hint="eastAsia"/>
          <w:b/>
          <w:bCs/>
        </w:rPr>
      </w:pPr>
      <w:r>
        <w:rPr>
          <w:rFonts w:hint="eastAsia"/>
          <w:b/>
          <w:bCs/>
        </w:rPr>
        <w:t>（二）峡谷</w:t>
      </w:r>
    </w:p>
    <w:p>
      <w:pPr>
        <w:pStyle w:val="6"/>
        <w:ind w:firstLine="480"/>
        <w:rPr>
          <w:rFonts w:hint="eastAsia"/>
        </w:rPr>
      </w:pPr>
      <w:r>
        <w:rPr>
          <w:rFonts w:hint="eastAsia"/>
          <w:lang w:eastAsia="zh-CN"/>
        </w:rPr>
        <w:t>林芝市</w:t>
      </w:r>
      <w:r>
        <w:rPr>
          <w:rFonts w:hint="eastAsia"/>
        </w:rPr>
        <w:t>峡谷主要有雅鲁藏布江大拐弯、察瓦龙、墨脱、波密、朗县、察隅等7条较大峡谷，属于弧形或线形断裂槽谷，长度56～496千米之间，宽度一般在80米以上。峡谷类型除了雅鲁藏布江大峡谷和察瓦龙峡谷为深切峡谷型，其它均为中等切割峡谷。</w:t>
      </w:r>
    </w:p>
    <w:p>
      <w:pPr>
        <w:pStyle w:val="6"/>
        <w:ind w:firstLine="480"/>
        <w:rPr>
          <w:rFonts w:hint="eastAsia"/>
        </w:rPr>
      </w:pPr>
      <w:r>
        <w:rPr>
          <w:rFonts w:hint="eastAsia"/>
        </w:rPr>
        <w:t>（1）雅鲁藏布大峡谷</w:t>
      </w:r>
    </w:p>
    <w:p>
      <w:pPr>
        <w:pStyle w:val="6"/>
        <w:ind w:firstLine="480"/>
        <w:rPr>
          <w:rFonts w:hint="eastAsia"/>
        </w:rPr>
      </w:pPr>
      <w:r>
        <w:rPr>
          <w:rFonts w:hint="eastAsia"/>
        </w:rPr>
        <w:t>位于雅鲁藏布江下游</w:t>
      </w:r>
      <w:r>
        <w:rPr>
          <w:rFonts w:hint="eastAsia"/>
          <w:lang w:eastAsia="zh-CN"/>
        </w:rPr>
        <w:t>林芝市</w:t>
      </w:r>
      <w:r>
        <w:rPr>
          <w:rFonts w:hint="eastAsia"/>
        </w:rPr>
        <w:t>米林县派乡以东至墨脱县洛永，北纬20°，东经95°，呈马蹄形。峡谷幽深，河道迂回，谷底水流湍急奔腾而下，巨浪排空，涛声隆隆，气势十分磅礴。峡谷是一条巨大的弧形槽谷，沿雅鲁藏布江中下游河谷发育，不仅是切穿壳层(约50千米)深大断裂的一部分，也是印度板块与欧亚板块的碰擦边界，即地缝合线，属深切型。峡谷形成时代不晚于侏罗纪至白垩纪末期。峡谷北起米林县大渡卡村，南至墨脱县巴昔卡村，全长496．30千米，切深5382米，落差2700米。谷底宽度一般为100～200米，最窄处位于大拐弯顶端，由于其南侧的南迦巴瓦峰(7782米)与北侧加拉白垒峰(7294米)所夹峙，两侧壁立，宽仅70多米。峡谷全段河床深切，基岩裸露，急流险滩众多。两侧谷坡坡度大，全段重力作用均活跃，时有山崩，泥石流现象发生。峡谷地貌形态极为特殊，且存在明显差异并以墨脱县达木乡为界。其上游至派乡间，峡谷呈“U”形，两谷坡上部在40°左右，下部突变陡，达60～80°，甚至直立，其中尤以白马狗熊(南峰北东侧)至扎曲间一系列小直角形转折峡谷最为险峻，河床宽度不到100米，局部流速却达16米/秒。峡谷曲流平面形态在不同河段不竟相同，加拉莎至达木间主河道呈近南北向“弓”字形曲流河段，达木乡以下至背崩乡西让(或称希让)间为一较宽线“V”字型峡谷，谷坡在30～45°之间，谷底河床宽在150米以上，主河道发育在北东向断裂带内开成拉长的“S”形曲流河段。</w:t>
      </w:r>
    </w:p>
    <w:p>
      <w:pPr>
        <w:pStyle w:val="6"/>
        <w:ind w:firstLine="480"/>
        <w:rPr>
          <w:rFonts w:hint="eastAsia"/>
        </w:rPr>
      </w:pPr>
      <w:r>
        <w:rPr>
          <w:rFonts w:hint="eastAsia"/>
        </w:rPr>
        <w:t>（2）察瓦龙峡谷</w:t>
      </w:r>
    </w:p>
    <w:p>
      <w:pPr>
        <w:pStyle w:val="6"/>
        <w:ind w:firstLine="480"/>
        <w:rPr>
          <w:rFonts w:hint="eastAsia"/>
        </w:rPr>
      </w:pPr>
      <w:r>
        <w:rPr>
          <w:rFonts w:hint="eastAsia"/>
        </w:rPr>
        <w:t>位于察隅县境内，从南至北贯穿于察瓦龙乡拉康寺(边境)至古拉乡结口甲朋北侧，沿怒江发育，是一条线形裂谷。峡谷长135米，切深一般都在2000～2500米，玉曲江附近切深稍小，约1600米左右，属深切型，局部地段已成障谷。境内全段落差约400米，河床宽一般80～200米，水流湍急。峡谷两侧地貌陡峭，谷坡坡度一般都在30～50°间，下部近直立，察瓦龙乡附近河谷较宽阔。峡谷北延进入昌都左贡县，南延进入缅甸境内。</w:t>
      </w:r>
    </w:p>
    <w:p>
      <w:pPr>
        <w:pStyle w:val="6"/>
        <w:ind w:firstLine="480"/>
        <w:rPr>
          <w:rFonts w:hint="eastAsia"/>
        </w:rPr>
      </w:pPr>
      <w:r>
        <w:rPr>
          <w:rFonts w:hint="eastAsia"/>
        </w:rPr>
        <w:t>（3）墨脱峡谷</w:t>
      </w:r>
    </w:p>
    <w:p>
      <w:pPr>
        <w:pStyle w:val="6"/>
        <w:ind w:firstLine="480"/>
        <w:rPr>
          <w:rFonts w:hint="eastAsia"/>
        </w:rPr>
      </w:pPr>
      <w:r>
        <w:rPr>
          <w:rFonts w:hint="eastAsia"/>
        </w:rPr>
        <w:t>位于墨脱县洛永至潘金，属于雅鲁藏布江大拐弯峡谷南侧延续部分。峡谷走向近南北向，全长近70千米，切深小于1000米，谷底宽度一般150～200米左右，划属中等切割峡谷。峡谷弯曲多，两侧谷坡中等陡峻，坡度一般大于20°。河床深切后，地表岩石，土壤层由于结构松散，时常有山体滑坡和泥石流现象发生。</w:t>
      </w:r>
    </w:p>
    <w:p>
      <w:pPr>
        <w:pStyle w:val="6"/>
        <w:ind w:firstLine="480"/>
        <w:rPr>
          <w:rFonts w:hint="eastAsia"/>
        </w:rPr>
      </w:pPr>
      <w:r>
        <w:rPr>
          <w:rFonts w:hint="eastAsia"/>
        </w:rPr>
        <w:t>（4）波密峡谷</w:t>
      </w:r>
    </w:p>
    <w:p>
      <w:pPr>
        <w:pStyle w:val="6"/>
        <w:ind w:firstLine="480"/>
        <w:rPr>
          <w:rFonts w:hint="eastAsia"/>
        </w:rPr>
      </w:pPr>
      <w:r>
        <w:rPr>
          <w:rFonts w:hint="eastAsia"/>
        </w:rPr>
        <w:t>位于波密县八盖乡至易贡乡，沿易贡断裂带发育，属于中等切割峡谷。峡谷北西走向，全长275千米，切深小于1000米，全段落差1600米，谷底宽度一般100～200米。易贡茶场一带形成冰湖盆地，宽500米以上。峡谷两则地形局部较陡，巴瑞村以西、通麦至古村、易贡乡以东等地段坡度达50°上。河床下切后，造成两侧谷坡重力作用活跃，主要在易贡湖口和通麦等处，时常有泥石流和大规模山体滑坡。易贡湖便是因特大泥石流偃堵谷地而形成。峡谷西延进入那曲地区嘉黎县忠义乡。</w:t>
      </w:r>
    </w:p>
    <w:p>
      <w:pPr>
        <w:pStyle w:val="6"/>
        <w:ind w:firstLine="480"/>
        <w:rPr>
          <w:rFonts w:hint="eastAsia"/>
        </w:rPr>
      </w:pPr>
      <w:r>
        <w:rPr>
          <w:rFonts w:hint="eastAsia"/>
        </w:rPr>
        <w:t>（5）朗县峡谷</w:t>
      </w:r>
    </w:p>
    <w:p>
      <w:pPr>
        <w:pStyle w:val="6"/>
        <w:ind w:firstLine="480"/>
        <w:rPr>
          <w:rFonts w:hint="eastAsia"/>
        </w:rPr>
      </w:pPr>
      <w:r>
        <w:rPr>
          <w:rFonts w:hint="eastAsia"/>
        </w:rPr>
        <w:t>位于朗县仲达乡与洞嘎乡西侧之间，峡谷近东西走向，沿雅鲁藏布江断裂带发育，属于山南加查峡谷组成部分，延伸郎县境内长56千米，切深小于1000米，落差约150米，谷底宽度一般80～200米，局部(如县城北侧)小于50米窄谷。归属中等切割峡谷类型。峡谷西侧地形较陡，坡度一般30～50°，水流一般较缓。</w:t>
      </w:r>
    </w:p>
    <w:p>
      <w:pPr>
        <w:pStyle w:val="6"/>
        <w:ind w:firstLine="480"/>
        <w:rPr>
          <w:rFonts w:hint="eastAsia"/>
        </w:rPr>
      </w:pPr>
      <w:r>
        <w:rPr>
          <w:rFonts w:hint="eastAsia"/>
        </w:rPr>
        <w:t>（6）察隅峡谷</w:t>
      </w:r>
    </w:p>
    <w:p>
      <w:pPr>
        <w:pStyle w:val="6"/>
        <w:ind w:firstLine="480"/>
        <w:rPr>
          <w:rFonts w:hint="eastAsia"/>
        </w:rPr>
      </w:pPr>
      <w:r>
        <w:rPr>
          <w:rFonts w:hint="eastAsia"/>
        </w:rPr>
        <w:t>位于察隅县境内，北起古玉乡北侧措珠村，增至下察隅乡河流汇合处，沿桑昂河谷发育，是一线形裂谷。峡谷主体由峡谷、狭谷、陡崖、宽谷等共同组成，长度一般5～20千米，累计长度约40千米，广义长约140千米，落差2000米，切深一般在500～800米之间，均属于中等切割峡谷。峡谷中均可见清晰的断裂构造迹象，或沿花岗岩节理发育，河床大部分切入基岩，局部地段出现障谷。峡谷谷底宽度大部分100米，察隅县城以北河床宽度几十米，其中竹瓦根附近最为狭窄，河床宽仅4米。峡谷地段两侧谷坡均十分陡峻，一般均在30 °以上，局部为直立悬崖，峡谷中山嘴交错互相叠嶂，水流湍急，多成跌水和瀑布。</w:t>
      </w:r>
    </w:p>
    <w:p>
      <w:pPr>
        <w:pStyle w:val="5"/>
        <w:rPr>
          <w:rFonts w:hint="eastAsia"/>
        </w:rPr>
      </w:pPr>
      <w:bookmarkStart w:id="84" w:name="_Toc31027"/>
      <w:bookmarkStart w:id="85" w:name="_Toc12768"/>
      <w:r>
        <w:rPr>
          <w:rFonts w:hint="eastAsia"/>
        </w:rPr>
        <w:t>3.1.3气候气象</w:t>
      </w:r>
      <w:bookmarkEnd w:id="84"/>
      <w:bookmarkEnd w:id="85"/>
    </w:p>
    <w:p>
      <w:pPr>
        <w:pStyle w:val="6"/>
        <w:ind w:firstLine="480"/>
        <w:rPr>
          <w:rFonts w:hint="eastAsia"/>
        </w:rPr>
      </w:pPr>
      <w:r>
        <w:rPr>
          <w:rFonts w:hint="eastAsia"/>
          <w:lang w:eastAsia="zh-CN"/>
        </w:rPr>
        <w:t>林芝市</w:t>
      </w:r>
      <w:r>
        <w:rPr>
          <w:rFonts w:hint="eastAsia"/>
        </w:rPr>
        <w:t>区域内气候类型丰富，以高原温带半湿润季风气候为主，为热带、亚热带、温带及寒带气候并存的多种气候带。</w:t>
      </w:r>
      <w:r>
        <w:rPr>
          <w:rFonts w:hint="eastAsia"/>
          <w:lang w:eastAsia="zh-CN"/>
        </w:rPr>
        <w:t>林芝市</w:t>
      </w:r>
      <w:r>
        <w:rPr>
          <w:rFonts w:hint="eastAsia"/>
        </w:rPr>
        <w:t>冬季气温明显偏高，春夏云雨较多，降水充沛光照少，气温反而偏低，各地年平均气温在 6~17℃之间，最热月平均气温在16~19℃之间，最冷月平均气温在 0~4℃之间。境内水汽充沛，雨季开始早，结束晚，持续时间长，降水多。大部分地区年平均降水量在 500～1000mm 之间。中西部地区与高原中部季风降水相一致，降水量变化呈单峰型，而东部和南部地区降水量一年中呈双峰型。日照时数西部稍高，大部分地区年日照时数均在 2100h 以下。境内气候温暖湿润，各地年平均相对湿度 60%~75%之间。境内大风日数少，年平均风速在 2～4m/s之间。</w:t>
      </w:r>
      <w:r>
        <w:rPr>
          <w:rFonts w:hint="eastAsia"/>
          <w:lang w:eastAsia="zh-CN"/>
        </w:rPr>
        <w:t>林芝市</w:t>
      </w:r>
      <w:r>
        <w:rPr>
          <w:rFonts w:hint="eastAsia"/>
        </w:rPr>
        <w:t>无霜期日数平均在 150d 以上。中西部出现重霜的几率较大，出现轻霜几率较小；而东部则出现轻霜几率较大，出现重霜几率较小。</w:t>
      </w:r>
    </w:p>
    <w:p>
      <w:pPr>
        <w:pStyle w:val="5"/>
        <w:rPr>
          <w:rFonts w:hint="eastAsia"/>
        </w:rPr>
      </w:pPr>
      <w:bookmarkStart w:id="86" w:name="_Toc10350"/>
      <w:bookmarkStart w:id="87" w:name="_Toc11590"/>
      <w:r>
        <w:rPr>
          <w:rFonts w:hint="eastAsia"/>
        </w:rPr>
        <w:t>3.1.4</w:t>
      </w:r>
      <w:r>
        <w:rPr>
          <w:rFonts w:hint="eastAsia"/>
          <w:lang w:val="en-US" w:eastAsia="zh-CN"/>
        </w:rPr>
        <w:t>河流</w:t>
      </w:r>
      <w:r>
        <w:rPr>
          <w:rFonts w:hint="eastAsia"/>
        </w:rPr>
        <w:t>水系</w:t>
      </w:r>
      <w:bookmarkEnd w:id="86"/>
      <w:bookmarkEnd w:id="87"/>
    </w:p>
    <w:p>
      <w:pPr>
        <w:pStyle w:val="6"/>
        <w:ind w:firstLine="480"/>
      </w:pPr>
      <w:r>
        <w:t>受印度洋暖湿气流的影响，林芝市降水丰沛，水系发育，河网稠密，河网密度是西藏最大的地区之一，如波密西北地区河网密度可达0.5km/km</w:t>
      </w:r>
      <w:r>
        <w:rPr>
          <w:vertAlign w:val="superscript"/>
        </w:rPr>
        <w:t>2</w:t>
      </w:r>
      <w:r>
        <w:t>。全市水域面积76.58万hm</w:t>
      </w:r>
      <w:r>
        <w:rPr>
          <w:vertAlign w:val="superscript"/>
        </w:rPr>
        <w:t>2</w:t>
      </w:r>
      <w:r>
        <w:t>，其中河流水域面积5.23万hm</w:t>
      </w:r>
      <w:r>
        <w:rPr>
          <w:vertAlign w:val="superscript"/>
        </w:rPr>
        <w:t>2</w:t>
      </w:r>
      <w:r>
        <w:t>，湖泊水域面积2.55万hm</w:t>
      </w:r>
      <w:r>
        <w:rPr>
          <w:vertAlign w:val="superscript"/>
        </w:rPr>
        <w:t>2</w:t>
      </w:r>
      <w:r>
        <w:t>。</w:t>
      </w:r>
    </w:p>
    <w:p>
      <w:pPr>
        <w:pStyle w:val="6"/>
        <w:ind w:firstLine="480"/>
      </w:pPr>
      <w:r>
        <w:t>林芝主要分布有雅鲁藏布江及其支流尼洋河、帕隆藏布，怒江，察隅河等河流水系，都为外流河及属印度洋水系。</w:t>
      </w:r>
    </w:p>
    <w:p>
      <w:pPr>
        <w:pStyle w:val="6"/>
        <w:ind w:firstLine="480"/>
      </w:pPr>
      <w:r>
        <w:t>（1）雅鲁藏布江水系</w:t>
      </w:r>
    </w:p>
    <w:p>
      <w:pPr>
        <w:pStyle w:val="6"/>
        <w:ind w:firstLine="480"/>
      </w:pPr>
      <w:r>
        <w:t>雅鲁藏布江是西藏最大的河流，在朗县老虎口处流入林芝，属雅鲁藏布江中下游段。雅鲁藏布江进入林芝后，由西向东横贯朗县和米林县境；在米林县派乡(雪卡)以下，河流环绕喜马拉雅山东端的最高峰南迦巴瓦峰，形成著名的大拐弯峡谷段；然后，雅鲁藏布江穿过墨脱县境，由巴昔卡处流入印度境内，改称布拉马普特拉河。雅鲁藏布江在林芝境内的流域面积69712km</w:t>
      </w:r>
      <w:r>
        <w:rPr>
          <w:vertAlign w:val="superscript"/>
        </w:rPr>
        <w:t>2</w:t>
      </w:r>
      <w:r>
        <w:t>，河段长802km，落差3000m。主要支流有尼洋河、帕隆藏布、古如曲、普曲、工学隆、金东曲、比扑曲、里龙普曲、扎西绕登曲(也称吞不容)、南伊沟、金珠普曲与锡约姆河。</w:t>
      </w:r>
    </w:p>
    <w:p>
      <w:pPr>
        <w:pStyle w:val="6"/>
        <w:ind w:firstLine="480"/>
      </w:pPr>
      <w:r>
        <w:t>（2）尼洋河</w:t>
      </w:r>
    </w:p>
    <w:p>
      <w:pPr>
        <w:pStyle w:val="6"/>
        <w:ind w:firstLine="480"/>
      </w:pPr>
      <w:r>
        <w:t>尼洋河是雅鲁藏布江中下游左岸的一级支流，发源于念青唐古拉山南麓、工布江达县西部的错木果拉冰川湖，流经工布江达县和巴宜区，于巴宜区的格则村附近汇入雅鲁藏布江。流域介于东经92°10 ′～94°35′、北纬29 °2 8′～30°30′之间，东部以色季拉山为界与帕隆藏布支流拉月曲为邻，南部以郭喀拉日居与雅鲁藏布江干流相邻，西部以米拉山与拉萨河流域相望，北部为易贡藏布水系。尼洋河在林芝境内的流域面积17535km</w:t>
      </w:r>
      <w:r>
        <w:rPr>
          <w:vertAlign w:val="superscript"/>
        </w:rPr>
        <w:t>2</w:t>
      </w:r>
      <w:r>
        <w:t>，河段长286km，总落差2080m。主要支流有娘曲、巴朗曲、巴河与八及弄巴。</w:t>
      </w:r>
    </w:p>
    <w:p>
      <w:pPr>
        <w:pStyle w:val="6"/>
        <w:ind w:firstLine="480"/>
      </w:pPr>
      <w:r>
        <w:t>（3）帕隆藏布</w:t>
      </w:r>
    </w:p>
    <w:p>
      <w:pPr>
        <w:pStyle w:val="6"/>
        <w:ind w:firstLine="480"/>
      </w:pPr>
      <w:r>
        <w:t>帕隆藏布为雅鲁藏布江下游左岸的一级支流，发源于阿扎贡拉北坡的冰舌末端（海拔约4300m），由东南流向西北向于通麦附近与其最大支流易贡藏布汇合后向南西流，至帕隆又转成南东向流，在雅鲁藏布江大拐弯的顶端岗郎附近汇入雅鲁藏布江。帕隆藏布在林芝境内的流域面积18063km</w:t>
      </w:r>
      <w:r>
        <w:rPr>
          <w:vertAlign w:val="superscript"/>
        </w:rPr>
        <w:t>2</w:t>
      </w:r>
      <w:r>
        <w:t>，河段长266km，落差2280m。主要支流有易贡藏布、曲宗藏布、波堆藏布与拉月曲。</w:t>
      </w:r>
    </w:p>
    <w:p>
      <w:pPr>
        <w:pStyle w:val="6"/>
        <w:ind w:firstLine="480"/>
      </w:pPr>
      <w:r>
        <w:t>易贡藏布为帕隆藏布最大支流，发源于念青唐古拉山舍格拉附近(麦地卡盆地南面)，由西向东流经通麦附近与帕隆藏布相汇。易贡藏布在林芝境内的流域面积4815km</w:t>
      </w:r>
      <w:r>
        <w:rPr>
          <w:vertAlign w:val="superscript"/>
        </w:rPr>
        <w:t>2</w:t>
      </w:r>
      <w:r>
        <w:t>，河段长131km，落差980m。</w:t>
      </w:r>
    </w:p>
    <w:p>
      <w:pPr>
        <w:pStyle w:val="6"/>
        <w:ind w:firstLine="480"/>
      </w:pPr>
      <w:r>
        <w:t>（4）怒江</w:t>
      </w:r>
    </w:p>
    <w:p>
      <w:pPr>
        <w:pStyle w:val="6"/>
        <w:ind w:firstLine="480"/>
      </w:pPr>
      <w:r>
        <w:t>怒江发源于唐古拉山脉南侧、海拔6070m高的吉热格帕山，在察隅县古拉乡东北部边境拉棍巴流入林芝。怒江在林芝境内为中下游段，由北向南贯穿察隅县的古拉乡和察瓦龙乡，最后在察瓦龙乡拉康寺附近进入云南，其中波密县康玉乡德曲为其支流。怒江在林芝境内流域面积6577km</w:t>
      </w:r>
      <w:r>
        <w:rPr>
          <w:vertAlign w:val="superscript"/>
        </w:rPr>
        <w:t>2</w:t>
      </w:r>
      <w:r>
        <w:t>，河段长138km，落差760m。</w:t>
      </w:r>
    </w:p>
    <w:p>
      <w:pPr>
        <w:pStyle w:val="6"/>
        <w:ind w:firstLine="480"/>
      </w:pPr>
      <w:r>
        <w:t>（5）察隅河水系</w:t>
      </w:r>
    </w:p>
    <w:p>
      <w:pPr>
        <w:pStyle w:val="6"/>
        <w:ind w:firstLine="480"/>
      </w:pPr>
      <w:r>
        <w:t>察隅河水系主要分布在察隅县境内，其上段分为规模相近的两支(分水岭为岗日嘎布)：东支称桑曲(又称桑昂曲)，发源于特格拉山南坡(伯舒拉岭的一部分)，流域面积6670km</w:t>
      </w:r>
      <w:r>
        <w:rPr>
          <w:vertAlign w:val="superscript"/>
        </w:rPr>
        <w:t>2</w:t>
      </w:r>
      <w:r>
        <w:t>，河段长约178km，落差2900m，是一条以峡谷为主、局部宽谷盆地相间的山区河流；西支为贡日嘎布曲(又称陇多曲)，发源于岗日嘎布附近的现代冰川末端，流域面积5376km</w:t>
      </w:r>
      <w:r>
        <w:rPr>
          <w:vertAlign w:val="superscript"/>
        </w:rPr>
        <w:t>2</w:t>
      </w:r>
      <w:r>
        <w:t>，河段长170km，落差2930m。桑曲与贡日嘎布曲相汇后始称察隅河，由南西向到明宗附近转成北西向流，至前门里附近又转向南西汇入布拉马普特拉河。察隅河在林芝境内的流域面积69712km</w:t>
      </w:r>
      <w:r>
        <w:rPr>
          <w:vertAlign w:val="superscript"/>
        </w:rPr>
        <w:t>2</w:t>
      </w:r>
      <w:r>
        <w:t>，河段长约802km，落差3000m。</w:t>
      </w:r>
    </w:p>
    <w:p>
      <w:pPr>
        <w:pStyle w:val="5"/>
        <w:bidi w:val="0"/>
        <w:rPr>
          <w:rFonts w:hint="eastAsia"/>
        </w:rPr>
      </w:pPr>
      <w:bookmarkStart w:id="88" w:name="_Toc7019"/>
      <w:bookmarkStart w:id="89" w:name="_Toc18103"/>
      <w:r>
        <w:rPr>
          <w:rFonts w:hint="eastAsia"/>
          <w:lang w:val="en-US" w:eastAsia="zh-CN"/>
        </w:rPr>
        <w:t>3.1.5</w:t>
      </w:r>
      <w:r>
        <w:rPr>
          <w:rFonts w:hint="eastAsia"/>
        </w:rPr>
        <w:t>土壤</w:t>
      </w:r>
      <w:bookmarkEnd w:id="88"/>
      <w:bookmarkEnd w:id="89"/>
    </w:p>
    <w:p>
      <w:pPr>
        <w:pStyle w:val="6"/>
        <w:ind w:firstLine="480"/>
      </w:pPr>
      <w:r>
        <w:rPr>
          <w:rFonts w:hint="eastAsia"/>
          <w:lang w:eastAsia="zh-CN"/>
        </w:rPr>
        <w:t>林芝市</w:t>
      </w:r>
      <w:r>
        <w:rPr>
          <w:rFonts w:hint="eastAsia"/>
        </w:rPr>
        <w:t>地层组成主要以三叠系、侏罗系的海相地层为主，石灰系、二叠系、白垩系、泥盆系、奥陶系的海相地层也常见。岩石多为石灰岩、大理岩、砂岩、片岩和千枚岩。火成岩则以燕山晚期和早期的花岗岩为主。这些较古老岩层和岩石在第四纪时期青藏高原强烈隆起过程中的风化产物，以及它们搬运而再次沉积的地表物质，包括残积物、重力堆积物、冰绩物、坡积物及冲积物等成土母质。受本地区高山河谷地貌、温暖湿润的气候及丰富植被类型的影响，棕壤、暗棕壤为本地区的地带性土壤。</w:t>
      </w:r>
      <w:r>
        <w:rPr>
          <w:rFonts w:hint="eastAsia"/>
          <w:lang w:eastAsia="zh-CN"/>
        </w:rPr>
        <w:t>林芝市</w:t>
      </w:r>
      <w:r>
        <w:rPr>
          <w:rFonts w:hint="eastAsia"/>
        </w:rPr>
        <w:t>主要有高山寒漠土、高山草甸土、亚高山草甸土、灰褐土、棕壤、暗棕壤、褐土等土壤类型。</w:t>
      </w:r>
    </w:p>
    <w:p>
      <w:pPr>
        <w:pStyle w:val="5"/>
        <w:bidi w:val="0"/>
        <w:rPr>
          <w:rFonts w:hint="eastAsia"/>
          <w:lang w:val="en-US" w:eastAsia="zh-CN"/>
        </w:rPr>
      </w:pPr>
      <w:bookmarkStart w:id="90" w:name="_Toc8424"/>
      <w:bookmarkStart w:id="91" w:name="_Toc25495"/>
      <w:r>
        <w:rPr>
          <w:rFonts w:hint="eastAsia"/>
          <w:lang w:val="en-US" w:eastAsia="zh-CN"/>
        </w:rPr>
        <w:t>3.1.6动植物资源</w:t>
      </w:r>
      <w:bookmarkEnd w:id="90"/>
      <w:bookmarkEnd w:id="91"/>
    </w:p>
    <w:p>
      <w:pPr>
        <w:pStyle w:val="6"/>
        <w:ind w:firstLine="480"/>
        <w:rPr>
          <w:rFonts w:hint="default" w:eastAsia="宋体"/>
          <w:lang w:val="en-US" w:eastAsia="zh-CN"/>
        </w:rPr>
      </w:pPr>
      <w:r>
        <w:rPr>
          <w:rFonts w:hint="eastAsia"/>
          <w:lang w:val="en-US" w:eastAsia="zh-CN"/>
        </w:rPr>
        <w:t>林芝市森林面积为543万公顷，森林覆盖率为47.6％，活木蓄积量13.6亿立方米，是全国最大的原始林区。具有热带、亚热带、寒温带和湿润、半湿润气候带的各种森林植被，是世界生物多样性最典型地区，高等植物达2000多种。木本植物有上百种，几乎从亚热带到寒温带的各种针、阔叶树种均有分布，林木主要有云杉、冷杉、铁杉、高山松、乔松、华山松、云南松、落叶松、柏木、白桦、高山栋、香椿、樟木等，其中乔松、巨柏、喜马拉雅冷杉属稀有树种。有野生动物340余种，其中哺乳动物63种，鸟类232种，爬行动物25种，两栖类20种，昆虫类有1800多种。林下资源有各类中草药材2400余种，食用菌类120余种。有雅鲁藏布大峡谷国家级自然保护区、西藏察隅慈巴沟国家级自然保护区、林芝巴结巨柏自治区级自然保护区、工布自治区级自然保护区等。</w:t>
      </w:r>
    </w:p>
    <w:p>
      <w:pPr>
        <w:pStyle w:val="5"/>
        <w:bidi w:val="0"/>
        <w:rPr>
          <w:rFonts w:hint="default"/>
          <w:lang w:val="en-US" w:eastAsia="zh-CN"/>
        </w:rPr>
      </w:pPr>
      <w:bookmarkStart w:id="92" w:name="_Toc631"/>
      <w:bookmarkStart w:id="93" w:name="_Toc32282"/>
      <w:r>
        <w:rPr>
          <w:rFonts w:hint="eastAsia"/>
          <w:lang w:val="en-US" w:eastAsia="zh-CN"/>
        </w:rPr>
        <w:t>3.1.7矿产资源</w:t>
      </w:r>
      <w:bookmarkEnd w:id="92"/>
      <w:bookmarkEnd w:id="93"/>
    </w:p>
    <w:p>
      <w:pPr>
        <w:pStyle w:val="6"/>
        <w:ind w:firstLine="480"/>
      </w:pPr>
      <w:r>
        <w:rPr>
          <w:rFonts w:hint="eastAsia"/>
        </w:rPr>
        <w:t>林芝市大地构造位置处于喜马拉雅造山带，地质构造复杂，岩浆作用十分强烈，经历了多旋回洋陆构造转换，不同块体间大规模的韧性剪切带、中断带和脆性断裂的叠加遍布区内，成矿条件比较优越。但由于特殊的自然地理条件，至今区内地质矿产工作程度仍处于较低的水平。截止目前，林芝市境内已发现有铁矿、铬铁矿、钛铁矿（金红石）、铜矿、铅锌矿、镍矿、锡矿、钨矿、锑矿、金矿、银矿、黄铁矿、重晶石、石棉、水晶、冰洲石、石榴子石、电气石、绿柱石、白云母、石墨、石膏、大理岩、滑石、水泥配料用粘土、建筑用砂石、地热等矿产共34种，矿床（点）134处，其中远景资源量达到大型矿床规模的有2处，中型矿床2处，小型矿床7处。矿产类型可分为黑色金属、有色金属、贵金属、化工原料、建筑材料、宝玉石、地热等7大类。矿床成因类型有沉积型、热液型、伟晶岩型、区域变质型、矽卡岩型、岩浆型、火山岩型等，其中沉积型、热液型、矽卡岩型、火山岩型为最重要的矿床类型。</w:t>
      </w:r>
    </w:p>
    <w:p>
      <w:pPr>
        <w:pStyle w:val="4"/>
        <w:rPr>
          <w:rFonts w:hint="eastAsia"/>
        </w:rPr>
      </w:pPr>
      <w:bookmarkStart w:id="94" w:name="_Toc8790"/>
      <w:bookmarkStart w:id="95" w:name="_Toc4652"/>
      <w:r>
        <w:rPr>
          <w:rFonts w:hint="eastAsia"/>
        </w:rPr>
        <w:t>3.2社会和经济发展概况</w:t>
      </w:r>
      <w:bookmarkEnd w:id="94"/>
      <w:bookmarkEnd w:id="95"/>
    </w:p>
    <w:p>
      <w:pPr>
        <w:pStyle w:val="5"/>
        <w:rPr>
          <w:rStyle w:val="41"/>
          <w:b/>
        </w:rPr>
      </w:pPr>
      <w:bookmarkStart w:id="96" w:name="_Toc30270"/>
      <w:bookmarkStart w:id="97" w:name="_Toc13590"/>
      <w:r>
        <w:rPr>
          <w:rStyle w:val="41"/>
          <w:b/>
        </w:rPr>
        <w:t>3.2.1 行政区划和人口</w:t>
      </w:r>
      <w:bookmarkEnd w:id="96"/>
      <w:bookmarkEnd w:id="97"/>
    </w:p>
    <w:p>
      <w:pPr>
        <w:pStyle w:val="6"/>
        <w:ind w:firstLine="480"/>
      </w:pPr>
      <w:r>
        <w:rPr>
          <w:rFonts w:ascii="宋体" w:hAnsi="宋体" w:cs="宋体"/>
        </w:rPr>
        <w:t>林芝市共设</w:t>
      </w:r>
      <w:r>
        <w:rPr>
          <w:rFonts w:ascii="TimesNewRomanPSMT" w:hAnsi="TimesNewRomanPSMT" w:eastAsia="TimesNewRomanPSMT" w:cs="TimesNewRomanPSMT"/>
        </w:rPr>
        <w:t>7</w:t>
      </w:r>
      <w:r>
        <w:rPr>
          <w:rFonts w:ascii="宋体" w:hAnsi="宋体" w:cs="宋体"/>
        </w:rPr>
        <w:t>个县（区），即巴宜区、工布江达县、朗县、米林县、察隅县、波密县、墨脱县，</w:t>
      </w:r>
      <w:r>
        <w:rPr>
          <w:rFonts w:ascii="TimesNewRomanPSMT" w:hAnsi="TimesNewRomanPSMT" w:eastAsia="TimesNewRomanPSMT" w:cs="TimesNewRomanPSMT"/>
        </w:rPr>
        <w:t>54</w:t>
      </w:r>
      <w:r>
        <w:rPr>
          <w:rFonts w:ascii="宋体" w:hAnsi="宋体" w:cs="宋体"/>
        </w:rPr>
        <w:t>个乡镇（</w:t>
      </w:r>
      <w:r>
        <w:rPr>
          <w:rFonts w:ascii="TimesNewRomanPSMT" w:hAnsi="TimesNewRomanPSMT" w:eastAsia="TimesNewRomanPSMT" w:cs="TimesNewRomanPSMT"/>
        </w:rPr>
        <w:t>34</w:t>
      </w:r>
      <w:r>
        <w:rPr>
          <w:rFonts w:ascii="宋体" w:hAnsi="宋体" w:cs="宋体"/>
        </w:rPr>
        <w:t>个乡、</w:t>
      </w:r>
      <w:r>
        <w:rPr>
          <w:rFonts w:ascii="TimesNewRomanPSMT" w:hAnsi="TimesNewRomanPSMT" w:eastAsia="TimesNewRomanPSMT" w:cs="TimesNewRomanPSMT"/>
        </w:rPr>
        <w:t>20</w:t>
      </w:r>
      <w:r>
        <w:rPr>
          <w:rFonts w:ascii="宋体" w:hAnsi="宋体" w:cs="宋体"/>
        </w:rPr>
        <w:t>个镇），</w:t>
      </w:r>
      <w:r>
        <w:rPr>
          <w:rFonts w:ascii="TimesNewRomanPSMT" w:hAnsi="TimesNewRomanPSMT" w:eastAsia="TimesNewRomanPSMT" w:cs="TimesNewRomanPSMT"/>
        </w:rPr>
        <w:t>2</w:t>
      </w:r>
      <w:r>
        <w:rPr>
          <w:rFonts w:ascii="宋体" w:hAnsi="宋体" w:cs="宋体"/>
        </w:rPr>
        <w:t>个街道办事处，</w:t>
      </w:r>
      <w:r>
        <w:rPr>
          <w:rFonts w:ascii="TimesNewRomanPSMT" w:hAnsi="TimesNewRomanPSMT" w:eastAsia="TimesNewRomanPSMT" w:cs="TimesNewRomanPSMT"/>
        </w:rPr>
        <w:t>498</w:t>
      </w:r>
      <w:r>
        <w:rPr>
          <w:rFonts w:ascii="宋体" w:hAnsi="宋体" w:cs="宋体"/>
        </w:rPr>
        <w:t>个村居。截至</w:t>
      </w:r>
      <w:r>
        <w:rPr>
          <w:rFonts w:ascii="TimesNewRomanPSMT" w:hAnsi="TimesNewRomanPSMT" w:eastAsia="TimesNewRomanPSMT" w:cs="TimesNewRomanPSMT"/>
        </w:rPr>
        <w:t>2019</w:t>
      </w:r>
      <w:r>
        <w:rPr>
          <w:rFonts w:ascii="宋体" w:hAnsi="宋体" w:cs="宋体"/>
        </w:rPr>
        <w:t>年底，全市总人口</w:t>
      </w:r>
      <w:r>
        <w:rPr>
          <w:rFonts w:ascii="TimesNewRomanPSMT" w:hAnsi="TimesNewRomanPSMT" w:eastAsia="TimesNewRomanPSMT" w:cs="TimesNewRomanPSMT"/>
        </w:rPr>
        <w:t>23.8</w:t>
      </w:r>
      <w:r>
        <w:rPr>
          <w:rFonts w:ascii="宋体" w:hAnsi="宋体" w:cs="宋体"/>
        </w:rPr>
        <w:t>万人，同比增加</w:t>
      </w:r>
      <w:r>
        <w:rPr>
          <w:rFonts w:ascii="TimesNewRomanPSMT" w:hAnsi="TimesNewRomanPSMT" w:eastAsia="TimesNewRomanPSMT" w:cs="TimesNewRomanPSMT"/>
        </w:rPr>
        <w:t>0.5</w:t>
      </w:r>
      <w:r>
        <w:rPr>
          <w:rFonts w:ascii="宋体" w:hAnsi="宋体" w:cs="宋体"/>
        </w:rPr>
        <w:t>万人、增长</w:t>
      </w:r>
      <w:r>
        <w:rPr>
          <w:rFonts w:ascii="TimesNewRomanPSMT" w:hAnsi="TimesNewRomanPSMT" w:eastAsia="TimesNewRomanPSMT" w:cs="TimesNewRomanPSMT"/>
        </w:rPr>
        <w:t>2.2%</w:t>
      </w:r>
      <w:r>
        <w:rPr>
          <w:rFonts w:ascii="宋体" w:hAnsi="宋体" w:cs="宋体"/>
        </w:rPr>
        <w:t>。主要有藏族、汉族、门巴族、珞巴族、独龙族、纳西族等</w:t>
      </w:r>
      <w:r>
        <w:rPr>
          <w:rFonts w:ascii="TimesNewRomanPSMT" w:hAnsi="TimesNewRomanPSMT" w:eastAsia="TimesNewRomanPSMT" w:cs="TimesNewRomanPSMT"/>
        </w:rPr>
        <w:t>35</w:t>
      </w:r>
      <w:r>
        <w:rPr>
          <w:rFonts w:ascii="宋体" w:hAnsi="宋体" w:cs="宋体"/>
        </w:rPr>
        <w:t>个民族和僜巴。</w:t>
      </w:r>
    </w:p>
    <w:p>
      <w:pPr>
        <w:pStyle w:val="5"/>
        <w:rPr>
          <w:rFonts w:hint="default" w:eastAsia="黑体"/>
          <w:lang w:val="en-US" w:eastAsia="zh-CN"/>
        </w:rPr>
      </w:pPr>
      <w:bookmarkStart w:id="98" w:name="_Toc7275"/>
      <w:bookmarkStart w:id="99" w:name="_Toc20768"/>
      <w:r>
        <w:rPr>
          <w:rFonts w:hint="eastAsia"/>
        </w:rPr>
        <w:t>3.2.2 社会经济</w:t>
      </w:r>
      <w:r>
        <w:rPr>
          <w:rFonts w:hint="eastAsia"/>
          <w:lang w:val="en-US" w:eastAsia="zh-CN"/>
        </w:rPr>
        <w:t>发展概况</w:t>
      </w:r>
      <w:bookmarkEnd w:id="98"/>
      <w:bookmarkEnd w:id="99"/>
    </w:p>
    <w:p>
      <w:pPr>
        <w:pStyle w:val="6"/>
        <w:ind w:firstLine="480"/>
      </w:pPr>
      <w:r>
        <w:rPr>
          <w:rFonts w:hint="eastAsia"/>
        </w:rPr>
        <w:t>根据《20</w:t>
      </w:r>
      <w:r>
        <w:t>21</w:t>
      </w:r>
      <w:r>
        <w:rPr>
          <w:rFonts w:hint="eastAsia"/>
        </w:rPr>
        <w:t>年林芝市国民经济和社会发展统计公报》，2021年全市实现地区生产总值（GDP）209.01 亿元，比上年增长6.9%。其中，第一产业增加值12.56 亿元，下降0.9%；第二产业增加值70.97 亿元，增长 4.0%；第三产业增加值 125.48亿元，增长 9.4%。三次产业的比例为 6.0:34.0:60.0（详见图</w:t>
      </w:r>
      <w:r>
        <w:t>3.2-</w:t>
      </w:r>
      <w:r>
        <w:rPr>
          <w:rFonts w:hint="eastAsia"/>
        </w:rPr>
        <w:t xml:space="preserve">1、图 </w:t>
      </w:r>
      <w:r>
        <w:t>3.2-2</w:t>
      </w:r>
      <w:r>
        <w:rPr>
          <w:rFonts w:hint="eastAsia"/>
        </w:rPr>
        <w:t>）。</w:t>
      </w:r>
    </w:p>
    <w:p>
      <w:pPr>
        <w:pStyle w:val="6"/>
        <w:ind w:firstLine="0" w:firstLineChars="0"/>
        <w:jc w:val="center"/>
      </w:pPr>
      <w:r>
        <w:drawing>
          <wp:inline distT="0" distB="0" distL="114300" distR="114300">
            <wp:extent cx="4781550" cy="2774950"/>
            <wp:effectExtent l="19050" t="19050" r="19050" b="2540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3"/>
                    <a:stretch>
                      <a:fillRect/>
                    </a:stretch>
                  </pic:blipFill>
                  <pic:spPr>
                    <a:xfrm>
                      <a:off x="0" y="0"/>
                      <a:ext cx="4781550" cy="2774950"/>
                    </a:xfrm>
                    <a:prstGeom prst="rect">
                      <a:avLst/>
                    </a:prstGeom>
                    <a:noFill/>
                    <a:ln w="19050" cap="flat" cmpd="sng">
                      <a:solidFill>
                        <a:srgbClr val="000000"/>
                      </a:solidFill>
                      <a:prstDash val="solid"/>
                      <a:round/>
                      <a:headEnd type="none" w="med" len="med"/>
                      <a:tailEnd type="none" w="med" len="med"/>
                    </a:ln>
                  </pic:spPr>
                </pic:pic>
              </a:graphicData>
            </a:graphic>
          </wp:inline>
        </w:drawing>
      </w:r>
    </w:p>
    <w:p>
      <w:pPr>
        <w:pStyle w:val="34"/>
      </w:pPr>
      <w:r>
        <w:rPr>
          <w:rFonts w:hint="eastAsia"/>
        </w:rPr>
        <w:t>图3</w:t>
      </w:r>
      <w:r>
        <w:t xml:space="preserve">.2-1  </w:t>
      </w:r>
      <w:r>
        <w:rPr>
          <w:rFonts w:hint="eastAsia"/>
        </w:rPr>
        <w:t>林芝市2</w:t>
      </w:r>
      <w:r>
        <w:t>016</w:t>
      </w:r>
      <w:r>
        <w:rPr>
          <w:rFonts w:hint="eastAsia"/>
        </w:rPr>
        <w:t>年~</w:t>
      </w:r>
      <w:r>
        <w:t>2021</w:t>
      </w:r>
      <w:r>
        <w:rPr>
          <w:rFonts w:hint="eastAsia"/>
        </w:rPr>
        <w:t>年全市生产总值变化情况</w:t>
      </w:r>
    </w:p>
    <w:p>
      <w:pPr>
        <w:pStyle w:val="6"/>
        <w:ind w:firstLine="0" w:firstLineChars="0"/>
        <w:jc w:val="center"/>
      </w:pPr>
      <w:r>
        <w:drawing>
          <wp:inline distT="0" distB="0" distL="114300" distR="114300">
            <wp:extent cx="4545965" cy="2775585"/>
            <wp:effectExtent l="15875" t="15875" r="29210" b="2794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4"/>
                    <a:stretch>
                      <a:fillRect/>
                    </a:stretch>
                  </pic:blipFill>
                  <pic:spPr>
                    <a:xfrm>
                      <a:off x="0" y="0"/>
                      <a:ext cx="4545965" cy="2775585"/>
                    </a:xfrm>
                    <a:prstGeom prst="rect">
                      <a:avLst/>
                    </a:prstGeom>
                    <a:noFill/>
                    <a:ln w="15875" cap="flat" cmpd="sng">
                      <a:solidFill>
                        <a:srgbClr val="000000"/>
                      </a:solidFill>
                      <a:prstDash val="solid"/>
                      <a:round/>
                      <a:headEnd type="none" w="med" len="med"/>
                      <a:tailEnd type="none" w="med" len="med"/>
                    </a:ln>
                  </pic:spPr>
                </pic:pic>
              </a:graphicData>
            </a:graphic>
          </wp:inline>
        </w:drawing>
      </w:r>
    </w:p>
    <w:p>
      <w:pPr>
        <w:pStyle w:val="34"/>
      </w:pPr>
      <w:r>
        <w:rPr>
          <w:rFonts w:hint="eastAsia"/>
        </w:rPr>
        <w:t>图3</w:t>
      </w:r>
      <w:r>
        <w:t xml:space="preserve">.2-2  </w:t>
      </w:r>
      <w:r>
        <w:rPr>
          <w:rFonts w:hint="eastAsia"/>
        </w:rPr>
        <w:t>林芝市2</w:t>
      </w:r>
      <w:r>
        <w:t>016</w:t>
      </w:r>
      <w:r>
        <w:rPr>
          <w:rFonts w:hint="eastAsia"/>
        </w:rPr>
        <w:t>年~</w:t>
      </w:r>
      <w:r>
        <w:t>2021</w:t>
      </w:r>
      <w:r>
        <w:rPr>
          <w:rFonts w:hint="eastAsia"/>
        </w:rPr>
        <w:t>年三产比重变化情况</w:t>
      </w:r>
    </w:p>
    <w:p>
      <w:pPr>
        <w:pStyle w:val="6"/>
        <w:ind w:firstLine="480"/>
      </w:pPr>
      <w:r>
        <w:rPr>
          <w:rFonts w:hint="eastAsia"/>
        </w:rPr>
        <w:t>2</w:t>
      </w:r>
      <w:r>
        <w:t>021</w:t>
      </w:r>
      <w:r>
        <w:rPr>
          <w:rFonts w:hint="eastAsia"/>
        </w:rPr>
        <w:t>年全年居民消费价格总水平上涨0.3%，涨幅比2020年缩小1.9个百分点，为近十年年度涨幅最低水平。八大类消费品呈“五涨三降”态势，其中食品烟酒、衣着、交通通信、生活用品及服务、教育文化和娱乐价格分别上涨2.1%、0.2%、0.6%、0.1%、1.3%，居住、医疗保健、其他用品和服务价格分别下降3.2%、0.3%、0.3%（详见图</w:t>
      </w:r>
      <w:r>
        <w:t>3.2-3</w:t>
      </w:r>
      <w:r>
        <w:rPr>
          <w:rFonts w:hint="eastAsia"/>
        </w:rPr>
        <w:t>）。</w:t>
      </w:r>
    </w:p>
    <w:p>
      <w:pPr>
        <w:pStyle w:val="6"/>
        <w:ind w:firstLine="0" w:firstLineChars="0"/>
        <w:jc w:val="center"/>
      </w:pPr>
      <w:r>
        <w:drawing>
          <wp:inline distT="0" distB="0" distL="114300" distR="114300">
            <wp:extent cx="4905375" cy="2775585"/>
            <wp:effectExtent l="19050" t="19050" r="28575" b="247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5"/>
                    <a:stretch>
                      <a:fillRect/>
                    </a:stretch>
                  </pic:blipFill>
                  <pic:spPr>
                    <a:xfrm>
                      <a:off x="0" y="0"/>
                      <a:ext cx="4905375" cy="2775585"/>
                    </a:xfrm>
                    <a:prstGeom prst="rect">
                      <a:avLst/>
                    </a:prstGeom>
                    <a:noFill/>
                    <a:ln w="19050" cap="flat" cmpd="sng">
                      <a:solidFill>
                        <a:srgbClr val="000000"/>
                      </a:solidFill>
                      <a:prstDash val="solid"/>
                      <a:round/>
                      <a:headEnd type="none" w="med" len="med"/>
                      <a:tailEnd type="none" w="med" len="med"/>
                    </a:ln>
                  </pic:spPr>
                </pic:pic>
              </a:graphicData>
            </a:graphic>
          </wp:inline>
        </w:drawing>
      </w:r>
    </w:p>
    <w:p>
      <w:pPr>
        <w:pStyle w:val="34"/>
      </w:pPr>
      <w:r>
        <w:rPr>
          <w:rFonts w:hint="eastAsia"/>
        </w:rPr>
        <w:t>图3</w:t>
      </w:r>
      <w:r>
        <w:t xml:space="preserve">.2-3  </w:t>
      </w:r>
      <w:r>
        <w:rPr>
          <w:rFonts w:hint="eastAsia"/>
        </w:rPr>
        <w:t>林芝市2</w:t>
      </w:r>
      <w:r>
        <w:t>016</w:t>
      </w:r>
      <w:r>
        <w:rPr>
          <w:rFonts w:hint="eastAsia"/>
        </w:rPr>
        <w:t>年~</w:t>
      </w:r>
      <w:r>
        <w:t>2021</w:t>
      </w:r>
      <w:r>
        <w:rPr>
          <w:rFonts w:hint="eastAsia"/>
        </w:rPr>
        <w:t>年居民消费总指数变化情况</w:t>
      </w:r>
    </w:p>
    <w:p>
      <w:pPr>
        <w:pStyle w:val="6"/>
        <w:ind w:firstLine="480"/>
        <w:rPr>
          <w:rFonts w:hint="eastAsia"/>
        </w:rPr>
      </w:pPr>
      <w:r>
        <w:rPr>
          <w:rFonts w:hint="eastAsia"/>
        </w:rPr>
        <w:t>2</w:t>
      </w:r>
      <w:r>
        <w:t>021</w:t>
      </w:r>
      <w:r>
        <w:rPr>
          <w:rFonts w:hint="eastAsia"/>
        </w:rPr>
        <w:t>年全市一般公共预算收入15.02亿元，增长5.1%。公共财政预算收入占GDP 比重为7.2%。公共财政预算支出103.58亿元，下降23.1%。</w:t>
      </w:r>
    </w:p>
    <w:p>
      <w:pPr>
        <w:pStyle w:val="4"/>
        <w:rPr>
          <w:rFonts w:hint="eastAsia"/>
          <w:lang w:val="en-US" w:eastAsia="zh-CN"/>
        </w:rPr>
      </w:pPr>
      <w:bookmarkStart w:id="100" w:name="_Toc18460"/>
      <w:bookmarkStart w:id="101" w:name="_Toc20204"/>
      <w:r>
        <w:rPr>
          <w:rFonts w:hint="eastAsia"/>
        </w:rPr>
        <w:t>3.</w:t>
      </w:r>
      <w:r>
        <w:rPr>
          <w:rFonts w:hint="eastAsia"/>
          <w:lang w:val="en-US" w:eastAsia="zh-CN"/>
        </w:rPr>
        <w:t>3</w:t>
      </w:r>
      <w:r>
        <w:rPr>
          <w:rFonts w:hint="eastAsia"/>
        </w:rPr>
        <w:t>区域环境质量现状评价</w:t>
      </w:r>
      <w:r>
        <w:rPr>
          <w:rFonts w:hint="eastAsia"/>
          <w:lang w:val="en-US" w:eastAsia="zh-CN"/>
        </w:rPr>
        <w:t>及变化趋势</w:t>
      </w:r>
      <w:bookmarkEnd w:id="100"/>
      <w:bookmarkEnd w:id="101"/>
    </w:p>
    <w:p>
      <w:pPr>
        <w:pStyle w:val="5"/>
        <w:rPr>
          <w:rFonts w:hint="eastAsia"/>
        </w:rPr>
      </w:pPr>
      <w:bookmarkStart w:id="102" w:name="_Toc13709"/>
      <w:r>
        <w:rPr>
          <w:rFonts w:hint="eastAsia"/>
        </w:rPr>
        <w:t>3.3.1大气环境现状分析</w:t>
      </w:r>
      <w:bookmarkEnd w:id="102"/>
    </w:p>
    <w:p>
      <w:pPr>
        <w:pStyle w:val="2"/>
        <w:rPr>
          <w:rFonts w:hint="default" w:eastAsia="宋体"/>
          <w:lang w:val="en-US" w:eastAsia="zh-CN"/>
        </w:rPr>
      </w:pPr>
      <w:r>
        <w:rPr>
          <w:rFonts w:hint="eastAsia"/>
        </w:rPr>
        <w:t>3.3.1.1</w:t>
      </w:r>
      <w:r>
        <w:rPr>
          <w:rFonts w:hint="eastAsia"/>
          <w:lang w:val="en-US" w:eastAsia="zh-CN"/>
        </w:rPr>
        <w:t>区域大气环境质量现状</w:t>
      </w:r>
    </w:p>
    <w:p>
      <w:pPr>
        <w:pStyle w:val="6"/>
        <w:ind w:firstLine="480"/>
      </w:pPr>
      <w:r>
        <w:t>本次评价</w:t>
      </w:r>
      <w:r>
        <w:rPr>
          <w:rFonts w:hint="eastAsia"/>
        </w:rPr>
        <w:t>根据《林芝市环境质量报告书》（2</w:t>
      </w:r>
      <w:r>
        <w:t>016~2020</w:t>
      </w:r>
      <w:r>
        <w:rPr>
          <w:rFonts w:hint="eastAsia"/>
        </w:rPr>
        <w:t>年）中监测数据对</w:t>
      </w:r>
      <w:r>
        <w:t>本规划区环境空气质量</w:t>
      </w:r>
      <w:r>
        <w:rPr>
          <w:rFonts w:hint="eastAsia"/>
        </w:rPr>
        <w:t>现状进行分析说明。</w:t>
      </w:r>
    </w:p>
    <w:p>
      <w:pPr>
        <w:pStyle w:val="6"/>
        <w:ind w:firstLine="482"/>
        <w:rPr>
          <w:b/>
          <w:bCs/>
        </w:rPr>
      </w:pPr>
      <w:r>
        <w:rPr>
          <w:rFonts w:hint="eastAsia"/>
          <w:b/>
          <w:bCs/>
        </w:rPr>
        <w:t>1、监测点位</w:t>
      </w:r>
    </w:p>
    <w:p>
      <w:pPr>
        <w:pStyle w:val="6"/>
        <w:ind w:firstLine="480"/>
      </w:pPr>
      <w:r>
        <w:rPr>
          <w:rFonts w:hint="eastAsia"/>
        </w:rPr>
        <w:t>林芝市共设置8个环境空气质量监测点，其中中心城区（巴宜区）设置2个国控环境空气质量自动监测点，其他各县区各设置1个手工环境空气质量监测点，具体监测点位设置情况如下：</w:t>
      </w:r>
    </w:p>
    <w:p>
      <w:pPr>
        <w:pStyle w:val="27"/>
      </w:pPr>
      <w:r>
        <w:t>表</w:t>
      </w:r>
      <w:r>
        <w:rPr>
          <w:rFonts w:hint="eastAsia"/>
        </w:rPr>
        <w:t>3.3</w:t>
      </w:r>
      <w:r>
        <w:noBreakHyphen/>
      </w:r>
      <w:r>
        <w:t xml:space="preserve">1 </w:t>
      </w:r>
      <w:r>
        <w:rPr>
          <w:rFonts w:hint="eastAsia"/>
        </w:rPr>
        <w:t>林芝市</w:t>
      </w:r>
      <w:r>
        <w:t>环境空气质量</w:t>
      </w:r>
      <w:r>
        <w:rPr>
          <w:rFonts w:hint="eastAsia"/>
        </w:rPr>
        <w:t>常规</w:t>
      </w:r>
      <w:r>
        <w:t>监测</w:t>
      </w:r>
      <w:r>
        <w:rPr>
          <w:rFonts w:hint="eastAsia"/>
        </w:rPr>
        <w:t>点位</w:t>
      </w:r>
      <w:r>
        <w:t>统计表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991"/>
        <w:gridCol w:w="1987"/>
        <w:gridCol w:w="2907"/>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区县</w:t>
            </w:r>
          </w:p>
        </w:tc>
        <w:tc>
          <w:tcPr>
            <w:tcW w:w="58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点位数</w:t>
            </w:r>
          </w:p>
        </w:tc>
        <w:tc>
          <w:tcPr>
            <w:tcW w:w="116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点位名称</w:t>
            </w:r>
          </w:p>
        </w:tc>
        <w:tc>
          <w:tcPr>
            <w:tcW w:w="170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经纬度</w:t>
            </w:r>
          </w:p>
        </w:tc>
        <w:tc>
          <w:tcPr>
            <w:tcW w:w="984"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巴宜区</w:t>
            </w:r>
          </w:p>
        </w:tc>
        <w:tc>
          <w:tcPr>
            <w:tcW w:w="582" w:type="pct"/>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2</w:t>
            </w:r>
          </w:p>
        </w:tc>
        <w:tc>
          <w:tcPr>
            <w:tcW w:w="116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林芝市生态环境局</w:t>
            </w:r>
          </w:p>
        </w:tc>
        <w:tc>
          <w:tcPr>
            <w:tcW w:w="1706"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E</w:t>
            </w:r>
            <w:r>
              <w:rPr>
                <w:rFonts w:hint="eastAsia"/>
              </w:rPr>
              <w:t>：9</w:t>
            </w:r>
            <w:r>
              <w:rPr>
                <w:rFonts w:hint="default"/>
              </w:rPr>
              <w:t>4</w:t>
            </w:r>
            <w:r>
              <w:rPr>
                <w:rFonts w:hint="eastAsia"/>
              </w:rPr>
              <w:t>°</w:t>
            </w:r>
            <w:r>
              <w:rPr>
                <w:rFonts w:hint="default"/>
              </w:rPr>
              <w:t>22</w:t>
            </w:r>
            <w:r>
              <w:rPr>
                <w:rFonts w:hint="eastAsia"/>
              </w:rPr>
              <w:t>′</w:t>
            </w:r>
            <w:r>
              <w:rPr>
                <w:rFonts w:hint="default"/>
              </w:rPr>
              <w:t>05.28</w:t>
            </w:r>
            <w:r>
              <w:rPr>
                <w:rFonts w:hint="eastAsia"/>
              </w:rPr>
              <w:t>″</w:t>
            </w:r>
          </w:p>
          <w:p>
            <w:pPr>
              <w:pStyle w:val="29"/>
              <w:keepNext w:val="0"/>
              <w:keepLines w:val="0"/>
              <w:suppressLineNumbers w:val="0"/>
              <w:spacing w:before="0" w:beforeAutospacing="0" w:after="0" w:afterAutospacing="0"/>
              <w:ind w:left="0" w:right="0"/>
              <w:rPr>
                <w:rFonts w:hint="default"/>
              </w:rPr>
            </w:pPr>
            <w:r>
              <w:rPr>
                <w:rFonts w:hint="eastAsia"/>
              </w:rPr>
              <w:t>N：</w:t>
            </w:r>
            <w:r>
              <w:rPr>
                <w:rFonts w:hint="default"/>
              </w:rPr>
              <w:t>29</w:t>
            </w:r>
            <w:r>
              <w:rPr>
                <w:rFonts w:hint="eastAsia"/>
              </w:rPr>
              <w:t>°</w:t>
            </w:r>
            <w:r>
              <w:rPr>
                <w:rFonts w:hint="default"/>
              </w:rPr>
              <w:t>38</w:t>
            </w:r>
            <w:r>
              <w:rPr>
                <w:rFonts w:hint="eastAsia"/>
              </w:rPr>
              <w:t>′</w:t>
            </w:r>
            <w:r>
              <w:rPr>
                <w:rFonts w:hint="default"/>
              </w:rPr>
              <w:t>15.36</w:t>
            </w:r>
            <w:r>
              <w:rPr>
                <w:rFonts w:hint="eastAsia"/>
              </w:rPr>
              <w:t>″</w:t>
            </w:r>
          </w:p>
        </w:tc>
        <w:tc>
          <w:tcPr>
            <w:tcW w:w="984"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自动监测站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582" w:type="pct"/>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116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林芝市人民医院</w:t>
            </w:r>
          </w:p>
        </w:tc>
        <w:tc>
          <w:tcPr>
            <w:tcW w:w="1706"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E</w:t>
            </w:r>
            <w:r>
              <w:rPr>
                <w:rFonts w:hint="eastAsia"/>
              </w:rPr>
              <w:t>：9</w:t>
            </w:r>
            <w:r>
              <w:rPr>
                <w:rFonts w:hint="default"/>
              </w:rPr>
              <w:t>4</w:t>
            </w:r>
            <w:r>
              <w:rPr>
                <w:rFonts w:hint="eastAsia"/>
              </w:rPr>
              <w:t>°</w:t>
            </w:r>
            <w:r>
              <w:rPr>
                <w:rFonts w:hint="default"/>
              </w:rPr>
              <w:t>21</w:t>
            </w:r>
            <w:r>
              <w:rPr>
                <w:rFonts w:hint="eastAsia"/>
              </w:rPr>
              <w:t>′</w:t>
            </w:r>
            <w:r>
              <w:rPr>
                <w:rFonts w:hint="default"/>
              </w:rPr>
              <w:t>41.88</w:t>
            </w:r>
            <w:r>
              <w:rPr>
                <w:rFonts w:hint="eastAsia"/>
              </w:rPr>
              <w:t>″</w:t>
            </w:r>
          </w:p>
          <w:p>
            <w:pPr>
              <w:pStyle w:val="29"/>
              <w:keepNext w:val="0"/>
              <w:keepLines w:val="0"/>
              <w:suppressLineNumbers w:val="0"/>
              <w:spacing w:before="0" w:beforeAutospacing="0" w:after="0" w:afterAutospacing="0"/>
              <w:ind w:left="0" w:right="0"/>
              <w:rPr>
                <w:rFonts w:hint="default"/>
              </w:rPr>
            </w:pPr>
            <w:r>
              <w:rPr>
                <w:rFonts w:hint="eastAsia"/>
              </w:rPr>
              <w:t>N：</w:t>
            </w:r>
            <w:r>
              <w:rPr>
                <w:rFonts w:hint="default"/>
              </w:rPr>
              <w:t>29</w:t>
            </w:r>
            <w:r>
              <w:rPr>
                <w:rFonts w:hint="eastAsia"/>
              </w:rPr>
              <w:t>°</w:t>
            </w:r>
            <w:r>
              <w:rPr>
                <w:rFonts w:hint="default"/>
              </w:rPr>
              <w:t>39</w:t>
            </w:r>
            <w:r>
              <w:rPr>
                <w:rFonts w:hint="eastAsia"/>
              </w:rPr>
              <w:t>′</w:t>
            </w:r>
            <w:r>
              <w:rPr>
                <w:rFonts w:hint="default"/>
              </w:rPr>
              <w:t>41.88</w:t>
            </w:r>
            <w:r>
              <w:rPr>
                <w:rFonts w:hint="eastAsia"/>
              </w:rPr>
              <w:t>″</w:t>
            </w:r>
          </w:p>
        </w:tc>
        <w:tc>
          <w:tcPr>
            <w:tcW w:w="984"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自动监测站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米林县</w:t>
            </w:r>
          </w:p>
        </w:tc>
        <w:tc>
          <w:tcPr>
            <w:tcW w:w="5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1</w:t>
            </w:r>
          </w:p>
        </w:tc>
        <w:tc>
          <w:tcPr>
            <w:tcW w:w="116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米林县县政府</w:t>
            </w:r>
          </w:p>
        </w:tc>
        <w:tc>
          <w:tcPr>
            <w:tcW w:w="1706" w:type="pct"/>
            <w:noWrap w:val="0"/>
            <w:vAlign w:val="top"/>
          </w:tcPr>
          <w:p>
            <w:pPr>
              <w:pStyle w:val="29"/>
              <w:keepNext w:val="0"/>
              <w:keepLines w:val="0"/>
              <w:suppressLineNumbers w:val="0"/>
              <w:spacing w:before="0" w:beforeAutospacing="0" w:after="0" w:afterAutospacing="0"/>
              <w:ind w:left="0" w:right="0"/>
              <w:rPr>
                <w:rFonts w:hint="default"/>
              </w:rPr>
            </w:pPr>
            <w:r>
              <w:rPr>
                <w:rFonts w:hint="default"/>
              </w:rPr>
              <w:t>E</w:t>
            </w:r>
            <w:r>
              <w:rPr>
                <w:rFonts w:hint="eastAsia"/>
              </w:rPr>
              <w:t>：9</w:t>
            </w:r>
            <w:r>
              <w:rPr>
                <w:rFonts w:hint="default"/>
              </w:rPr>
              <w:t>4</w:t>
            </w:r>
            <w:r>
              <w:rPr>
                <w:rFonts w:hint="eastAsia"/>
              </w:rPr>
              <w:t>°</w:t>
            </w:r>
            <w:r>
              <w:rPr>
                <w:rFonts w:hint="default"/>
              </w:rPr>
              <w:t>12</w:t>
            </w:r>
            <w:r>
              <w:rPr>
                <w:rFonts w:hint="eastAsia"/>
              </w:rPr>
              <w:t>′</w:t>
            </w:r>
            <w:r>
              <w:rPr>
                <w:rFonts w:hint="default"/>
              </w:rPr>
              <w:t>49.42</w:t>
            </w:r>
            <w:r>
              <w:rPr>
                <w:rFonts w:hint="eastAsia"/>
              </w:rPr>
              <w:t>″</w:t>
            </w:r>
          </w:p>
          <w:p>
            <w:pPr>
              <w:pStyle w:val="29"/>
              <w:keepNext w:val="0"/>
              <w:keepLines w:val="0"/>
              <w:suppressLineNumbers w:val="0"/>
              <w:spacing w:before="0" w:beforeAutospacing="0" w:after="0" w:afterAutospacing="0"/>
              <w:ind w:left="0" w:right="0"/>
              <w:rPr>
                <w:rFonts w:hint="default"/>
              </w:rPr>
            </w:pPr>
            <w:r>
              <w:rPr>
                <w:rFonts w:hint="eastAsia"/>
              </w:rPr>
              <w:t>N：</w:t>
            </w:r>
            <w:r>
              <w:rPr>
                <w:rFonts w:hint="default"/>
              </w:rPr>
              <w:t>29</w:t>
            </w:r>
            <w:r>
              <w:rPr>
                <w:rFonts w:hint="eastAsia"/>
              </w:rPr>
              <w:t>°</w:t>
            </w:r>
            <w:r>
              <w:rPr>
                <w:rFonts w:hint="default"/>
              </w:rPr>
              <w:t>12</w:t>
            </w:r>
            <w:r>
              <w:rPr>
                <w:rFonts w:hint="eastAsia"/>
              </w:rPr>
              <w:t>′</w:t>
            </w:r>
            <w:r>
              <w:rPr>
                <w:rFonts w:hint="default"/>
              </w:rPr>
              <w:t>53.91</w:t>
            </w:r>
            <w:r>
              <w:rPr>
                <w:rFonts w:hint="eastAsia"/>
              </w:rPr>
              <w:t>″</w:t>
            </w:r>
          </w:p>
        </w:tc>
        <w:tc>
          <w:tcPr>
            <w:tcW w:w="984"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手动监测点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墨脱县</w:t>
            </w:r>
          </w:p>
        </w:tc>
        <w:tc>
          <w:tcPr>
            <w:tcW w:w="5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1</w:t>
            </w:r>
          </w:p>
        </w:tc>
        <w:tc>
          <w:tcPr>
            <w:tcW w:w="116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墨脱县圣地宾馆</w:t>
            </w:r>
          </w:p>
        </w:tc>
        <w:tc>
          <w:tcPr>
            <w:tcW w:w="1706" w:type="pct"/>
            <w:noWrap w:val="0"/>
            <w:vAlign w:val="top"/>
          </w:tcPr>
          <w:p>
            <w:pPr>
              <w:pStyle w:val="29"/>
              <w:keepNext w:val="0"/>
              <w:keepLines w:val="0"/>
              <w:suppressLineNumbers w:val="0"/>
              <w:spacing w:before="0" w:beforeAutospacing="0" w:after="0" w:afterAutospacing="0"/>
              <w:ind w:left="0" w:right="0"/>
              <w:rPr>
                <w:rFonts w:hint="default"/>
              </w:rPr>
            </w:pPr>
            <w:r>
              <w:rPr>
                <w:rFonts w:hint="default"/>
              </w:rPr>
              <w:t>E</w:t>
            </w:r>
            <w:r>
              <w:rPr>
                <w:rFonts w:hint="eastAsia"/>
              </w:rPr>
              <w:t>：9</w:t>
            </w:r>
            <w:r>
              <w:rPr>
                <w:rFonts w:hint="default"/>
              </w:rPr>
              <w:t>5</w:t>
            </w:r>
            <w:r>
              <w:rPr>
                <w:rFonts w:hint="eastAsia"/>
              </w:rPr>
              <w:t>°</w:t>
            </w:r>
            <w:r>
              <w:rPr>
                <w:rFonts w:hint="default"/>
              </w:rPr>
              <w:t>19</w:t>
            </w:r>
            <w:r>
              <w:rPr>
                <w:rFonts w:hint="eastAsia"/>
              </w:rPr>
              <w:t>′</w:t>
            </w:r>
            <w:r>
              <w:rPr>
                <w:rFonts w:hint="default"/>
              </w:rPr>
              <w:t>42.14</w:t>
            </w:r>
            <w:r>
              <w:rPr>
                <w:rFonts w:hint="eastAsia"/>
              </w:rPr>
              <w:t>″</w:t>
            </w:r>
          </w:p>
          <w:p>
            <w:pPr>
              <w:pStyle w:val="29"/>
              <w:keepNext w:val="0"/>
              <w:keepLines w:val="0"/>
              <w:suppressLineNumbers w:val="0"/>
              <w:spacing w:before="0" w:beforeAutospacing="0" w:after="0" w:afterAutospacing="0"/>
              <w:ind w:left="0" w:right="0"/>
              <w:rPr>
                <w:rFonts w:hint="default"/>
              </w:rPr>
            </w:pPr>
            <w:r>
              <w:rPr>
                <w:rFonts w:hint="eastAsia"/>
              </w:rPr>
              <w:t>N：</w:t>
            </w:r>
            <w:r>
              <w:rPr>
                <w:rFonts w:hint="default"/>
              </w:rPr>
              <w:t>29</w:t>
            </w:r>
            <w:r>
              <w:rPr>
                <w:rFonts w:hint="eastAsia"/>
              </w:rPr>
              <w:t>°</w:t>
            </w:r>
            <w:r>
              <w:rPr>
                <w:rFonts w:hint="default"/>
              </w:rPr>
              <w:t>19</w:t>
            </w:r>
            <w:r>
              <w:rPr>
                <w:rFonts w:hint="eastAsia"/>
              </w:rPr>
              <w:t>′</w:t>
            </w:r>
            <w:r>
              <w:rPr>
                <w:rFonts w:hint="default"/>
              </w:rPr>
              <w:t>24.05</w:t>
            </w:r>
            <w:r>
              <w:rPr>
                <w:rFonts w:hint="eastAsia"/>
              </w:rPr>
              <w:t>″</w:t>
            </w:r>
          </w:p>
        </w:tc>
        <w:tc>
          <w:tcPr>
            <w:tcW w:w="984"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手动监测点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波密县</w:t>
            </w:r>
          </w:p>
        </w:tc>
        <w:tc>
          <w:tcPr>
            <w:tcW w:w="5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1</w:t>
            </w:r>
          </w:p>
        </w:tc>
        <w:tc>
          <w:tcPr>
            <w:tcW w:w="116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波密县县政府</w:t>
            </w:r>
          </w:p>
        </w:tc>
        <w:tc>
          <w:tcPr>
            <w:tcW w:w="1706" w:type="pct"/>
            <w:noWrap w:val="0"/>
            <w:vAlign w:val="top"/>
          </w:tcPr>
          <w:p>
            <w:pPr>
              <w:pStyle w:val="29"/>
              <w:keepNext w:val="0"/>
              <w:keepLines w:val="0"/>
              <w:suppressLineNumbers w:val="0"/>
              <w:spacing w:before="0" w:beforeAutospacing="0" w:after="0" w:afterAutospacing="0"/>
              <w:ind w:left="0" w:right="0"/>
              <w:rPr>
                <w:rFonts w:hint="default"/>
              </w:rPr>
            </w:pPr>
            <w:r>
              <w:rPr>
                <w:rFonts w:hint="default"/>
              </w:rPr>
              <w:t>E</w:t>
            </w:r>
            <w:r>
              <w:rPr>
                <w:rFonts w:hint="eastAsia"/>
              </w:rPr>
              <w:t>：9</w:t>
            </w:r>
            <w:r>
              <w:rPr>
                <w:rFonts w:hint="default"/>
              </w:rPr>
              <w:t>5</w:t>
            </w:r>
            <w:r>
              <w:rPr>
                <w:rFonts w:hint="eastAsia"/>
              </w:rPr>
              <w:t>°</w:t>
            </w:r>
            <w:r>
              <w:rPr>
                <w:rFonts w:hint="default"/>
              </w:rPr>
              <w:t>45</w:t>
            </w:r>
            <w:r>
              <w:rPr>
                <w:rFonts w:hint="eastAsia"/>
              </w:rPr>
              <w:t>′</w:t>
            </w:r>
            <w:r>
              <w:rPr>
                <w:rFonts w:hint="default"/>
              </w:rPr>
              <w:t>55.87</w:t>
            </w:r>
            <w:r>
              <w:rPr>
                <w:rFonts w:hint="eastAsia"/>
              </w:rPr>
              <w:t>″</w:t>
            </w:r>
          </w:p>
          <w:p>
            <w:pPr>
              <w:pStyle w:val="29"/>
              <w:keepNext w:val="0"/>
              <w:keepLines w:val="0"/>
              <w:suppressLineNumbers w:val="0"/>
              <w:spacing w:before="0" w:beforeAutospacing="0" w:after="0" w:afterAutospacing="0"/>
              <w:ind w:left="0" w:right="0"/>
              <w:rPr>
                <w:rFonts w:hint="default"/>
              </w:rPr>
            </w:pPr>
            <w:r>
              <w:rPr>
                <w:rFonts w:hint="eastAsia"/>
              </w:rPr>
              <w:t>N：</w:t>
            </w:r>
            <w:r>
              <w:rPr>
                <w:rFonts w:hint="default"/>
              </w:rPr>
              <w:t>29</w:t>
            </w:r>
            <w:r>
              <w:rPr>
                <w:rFonts w:hint="eastAsia"/>
              </w:rPr>
              <w:t>°</w:t>
            </w:r>
            <w:r>
              <w:rPr>
                <w:rFonts w:hint="default"/>
              </w:rPr>
              <w:t>52</w:t>
            </w:r>
            <w:r>
              <w:rPr>
                <w:rFonts w:hint="eastAsia"/>
              </w:rPr>
              <w:t>′</w:t>
            </w:r>
            <w:r>
              <w:rPr>
                <w:rFonts w:hint="default"/>
              </w:rPr>
              <w:t>55.36</w:t>
            </w:r>
            <w:r>
              <w:rPr>
                <w:rFonts w:hint="eastAsia"/>
              </w:rPr>
              <w:t>″</w:t>
            </w:r>
          </w:p>
        </w:tc>
        <w:tc>
          <w:tcPr>
            <w:tcW w:w="984"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手动监测点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朗县</w:t>
            </w:r>
          </w:p>
        </w:tc>
        <w:tc>
          <w:tcPr>
            <w:tcW w:w="5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1</w:t>
            </w:r>
          </w:p>
        </w:tc>
        <w:tc>
          <w:tcPr>
            <w:tcW w:w="116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朗县县政府</w:t>
            </w:r>
          </w:p>
        </w:tc>
        <w:tc>
          <w:tcPr>
            <w:tcW w:w="1706" w:type="pct"/>
            <w:noWrap w:val="0"/>
            <w:vAlign w:val="top"/>
          </w:tcPr>
          <w:p>
            <w:pPr>
              <w:pStyle w:val="29"/>
              <w:keepNext w:val="0"/>
              <w:keepLines w:val="0"/>
              <w:suppressLineNumbers w:val="0"/>
              <w:spacing w:before="0" w:beforeAutospacing="0" w:after="0" w:afterAutospacing="0"/>
              <w:ind w:left="0" w:right="0"/>
              <w:rPr>
                <w:rFonts w:hint="default"/>
              </w:rPr>
            </w:pPr>
            <w:r>
              <w:rPr>
                <w:rFonts w:hint="default"/>
              </w:rPr>
              <w:t>E</w:t>
            </w:r>
            <w:r>
              <w:rPr>
                <w:rFonts w:hint="eastAsia"/>
              </w:rPr>
              <w:t>：9</w:t>
            </w:r>
            <w:r>
              <w:rPr>
                <w:rFonts w:hint="default"/>
              </w:rPr>
              <w:t>3</w:t>
            </w:r>
            <w:r>
              <w:rPr>
                <w:rFonts w:hint="eastAsia"/>
              </w:rPr>
              <w:t>°</w:t>
            </w:r>
            <w:r>
              <w:rPr>
                <w:rFonts w:hint="default"/>
              </w:rPr>
              <w:t>04</w:t>
            </w:r>
            <w:r>
              <w:rPr>
                <w:rFonts w:hint="eastAsia"/>
              </w:rPr>
              <w:t>′</w:t>
            </w:r>
            <w:r>
              <w:rPr>
                <w:rFonts w:hint="default"/>
              </w:rPr>
              <w:t>27.71</w:t>
            </w:r>
            <w:r>
              <w:rPr>
                <w:rFonts w:hint="eastAsia"/>
              </w:rPr>
              <w:t>″</w:t>
            </w:r>
          </w:p>
          <w:p>
            <w:pPr>
              <w:pStyle w:val="29"/>
              <w:keepNext w:val="0"/>
              <w:keepLines w:val="0"/>
              <w:suppressLineNumbers w:val="0"/>
              <w:spacing w:before="0" w:beforeAutospacing="0" w:after="0" w:afterAutospacing="0"/>
              <w:ind w:left="0" w:right="0"/>
              <w:rPr>
                <w:rFonts w:hint="default"/>
              </w:rPr>
            </w:pPr>
            <w:r>
              <w:rPr>
                <w:rFonts w:hint="eastAsia"/>
              </w:rPr>
              <w:t>N：</w:t>
            </w:r>
            <w:r>
              <w:rPr>
                <w:rFonts w:hint="default"/>
              </w:rPr>
              <w:t>29</w:t>
            </w:r>
            <w:r>
              <w:rPr>
                <w:rFonts w:hint="eastAsia"/>
              </w:rPr>
              <w:t>°</w:t>
            </w:r>
            <w:r>
              <w:rPr>
                <w:rFonts w:hint="default"/>
              </w:rPr>
              <w:t>02</w:t>
            </w:r>
            <w:r>
              <w:rPr>
                <w:rFonts w:hint="eastAsia"/>
              </w:rPr>
              <w:t>′</w:t>
            </w:r>
            <w:r>
              <w:rPr>
                <w:rFonts w:hint="default"/>
              </w:rPr>
              <w:t>51.61</w:t>
            </w:r>
            <w:r>
              <w:rPr>
                <w:rFonts w:hint="eastAsia"/>
              </w:rPr>
              <w:t>″</w:t>
            </w:r>
          </w:p>
        </w:tc>
        <w:tc>
          <w:tcPr>
            <w:tcW w:w="984"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手动监测点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察隅县</w:t>
            </w:r>
          </w:p>
        </w:tc>
        <w:tc>
          <w:tcPr>
            <w:tcW w:w="5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1</w:t>
            </w:r>
          </w:p>
        </w:tc>
        <w:tc>
          <w:tcPr>
            <w:tcW w:w="116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察隅县县政府</w:t>
            </w:r>
          </w:p>
        </w:tc>
        <w:tc>
          <w:tcPr>
            <w:tcW w:w="1706" w:type="pct"/>
            <w:noWrap w:val="0"/>
            <w:vAlign w:val="top"/>
          </w:tcPr>
          <w:p>
            <w:pPr>
              <w:pStyle w:val="29"/>
              <w:keepNext w:val="0"/>
              <w:keepLines w:val="0"/>
              <w:suppressLineNumbers w:val="0"/>
              <w:spacing w:before="0" w:beforeAutospacing="0" w:after="0" w:afterAutospacing="0"/>
              <w:ind w:left="0" w:right="0"/>
              <w:rPr>
                <w:rFonts w:hint="default"/>
              </w:rPr>
            </w:pPr>
            <w:r>
              <w:rPr>
                <w:rFonts w:hint="default"/>
              </w:rPr>
              <w:t>E</w:t>
            </w:r>
            <w:r>
              <w:rPr>
                <w:rFonts w:hint="eastAsia"/>
              </w:rPr>
              <w:t>：9</w:t>
            </w:r>
            <w:r>
              <w:rPr>
                <w:rFonts w:hint="default"/>
              </w:rPr>
              <w:t>4</w:t>
            </w:r>
            <w:r>
              <w:rPr>
                <w:rFonts w:hint="eastAsia"/>
              </w:rPr>
              <w:t>°</w:t>
            </w:r>
            <w:r>
              <w:rPr>
                <w:rFonts w:hint="default"/>
              </w:rPr>
              <w:t>27</w:t>
            </w:r>
            <w:r>
              <w:rPr>
                <w:rFonts w:hint="eastAsia"/>
              </w:rPr>
              <w:t>′</w:t>
            </w:r>
            <w:r>
              <w:rPr>
                <w:rFonts w:hint="default"/>
              </w:rPr>
              <w:t>58</w:t>
            </w:r>
            <w:r>
              <w:rPr>
                <w:rFonts w:hint="eastAsia"/>
              </w:rPr>
              <w:t>″</w:t>
            </w:r>
          </w:p>
          <w:p>
            <w:pPr>
              <w:pStyle w:val="29"/>
              <w:keepNext w:val="0"/>
              <w:keepLines w:val="0"/>
              <w:suppressLineNumbers w:val="0"/>
              <w:spacing w:before="0" w:beforeAutospacing="0" w:after="0" w:afterAutospacing="0"/>
              <w:ind w:left="0" w:right="0"/>
              <w:rPr>
                <w:rFonts w:hint="default"/>
              </w:rPr>
            </w:pPr>
            <w:r>
              <w:rPr>
                <w:rFonts w:hint="eastAsia"/>
              </w:rPr>
              <w:t>N：</w:t>
            </w:r>
            <w:r>
              <w:rPr>
                <w:rFonts w:hint="default"/>
              </w:rPr>
              <w:t>28</w:t>
            </w:r>
            <w:r>
              <w:rPr>
                <w:rFonts w:hint="eastAsia"/>
              </w:rPr>
              <w:t>°</w:t>
            </w:r>
            <w:r>
              <w:rPr>
                <w:rFonts w:hint="default"/>
              </w:rPr>
              <w:t>39</w:t>
            </w:r>
            <w:r>
              <w:rPr>
                <w:rFonts w:hint="eastAsia"/>
              </w:rPr>
              <w:t>′</w:t>
            </w:r>
            <w:r>
              <w:rPr>
                <w:rFonts w:hint="default"/>
              </w:rPr>
              <w:t>54</w:t>
            </w:r>
            <w:r>
              <w:rPr>
                <w:rFonts w:hint="eastAsia"/>
              </w:rPr>
              <w:t>″</w:t>
            </w:r>
          </w:p>
        </w:tc>
        <w:tc>
          <w:tcPr>
            <w:tcW w:w="984"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手动监测点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工布江达县</w:t>
            </w:r>
          </w:p>
        </w:tc>
        <w:tc>
          <w:tcPr>
            <w:tcW w:w="58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p>
        </w:tc>
        <w:tc>
          <w:tcPr>
            <w:tcW w:w="116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工布江达县县政府</w:t>
            </w:r>
          </w:p>
        </w:tc>
        <w:tc>
          <w:tcPr>
            <w:tcW w:w="1706" w:type="pct"/>
            <w:noWrap w:val="0"/>
            <w:vAlign w:val="top"/>
          </w:tcPr>
          <w:p>
            <w:pPr>
              <w:pStyle w:val="29"/>
              <w:keepNext w:val="0"/>
              <w:keepLines w:val="0"/>
              <w:suppressLineNumbers w:val="0"/>
              <w:spacing w:before="0" w:beforeAutospacing="0" w:after="0" w:afterAutospacing="0"/>
              <w:ind w:left="0" w:right="0"/>
              <w:rPr>
                <w:rFonts w:hint="default"/>
              </w:rPr>
            </w:pPr>
            <w:r>
              <w:rPr>
                <w:rFonts w:hint="default"/>
              </w:rPr>
              <w:t>E</w:t>
            </w:r>
            <w:r>
              <w:rPr>
                <w:rFonts w:hint="eastAsia"/>
              </w:rPr>
              <w:t>：9</w:t>
            </w:r>
            <w:r>
              <w:rPr>
                <w:rFonts w:hint="default"/>
              </w:rPr>
              <w:t>3</w:t>
            </w:r>
            <w:r>
              <w:rPr>
                <w:rFonts w:hint="eastAsia"/>
              </w:rPr>
              <w:t>°</w:t>
            </w:r>
            <w:r>
              <w:rPr>
                <w:rFonts w:hint="default"/>
              </w:rPr>
              <w:t>15</w:t>
            </w:r>
            <w:r>
              <w:rPr>
                <w:rFonts w:hint="eastAsia"/>
              </w:rPr>
              <w:t>′</w:t>
            </w:r>
            <w:r>
              <w:rPr>
                <w:rFonts w:hint="default"/>
              </w:rPr>
              <w:t>16.71</w:t>
            </w:r>
            <w:r>
              <w:rPr>
                <w:rFonts w:hint="eastAsia"/>
              </w:rPr>
              <w:t>″</w:t>
            </w:r>
          </w:p>
          <w:p>
            <w:pPr>
              <w:pStyle w:val="29"/>
              <w:keepNext w:val="0"/>
              <w:keepLines w:val="0"/>
              <w:suppressLineNumbers w:val="0"/>
              <w:spacing w:before="0" w:beforeAutospacing="0" w:after="0" w:afterAutospacing="0"/>
              <w:ind w:left="0" w:right="0"/>
              <w:rPr>
                <w:rFonts w:hint="default"/>
              </w:rPr>
            </w:pPr>
            <w:r>
              <w:rPr>
                <w:rFonts w:hint="eastAsia"/>
              </w:rPr>
              <w:t>N：</w:t>
            </w:r>
            <w:r>
              <w:rPr>
                <w:rFonts w:hint="default"/>
              </w:rPr>
              <w:t>29</w:t>
            </w:r>
            <w:r>
              <w:rPr>
                <w:rFonts w:hint="eastAsia"/>
              </w:rPr>
              <w:t>°</w:t>
            </w:r>
            <w:r>
              <w:rPr>
                <w:rFonts w:hint="default"/>
              </w:rPr>
              <w:t>52</w:t>
            </w:r>
            <w:r>
              <w:rPr>
                <w:rFonts w:hint="eastAsia"/>
              </w:rPr>
              <w:t>′</w:t>
            </w:r>
            <w:r>
              <w:rPr>
                <w:rFonts w:hint="default"/>
              </w:rPr>
              <w:t>11.37</w:t>
            </w:r>
            <w:r>
              <w:rPr>
                <w:rFonts w:hint="eastAsia"/>
              </w:rPr>
              <w:t>″</w:t>
            </w:r>
          </w:p>
        </w:tc>
        <w:tc>
          <w:tcPr>
            <w:tcW w:w="984"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手动监测点</w:t>
            </w:r>
          </w:p>
        </w:tc>
      </w:tr>
    </w:tbl>
    <w:p>
      <w:pPr>
        <w:pStyle w:val="6"/>
        <w:ind w:firstLine="482"/>
        <w:rPr>
          <w:b/>
          <w:bCs/>
        </w:rPr>
      </w:pPr>
      <w:r>
        <w:rPr>
          <w:rFonts w:hint="eastAsia"/>
          <w:b/>
          <w:bCs/>
        </w:rPr>
        <w:t>2、监测因子及频次</w:t>
      </w:r>
    </w:p>
    <w:p>
      <w:pPr>
        <w:pStyle w:val="6"/>
        <w:ind w:firstLine="480"/>
      </w:pPr>
      <w:r>
        <w:rPr>
          <w:rFonts w:hint="eastAsia"/>
        </w:rPr>
        <w:t>（1）自动监测点位</w:t>
      </w:r>
    </w:p>
    <w:p>
      <w:pPr>
        <w:pStyle w:val="6"/>
        <w:ind w:firstLine="480"/>
      </w:pPr>
      <w:r>
        <w:rPr>
          <w:rFonts w:hint="eastAsia"/>
        </w:rPr>
        <w:t>自动监测点位有2个，位于中心城区（巴宜区），属于国控监测点，监测因子为：S</w:t>
      </w:r>
      <w:r>
        <w:t>O</w:t>
      </w:r>
      <w:r>
        <w:rPr>
          <w:vertAlign w:val="subscript"/>
        </w:rPr>
        <w:t>2</w:t>
      </w:r>
      <w:r>
        <w:rPr>
          <w:rFonts w:hint="eastAsia"/>
        </w:rPr>
        <w:t>、N</w:t>
      </w:r>
      <w:r>
        <w:t>O</w:t>
      </w:r>
      <w:r>
        <w:rPr>
          <w:vertAlign w:val="subscript"/>
        </w:rPr>
        <w:t>2</w:t>
      </w:r>
      <w:r>
        <w:rPr>
          <w:rFonts w:hint="eastAsia"/>
        </w:rPr>
        <w:t>、P</w:t>
      </w:r>
      <w:r>
        <w:t>M</w:t>
      </w:r>
      <w:r>
        <w:rPr>
          <w:vertAlign w:val="subscript"/>
        </w:rPr>
        <w:t>10</w:t>
      </w:r>
      <w:r>
        <w:rPr>
          <w:rFonts w:hint="eastAsia"/>
        </w:rPr>
        <w:t>、P</w:t>
      </w:r>
      <w:r>
        <w:t>M</w:t>
      </w:r>
      <w:r>
        <w:rPr>
          <w:vertAlign w:val="subscript"/>
        </w:rPr>
        <w:t>2.5</w:t>
      </w:r>
      <w:r>
        <w:rPr>
          <w:rFonts w:hint="eastAsia"/>
        </w:rPr>
        <w:t>、C</w:t>
      </w:r>
      <w:r>
        <w:t>O</w:t>
      </w:r>
      <w:r>
        <w:rPr>
          <w:rFonts w:hint="eastAsia"/>
        </w:rPr>
        <w:t>、O</w:t>
      </w:r>
      <w:r>
        <w:rPr>
          <w:vertAlign w:val="subscript"/>
        </w:rPr>
        <w:t>3</w:t>
      </w:r>
      <w:r>
        <w:rPr>
          <w:rFonts w:hint="eastAsia"/>
        </w:rPr>
        <w:t>，采用连续自动监测设备进行2</w:t>
      </w:r>
      <w:r>
        <w:t>4</w:t>
      </w:r>
      <w:r>
        <w:rPr>
          <w:rFonts w:hint="eastAsia"/>
        </w:rPr>
        <w:t>小时不间断监测。</w:t>
      </w:r>
    </w:p>
    <w:p>
      <w:pPr>
        <w:pStyle w:val="6"/>
        <w:ind w:firstLine="480"/>
      </w:pPr>
      <w:r>
        <w:rPr>
          <w:rFonts w:hint="eastAsia"/>
        </w:rPr>
        <w:t>（2）手动监测点位</w:t>
      </w:r>
    </w:p>
    <w:p>
      <w:pPr>
        <w:pStyle w:val="6"/>
        <w:ind w:firstLine="480"/>
      </w:pPr>
      <w:r>
        <w:rPr>
          <w:rFonts w:hint="eastAsia"/>
        </w:rPr>
        <w:t>除巴宜区其余各个县设置一处手动监测点位，监测因子为：S</w:t>
      </w:r>
      <w:r>
        <w:t>O</w:t>
      </w:r>
      <w:r>
        <w:rPr>
          <w:vertAlign w:val="subscript"/>
        </w:rPr>
        <w:t>2</w:t>
      </w:r>
      <w:r>
        <w:rPr>
          <w:rFonts w:hint="eastAsia"/>
        </w:rPr>
        <w:t>、N</w:t>
      </w:r>
      <w:r>
        <w:t>O</w:t>
      </w:r>
      <w:r>
        <w:rPr>
          <w:vertAlign w:val="subscript"/>
        </w:rPr>
        <w:t>2</w:t>
      </w:r>
      <w:r>
        <w:rPr>
          <w:rFonts w:hint="eastAsia"/>
        </w:rPr>
        <w:t>、P</w:t>
      </w:r>
      <w:r>
        <w:t>M</w:t>
      </w:r>
      <w:r>
        <w:rPr>
          <w:vertAlign w:val="subscript"/>
        </w:rPr>
        <w:t>10</w:t>
      </w:r>
      <w:r>
        <w:rPr>
          <w:rFonts w:hint="eastAsia"/>
        </w:rPr>
        <w:t>、</w:t>
      </w:r>
      <w:r>
        <w:t>TSP</w:t>
      </w:r>
      <w:r>
        <w:rPr>
          <w:rFonts w:hint="eastAsia"/>
        </w:rPr>
        <w:t>，每季度监测1次，每次连续采样监测5天。</w:t>
      </w:r>
    </w:p>
    <w:p>
      <w:pPr>
        <w:pStyle w:val="6"/>
        <w:ind w:firstLine="482"/>
        <w:rPr>
          <w:b/>
          <w:bCs/>
        </w:rPr>
      </w:pPr>
      <w:r>
        <w:rPr>
          <w:rFonts w:hint="eastAsia"/>
          <w:b/>
          <w:bCs/>
        </w:rPr>
        <w:t>3、评价标准及方法</w:t>
      </w:r>
    </w:p>
    <w:p>
      <w:pPr>
        <w:pStyle w:val="6"/>
        <w:ind w:firstLine="480"/>
      </w:pPr>
      <w:r>
        <w:rPr>
          <w:rFonts w:hint="eastAsia"/>
        </w:rPr>
        <w:t>各监测点位执行《环境空气质量标准》（G</w:t>
      </w:r>
      <w:r>
        <w:t>B3095-2012</w:t>
      </w:r>
      <w:r>
        <w:rPr>
          <w:rFonts w:hint="eastAsia"/>
        </w:rPr>
        <w:t>）二级标准。评价方法采用单项指标法、空气质量指数法。</w:t>
      </w:r>
    </w:p>
    <w:p>
      <w:pPr>
        <w:pStyle w:val="6"/>
        <w:ind w:firstLine="482"/>
        <w:rPr>
          <w:b/>
          <w:bCs/>
        </w:rPr>
      </w:pPr>
      <w:r>
        <w:rPr>
          <w:rFonts w:hint="eastAsia"/>
          <w:b/>
          <w:bCs/>
        </w:rPr>
        <w:t>4、监测结果及评价分析</w:t>
      </w:r>
    </w:p>
    <w:p>
      <w:pPr>
        <w:pStyle w:val="6"/>
        <w:ind w:firstLine="480"/>
      </w:pPr>
      <w:r>
        <w:rPr>
          <w:rFonts w:hint="eastAsia"/>
        </w:rPr>
        <w:t>（1）巴宜区</w:t>
      </w:r>
    </w:p>
    <w:p>
      <w:pPr>
        <w:pStyle w:val="6"/>
        <w:ind w:firstLine="480"/>
      </w:pPr>
      <w:r>
        <w:rPr>
          <w:rFonts w:hint="eastAsia"/>
        </w:rPr>
        <w:t>根据《林芝市环境质量报告书》（2</w:t>
      </w:r>
      <w:r>
        <w:t>016~2020</w:t>
      </w:r>
      <w:r>
        <w:rPr>
          <w:rFonts w:hint="eastAsia"/>
        </w:rPr>
        <w:t>年），2</w:t>
      </w:r>
      <w:r>
        <w:t>020</w:t>
      </w:r>
      <w:r>
        <w:rPr>
          <w:rFonts w:hint="eastAsia"/>
        </w:rPr>
        <w:t>年林芝市中心城区（巴宜区）环境空气质量监测结果如下：</w:t>
      </w:r>
    </w:p>
    <w:p>
      <w:pPr>
        <w:pStyle w:val="27"/>
      </w:pPr>
      <w:r>
        <w:t>表</w:t>
      </w:r>
      <w:r>
        <w:rPr>
          <w:rFonts w:hint="eastAsia"/>
        </w:rPr>
        <w:t>3.3</w:t>
      </w:r>
      <w:r>
        <w:t>-2  2020年</w:t>
      </w:r>
      <w:r>
        <w:rPr>
          <w:rFonts w:hint="eastAsia"/>
        </w:rPr>
        <w:t>巴宜区</w:t>
      </w:r>
      <w:r>
        <w:t>环境空气质量监测结果统计表</w:t>
      </w:r>
      <w:r>
        <w:rPr>
          <w:rFonts w:hint="eastAsia"/>
        </w:rPr>
        <w:t xml:space="preserve"> </w:t>
      </w:r>
      <w:r>
        <w:t xml:space="preserve">   </w:t>
      </w:r>
      <w:r>
        <w:rPr>
          <w:rFonts w:hint="eastAsia"/>
        </w:rPr>
        <w:t>单位：</w:t>
      </w:r>
      <w:r>
        <w:t>μg/m</w:t>
      </w:r>
      <w:r>
        <w:rPr>
          <w:vertAlign w:val="superscript"/>
        </w:rPr>
        <w:t>3</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2"/>
        <w:gridCol w:w="1059"/>
        <w:gridCol w:w="1060"/>
        <w:gridCol w:w="1060"/>
        <w:gridCol w:w="1060"/>
        <w:gridCol w:w="1392"/>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67" w:type="pct"/>
            <w:noWrap w:val="0"/>
            <w:vAlign w:val="center"/>
          </w:tcPr>
          <w:p>
            <w:pPr>
              <w:pStyle w:val="28"/>
              <w:keepNext w:val="0"/>
              <w:keepLines w:val="0"/>
              <w:suppressLineNumbers w:val="0"/>
              <w:spacing w:beforeAutospacing="0" w:afterAutospacing="0"/>
              <w:ind w:left="0" w:right="0"/>
              <w:rPr>
                <w:rFonts w:hint="default"/>
                <w:b/>
                <w:bCs/>
              </w:rPr>
            </w:pPr>
            <w:r>
              <w:rPr>
                <w:rFonts w:hint="eastAsia"/>
                <w:b/>
                <w:bCs/>
              </w:rPr>
              <w:t>项目</w:t>
            </w:r>
          </w:p>
        </w:tc>
        <w:tc>
          <w:tcPr>
            <w:tcW w:w="621"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SO</w:t>
            </w:r>
            <w:r>
              <w:rPr>
                <w:rFonts w:hint="default"/>
                <w:b/>
                <w:bCs/>
                <w:vertAlign w:val="subscript"/>
              </w:rPr>
              <w:t>2</w:t>
            </w:r>
          </w:p>
        </w:tc>
        <w:tc>
          <w:tcPr>
            <w:tcW w:w="621"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NO</w:t>
            </w:r>
            <w:r>
              <w:rPr>
                <w:rFonts w:hint="default"/>
                <w:b/>
                <w:bCs/>
                <w:vertAlign w:val="subscript"/>
              </w:rPr>
              <w:t>2</w:t>
            </w:r>
          </w:p>
        </w:tc>
        <w:tc>
          <w:tcPr>
            <w:tcW w:w="621"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PM</w:t>
            </w:r>
            <w:r>
              <w:rPr>
                <w:rFonts w:hint="default"/>
                <w:b/>
                <w:bCs/>
                <w:vertAlign w:val="subscript"/>
              </w:rPr>
              <w:t>2.5</w:t>
            </w:r>
          </w:p>
        </w:tc>
        <w:tc>
          <w:tcPr>
            <w:tcW w:w="621"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PM</w:t>
            </w:r>
            <w:r>
              <w:rPr>
                <w:rFonts w:hint="default"/>
                <w:b/>
                <w:bCs/>
                <w:vertAlign w:val="subscript"/>
              </w:rPr>
              <w:t>10</w:t>
            </w:r>
          </w:p>
        </w:tc>
        <w:tc>
          <w:tcPr>
            <w:tcW w:w="816"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CO</w:t>
            </w:r>
            <w:r>
              <w:rPr>
                <w:rFonts w:hint="eastAsia"/>
                <w:b/>
                <w:bCs/>
              </w:rPr>
              <w:t>（mg</w:t>
            </w:r>
            <w:r>
              <w:rPr>
                <w:rFonts w:hint="default"/>
                <w:b/>
                <w:bCs/>
              </w:rPr>
              <w:t>/</w:t>
            </w:r>
            <w:r>
              <w:rPr>
                <w:rFonts w:hint="eastAsia"/>
                <w:b/>
                <w:bCs/>
              </w:rPr>
              <w:t>m</w:t>
            </w:r>
            <w:r>
              <w:rPr>
                <w:rFonts w:hint="default"/>
                <w:b/>
                <w:bCs/>
                <w:vertAlign w:val="superscript"/>
              </w:rPr>
              <w:t>3</w:t>
            </w:r>
            <w:r>
              <w:rPr>
                <w:rFonts w:hint="eastAsia"/>
                <w:b/>
                <w:bCs/>
              </w:rPr>
              <w:t>）</w:t>
            </w:r>
          </w:p>
        </w:tc>
        <w:tc>
          <w:tcPr>
            <w:tcW w:w="427"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O</w:t>
            </w:r>
            <w:r>
              <w:rPr>
                <w:rFonts w:hint="default"/>
                <w:b/>
                <w:bCs/>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7" w:type="pct"/>
            <w:noWrap w:val="0"/>
            <w:vAlign w:val="center"/>
          </w:tcPr>
          <w:p>
            <w:pPr>
              <w:pStyle w:val="28"/>
              <w:keepNext w:val="0"/>
              <w:keepLines w:val="0"/>
              <w:suppressLineNumbers w:val="0"/>
              <w:spacing w:beforeAutospacing="0" w:afterAutospacing="0"/>
              <w:ind w:left="0" w:right="0"/>
              <w:rPr>
                <w:rFonts w:hint="default"/>
              </w:rPr>
            </w:pPr>
            <w:r>
              <w:rPr>
                <w:rFonts w:hint="eastAsia"/>
              </w:rPr>
              <w:t>最大日均值</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1</w:t>
            </w:r>
            <w:r>
              <w:rPr>
                <w:rFonts w:hint="default"/>
              </w:rPr>
              <w:t>0</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1</w:t>
            </w:r>
            <w:r>
              <w:rPr>
                <w:rFonts w:hint="default"/>
              </w:rPr>
              <w:t>2</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2</w:t>
            </w:r>
            <w:r>
              <w:rPr>
                <w:rFonts w:hint="default"/>
              </w:rPr>
              <w:t>2</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4</w:t>
            </w:r>
            <w:r>
              <w:rPr>
                <w:rFonts w:hint="default"/>
              </w:rPr>
              <w:t>2</w:t>
            </w:r>
          </w:p>
        </w:tc>
        <w:tc>
          <w:tcPr>
            <w:tcW w:w="816" w:type="pct"/>
            <w:noWrap w:val="0"/>
            <w:vAlign w:val="center"/>
          </w:tcPr>
          <w:p>
            <w:pPr>
              <w:pStyle w:val="28"/>
              <w:keepNext w:val="0"/>
              <w:keepLines w:val="0"/>
              <w:suppressLineNumbers w:val="0"/>
              <w:spacing w:beforeAutospacing="0" w:afterAutospacing="0"/>
              <w:ind w:left="0" w:right="0"/>
              <w:rPr>
                <w:rFonts w:hint="default"/>
              </w:rPr>
            </w:pPr>
            <w:r>
              <w:rPr>
                <w:rFonts w:hint="eastAsia"/>
              </w:rPr>
              <w:t>0</w:t>
            </w:r>
            <w:r>
              <w:rPr>
                <w:rFonts w:hint="default"/>
              </w:rPr>
              <w:t>.8</w:t>
            </w:r>
          </w:p>
        </w:tc>
        <w:tc>
          <w:tcPr>
            <w:tcW w:w="427" w:type="pct"/>
            <w:noWrap w:val="0"/>
            <w:vAlign w:val="center"/>
          </w:tcPr>
          <w:p>
            <w:pPr>
              <w:pStyle w:val="28"/>
              <w:keepNext w:val="0"/>
              <w:keepLines w:val="0"/>
              <w:suppressLineNumbers w:val="0"/>
              <w:spacing w:beforeAutospacing="0" w:afterAutospacing="0"/>
              <w:ind w:left="0" w:right="0"/>
              <w:rPr>
                <w:rFonts w:hint="default"/>
              </w:rPr>
            </w:pPr>
            <w:r>
              <w:rPr>
                <w:rFonts w:hint="eastAsia"/>
              </w:rPr>
              <w:t>1</w:t>
            </w:r>
            <w:r>
              <w:rPr>
                <w:rFonts w:hint="default"/>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67" w:type="pct"/>
            <w:noWrap w:val="0"/>
            <w:vAlign w:val="center"/>
          </w:tcPr>
          <w:p>
            <w:pPr>
              <w:pStyle w:val="28"/>
              <w:keepNext w:val="0"/>
              <w:keepLines w:val="0"/>
              <w:suppressLineNumbers w:val="0"/>
              <w:spacing w:beforeAutospacing="0" w:afterAutospacing="0"/>
              <w:ind w:left="0" w:right="0"/>
              <w:rPr>
                <w:rFonts w:hint="default"/>
              </w:rPr>
            </w:pPr>
            <w:r>
              <w:rPr>
                <w:rFonts w:hint="eastAsia"/>
              </w:rPr>
              <w:t>最小日均值</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5</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4</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2</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5</w:t>
            </w:r>
          </w:p>
        </w:tc>
        <w:tc>
          <w:tcPr>
            <w:tcW w:w="816" w:type="pct"/>
            <w:noWrap w:val="0"/>
            <w:vAlign w:val="center"/>
          </w:tcPr>
          <w:p>
            <w:pPr>
              <w:pStyle w:val="28"/>
              <w:keepNext w:val="0"/>
              <w:keepLines w:val="0"/>
              <w:suppressLineNumbers w:val="0"/>
              <w:spacing w:beforeAutospacing="0" w:afterAutospacing="0"/>
              <w:ind w:left="0" w:right="0"/>
              <w:rPr>
                <w:rFonts w:hint="default"/>
              </w:rPr>
            </w:pPr>
            <w:r>
              <w:rPr>
                <w:rFonts w:hint="eastAsia"/>
              </w:rPr>
              <w:t>0</w:t>
            </w:r>
            <w:r>
              <w:rPr>
                <w:rFonts w:hint="default"/>
              </w:rPr>
              <w:t>.2</w:t>
            </w:r>
          </w:p>
        </w:tc>
        <w:tc>
          <w:tcPr>
            <w:tcW w:w="427" w:type="pct"/>
            <w:noWrap w:val="0"/>
            <w:vAlign w:val="center"/>
          </w:tcPr>
          <w:p>
            <w:pPr>
              <w:pStyle w:val="28"/>
              <w:keepNext w:val="0"/>
              <w:keepLines w:val="0"/>
              <w:suppressLineNumbers w:val="0"/>
              <w:spacing w:beforeAutospacing="0" w:afterAutospacing="0"/>
              <w:ind w:left="0" w:right="0"/>
              <w:rPr>
                <w:rFonts w:hint="default"/>
              </w:rPr>
            </w:pPr>
            <w:r>
              <w:rPr>
                <w:rFonts w:hint="eastAsia"/>
              </w:rPr>
              <w:t>3</w:t>
            </w:r>
            <w:r>
              <w:rPr>
                <w:rFonts w:hint="defaul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67" w:type="pct"/>
            <w:noWrap w:val="0"/>
            <w:vAlign w:val="center"/>
          </w:tcPr>
          <w:p>
            <w:pPr>
              <w:pStyle w:val="28"/>
              <w:keepNext w:val="0"/>
              <w:keepLines w:val="0"/>
              <w:suppressLineNumbers w:val="0"/>
              <w:spacing w:beforeAutospacing="0" w:afterAutospacing="0"/>
              <w:ind w:left="0" w:right="0"/>
              <w:rPr>
                <w:rFonts w:hint="default"/>
              </w:rPr>
            </w:pPr>
            <w:r>
              <w:rPr>
                <w:rFonts w:hint="eastAsia"/>
              </w:rPr>
              <w:t>年均值</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8</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6</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9</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1</w:t>
            </w:r>
            <w:r>
              <w:rPr>
                <w:rFonts w:hint="default"/>
              </w:rPr>
              <w:t>8</w:t>
            </w:r>
          </w:p>
        </w:tc>
        <w:tc>
          <w:tcPr>
            <w:tcW w:w="816" w:type="pct"/>
            <w:noWrap w:val="0"/>
            <w:vAlign w:val="center"/>
          </w:tcPr>
          <w:p>
            <w:pPr>
              <w:pStyle w:val="28"/>
              <w:keepNext w:val="0"/>
              <w:keepLines w:val="0"/>
              <w:suppressLineNumbers w:val="0"/>
              <w:spacing w:beforeAutospacing="0" w:afterAutospacing="0"/>
              <w:ind w:left="0" w:right="0"/>
              <w:rPr>
                <w:rFonts w:hint="default"/>
              </w:rPr>
            </w:pPr>
            <w:r>
              <w:rPr>
                <w:rFonts w:hint="eastAsia"/>
              </w:rPr>
              <w:t>0</w:t>
            </w:r>
            <w:r>
              <w:rPr>
                <w:rFonts w:hint="default"/>
              </w:rPr>
              <w:t>.6</w:t>
            </w:r>
          </w:p>
        </w:tc>
        <w:tc>
          <w:tcPr>
            <w:tcW w:w="427" w:type="pct"/>
            <w:noWrap w:val="0"/>
            <w:vAlign w:val="center"/>
          </w:tcPr>
          <w:p>
            <w:pPr>
              <w:pStyle w:val="28"/>
              <w:keepNext w:val="0"/>
              <w:keepLines w:val="0"/>
              <w:suppressLineNumbers w:val="0"/>
              <w:spacing w:beforeAutospacing="0" w:afterAutospacing="0"/>
              <w:ind w:left="0" w:right="0"/>
              <w:rPr>
                <w:rFonts w:hint="default"/>
              </w:rPr>
            </w:pPr>
            <w:r>
              <w:rPr>
                <w:rFonts w:hint="eastAsia"/>
              </w:rPr>
              <w:t>8</w:t>
            </w: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67" w:type="pct"/>
            <w:noWrap w:val="0"/>
            <w:vAlign w:val="center"/>
          </w:tcPr>
          <w:p>
            <w:pPr>
              <w:pStyle w:val="28"/>
              <w:keepNext w:val="0"/>
              <w:keepLines w:val="0"/>
              <w:suppressLineNumbers w:val="0"/>
              <w:spacing w:beforeAutospacing="0" w:afterAutospacing="0"/>
              <w:ind w:left="0" w:right="0"/>
              <w:rPr>
                <w:rFonts w:hint="default"/>
              </w:rPr>
            </w:pPr>
            <w:r>
              <w:rPr>
                <w:rFonts w:hint="eastAsia"/>
              </w:rPr>
              <w:t>标准值（2</w:t>
            </w:r>
            <w:r>
              <w:rPr>
                <w:rFonts w:hint="default"/>
              </w:rPr>
              <w:t>4</w:t>
            </w:r>
            <w:r>
              <w:rPr>
                <w:rFonts w:hint="eastAsia"/>
              </w:rPr>
              <w:t>小时平均）</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1</w:t>
            </w:r>
            <w:r>
              <w:rPr>
                <w:rFonts w:hint="default"/>
              </w:rPr>
              <w:t>50</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8</w:t>
            </w:r>
            <w:r>
              <w:rPr>
                <w:rFonts w:hint="default"/>
              </w:rPr>
              <w:t>0</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7</w:t>
            </w:r>
            <w:r>
              <w:rPr>
                <w:rFonts w:hint="default"/>
              </w:rPr>
              <w:t>5</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1</w:t>
            </w:r>
            <w:r>
              <w:rPr>
                <w:rFonts w:hint="default"/>
              </w:rPr>
              <w:t>50</w:t>
            </w:r>
          </w:p>
        </w:tc>
        <w:tc>
          <w:tcPr>
            <w:tcW w:w="816" w:type="pct"/>
            <w:noWrap w:val="0"/>
            <w:vAlign w:val="center"/>
          </w:tcPr>
          <w:p>
            <w:pPr>
              <w:pStyle w:val="28"/>
              <w:keepNext w:val="0"/>
              <w:keepLines w:val="0"/>
              <w:suppressLineNumbers w:val="0"/>
              <w:spacing w:beforeAutospacing="0" w:afterAutospacing="0"/>
              <w:ind w:left="0" w:right="0"/>
              <w:rPr>
                <w:rFonts w:hint="default"/>
              </w:rPr>
            </w:pPr>
            <w:r>
              <w:rPr>
                <w:rFonts w:hint="eastAsia"/>
              </w:rPr>
              <w:t>4</w:t>
            </w:r>
          </w:p>
        </w:tc>
        <w:tc>
          <w:tcPr>
            <w:tcW w:w="427" w:type="pct"/>
            <w:noWrap w:val="0"/>
            <w:vAlign w:val="center"/>
          </w:tcPr>
          <w:p>
            <w:pPr>
              <w:pStyle w:val="28"/>
              <w:keepNext w:val="0"/>
              <w:keepLines w:val="0"/>
              <w:suppressLineNumbers w:val="0"/>
              <w:spacing w:beforeAutospacing="0" w:afterAutospacing="0"/>
              <w:ind w:left="0" w:right="0"/>
              <w:rPr>
                <w:rFonts w:hint="default"/>
              </w:rPr>
            </w:pPr>
            <w:r>
              <w:rPr>
                <w:rFonts w:hint="eastAsia"/>
              </w:rPr>
              <w:t>1</w:t>
            </w:r>
            <w:r>
              <w:rPr>
                <w:rFonts w:hint="default"/>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67" w:type="pct"/>
            <w:noWrap w:val="0"/>
            <w:vAlign w:val="center"/>
          </w:tcPr>
          <w:p>
            <w:pPr>
              <w:pStyle w:val="28"/>
              <w:keepNext w:val="0"/>
              <w:keepLines w:val="0"/>
              <w:suppressLineNumbers w:val="0"/>
              <w:spacing w:beforeAutospacing="0" w:afterAutospacing="0"/>
              <w:ind w:left="0" w:right="0"/>
              <w:rPr>
                <w:rFonts w:hint="default"/>
              </w:rPr>
            </w:pPr>
            <w:r>
              <w:rPr>
                <w:rFonts w:hint="eastAsia"/>
              </w:rPr>
              <w:t>标准值（年平均）</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6</w:t>
            </w:r>
            <w:r>
              <w:rPr>
                <w:rFonts w:hint="default"/>
              </w:rPr>
              <w:t>0</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4</w:t>
            </w:r>
            <w:r>
              <w:rPr>
                <w:rFonts w:hint="default"/>
              </w:rPr>
              <w:t>0</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3</w:t>
            </w:r>
            <w:r>
              <w:rPr>
                <w:rFonts w:hint="default"/>
              </w:rPr>
              <w:t>5</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7</w:t>
            </w:r>
            <w:r>
              <w:rPr>
                <w:rFonts w:hint="default"/>
              </w:rPr>
              <w:t>0</w:t>
            </w:r>
          </w:p>
        </w:tc>
        <w:tc>
          <w:tcPr>
            <w:tcW w:w="816" w:type="pct"/>
            <w:noWrap w:val="0"/>
            <w:vAlign w:val="center"/>
          </w:tcPr>
          <w:p>
            <w:pPr>
              <w:pStyle w:val="28"/>
              <w:keepNext w:val="0"/>
              <w:keepLines w:val="0"/>
              <w:suppressLineNumbers w:val="0"/>
              <w:spacing w:beforeAutospacing="0" w:afterAutospacing="0"/>
              <w:ind w:left="0" w:right="0"/>
              <w:rPr>
                <w:rFonts w:hint="default"/>
              </w:rPr>
            </w:pPr>
            <w:r>
              <w:rPr>
                <w:rFonts w:hint="eastAsia"/>
              </w:rPr>
              <w:t>/</w:t>
            </w:r>
          </w:p>
        </w:tc>
        <w:tc>
          <w:tcPr>
            <w:tcW w:w="427" w:type="pct"/>
            <w:noWrap w:val="0"/>
            <w:vAlign w:val="center"/>
          </w:tcPr>
          <w:p>
            <w:pPr>
              <w:pStyle w:val="28"/>
              <w:keepNext w:val="0"/>
              <w:keepLines w:val="0"/>
              <w:suppressLineNumbers w:val="0"/>
              <w:spacing w:beforeAutospacing="0" w:afterAutospacing="0"/>
              <w:ind w:left="0" w:right="0"/>
              <w:rPr>
                <w:rFonts w:hint="default"/>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67" w:type="pct"/>
            <w:noWrap w:val="0"/>
            <w:vAlign w:val="center"/>
          </w:tcPr>
          <w:p>
            <w:pPr>
              <w:pStyle w:val="28"/>
              <w:keepNext w:val="0"/>
              <w:keepLines w:val="0"/>
              <w:suppressLineNumbers w:val="0"/>
              <w:spacing w:beforeAutospacing="0" w:afterAutospacing="0"/>
              <w:ind w:left="0" w:right="0"/>
              <w:rPr>
                <w:rFonts w:hint="default"/>
              </w:rPr>
            </w:pPr>
            <w:r>
              <w:rPr>
                <w:rFonts w:hint="eastAsia"/>
              </w:rPr>
              <w:t>2</w:t>
            </w:r>
            <w:r>
              <w:rPr>
                <w:rFonts w:hint="default"/>
              </w:rPr>
              <w:t>4</w:t>
            </w:r>
            <w:r>
              <w:rPr>
                <w:rFonts w:hint="eastAsia"/>
              </w:rPr>
              <w:t>小时平均值达标情况</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达标</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达标</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达标</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达标</w:t>
            </w:r>
          </w:p>
        </w:tc>
        <w:tc>
          <w:tcPr>
            <w:tcW w:w="816" w:type="pct"/>
            <w:noWrap w:val="0"/>
            <w:vAlign w:val="center"/>
          </w:tcPr>
          <w:p>
            <w:pPr>
              <w:pStyle w:val="28"/>
              <w:keepNext w:val="0"/>
              <w:keepLines w:val="0"/>
              <w:suppressLineNumbers w:val="0"/>
              <w:spacing w:beforeAutospacing="0" w:afterAutospacing="0"/>
              <w:ind w:left="0" w:right="0"/>
              <w:rPr>
                <w:rFonts w:hint="default"/>
              </w:rPr>
            </w:pPr>
            <w:r>
              <w:rPr>
                <w:rFonts w:hint="eastAsia"/>
              </w:rPr>
              <w:t>达标</w:t>
            </w:r>
          </w:p>
        </w:tc>
        <w:tc>
          <w:tcPr>
            <w:tcW w:w="427" w:type="pct"/>
            <w:noWrap w:val="0"/>
            <w:vAlign w:val="center"/>
          </w:tcPr>
          <w:p>
            <w:pPr>
              <w:pStyle w:val="28"/>
              <w:keepNext w:val="0"/>
              <w:keepLines w:val="0"/>
              <w:suppressLineNumbers w:val="0"/>
              <w:spacing w:beforeAutospacing="0" w:afterAutospacing="0"/>
              <w:ind w:left="0" w:right="0"/>
              <w:rPr>
                <w:rFonts w:hint="default"/>
              </w:rP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67" w:type="pct"/>
            <w:noWrap w:val="0"/>
            <w:vAlign w:val="center"/>
          </w:tcPr>
          <w:p>
            <w:pPr>
              <w:pStyle w:val="28"/>
              <w:keepNext w:val="0"/>
              <w:keepLines w:val="0"/>
              <w:suppressLineNumbers w:val="0"/>
              <w:spacing w:beforeAutospacing="0" w:afterAutospacing="0"/>
              <w:ind w:left="0" w:right="0"/>
              <w:rPr>
                <w:rFonts w:hint="default"/>
              </w:rPr>
            </w:pPr>
            <w:r>
              <w:rPr>
                <w:rFonts w:hint="eastAsia"/>
              </w:rPr>
              <w:t>年均值达标情况</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达标</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达标</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达标</w:t>
            </w:r>
          </w:p>
        </w:tc>
        <w:tc>
          <w:tcPr>
            <w:tcW w:w="621" w:type="pct"/>
            <w:noWrap w:val="0"/>
            <w:vAlign w:val="center"/>
          </w:tcPr>
          <w:p>
            <w:pPr>
              <w:pStyle w:val="28"/>
              <w:keepNext w:val="0"/>
              <w:keepLines w:val="0"/>
              <w:suppressLineNumbers w:val="0"/>
              <w:spacing w:beforeAutospacing="0" w:afterAutospacing="0"/>
              <w:ind w:left="0" w:right="0"/>
              <w:rPr>
                <w:rFonts w:hint="default"/>
              </w:rPr>
            </w:pPr>
            <w:r>
              <w:rPr>
                <w:rFonts w:hint="eastAsia"/>
              </w:rPr>
              <w:t>达标</w:t>
            </w:r>
          </w:p>
        </w:tc>
        <w:tc>
          <w:tcPr>
            <w:tcW w:w="816" w:type="pct"/>
            <w:noWrap w:val="0"/>
            <w:vAlign w:val="center"/>
          </w:tcPr>
          <w:p>
            <w:pPr>
              <w:pStyle w:val="28"/>
              <w:keepNext w:val="0"/>
              <w:keepLines w:val="0"/>
              <w:suppressLineNumbers w:val="0"/>
              <w:spacing w:beforeAutospacing="0" w:afterAutospacing="0"/>
              <w:ind w:left="0" w:right="0"/>
              <w:rPr>
                <w:rFonts w:hint="default"/>
              </w:rPr>
            </w:pPr>
            <w:r>
              <w:rPr>
                <w:rFonts w:hint="eastAsia"/>
              </w:rPr>
              <w:t>/</w:t>
            </w:r>
          </w:p>
        </w:tc>
        <w:tc>
          <w:tcPr>
            <w:tcW w:w="427" w:type="pct"/>
            <w:noWrap w:val="0"/>
            <w:vAlign w:val="center"/>
          </w:tcPr>
          <w:p>
            <w:pPr>
              <w:pStyle w:val="28"/>
              <w:keepNext w:val="0"/>
              <w:keepLines w:val="0"/>
              <w:suppressLineNumbers w:val="0"/>
              <w:spacing w:beforeAutospacing="0" w:afterAutospacing="0"/>
              <w:ind w:left="0" w:right="0"/>
              <w:rPr>
                <w:rFonts w:hint="default"/>
              </w:rPr>
            </w:pPr>
            <w:r>
              <w:rPr>
                <w:rFonts w:hint="eastAsia"/>
              </w:rPr>
              <w:t>/</w:t>
            </w:r>
          </w:p>
        </w:tc>
      </w:tr>
    </w:tbl>
    <w:p>
      <w:pPr>
        <w:pStyle w:val="34"/>
        <w:jc w:val="both"/>
      </w:pPr>
      <w:r>
        <w:rPr>
          <w:rFonts w:hint="eastAsia"/>
        </w:rPr>
        <w:t>注：臭氧监测结果为日最大8小时监测值统计。</w:t>
      </w:r>
    </w:p>
    <w:p>
      <w:pPr>
        <w:pStyle w:val="6"/>
        <w:ind w:firstLine="480"/>
      </w:pPr>
      <w:r>
        <w:rPr>
          <w:rFonts w:hint="eastAsia"/>
        </w:rPr>
        <w:t>2</w:t>
      </w:r>
      <w:r>
        <w:t>020</w:t>
      </w:r>
      <w:r>
        <w:rPr>
          <w:rFonts w:hint="eastAsia"/>
        </w:rPr>
        <w:t>年林芝市巴宜区环境空气质量的各项污染物的空气质量指数如下表：</w:t>
      </w:r>
    </w:p>
    <w:p>
      <w:pPr>
        <w:pStyle w:val="27"/>
      </w:pPr>
      <w:r>
        <w:t>表</w:t>
      </w:r>
      <w:r>
        <w:rPr>
          <w:rFonts w:hint="eastAsia"/>
        </w:rPr>
        <w:t>3.3</w:t>
      </w:r>
      <w:r>
        <w:t>-3  2020年</w:t>
      </w:r>
      <w:r>
        <w:rPr>
          <w:rFonts w:hint="eastAsia"/>
        </w:rPr>
        <w:t>巴宜区</w:t>
      </w:r>
      <w:r>
        <w:t>环境空气质量</w:t>
      </w:r>
      <w:r>
        <w:rPr>
          <w:rFonts w:hint="eastAsia"/>
        </w:rPr>
        <w:t>评价</w:t>
      </w:r>
      <w:r>
        <w:t>统计表</w:t>
      </w:r>
      <w:r>
        <w:rPr>
          <w:rFonts w:hint="eastAsia"/>
        </w:rPr>
        <w:t xml:space="preserve"> </w:t>
      </w:r>
      <w:r>
        <w:t xml:space="preserve">   </w:t>
      </w:r>
      <w:r>
        <w:rPr>
          <w:rFonts w:hint="eastAsia"/>
        </w:rPr>
        <w:t>单位：</w:t>
      </w:r>
      <w:r>
        <w:t>μg/m</w:t>
      </w:r>
      <w:r>
        <w:rPr>
          <w:vertAlign w:val="superscript"/>
        </w:rPr>
        <w:t>3</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138"/>
        <w:gridCol w:w="1132"/>
        <w:gridCol w:w="1133"/>
        <w:gridCol w:w="1016"/>
        <w:gridCol w:w="1416"/>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0" w:type="pct"/>
            <w:noWrap w:val="0"/>
            <w:vAlign w:val="center"/>
          </w:tcPr>
          <w:p>
            <w:pPr>
              <w:pStyle w:val="28"/>
              <w:keepNext w:val="0"/>
              <w:keepLines w:val="0"/>
              <w:suppressLineNumbers w:val="0"/>
              <w:spacing w:beforeAutospacing="0" w:afterAutospacing="0"/>
              <w:ind w:left="0" w:right="0"/>
              <w:rPr>
                <w:rFonts w:hint="default"/>
              </w:rPr>
            </w:pPr>
            <w:r>
              <w:rPr>
                <w:rFonts w:hint="eastAsia"/>
              </w:rPr>
              <w:t>项目</w:t>
            </w:r>
          </w:p>
        </w:tc>
        <w:tc>
          <w:tcPr>
            <w:tcW w:w="667"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SO</w:t>
            </w:r>
            <w:r>
              <w:rPr>
                <w:rFonts w:hint="default"/>
                <w:vertAlign w:val="subscript"/>
              </w:rPr>
              <w:t>2</w:t>
            </w:r>
          </w:p>
        </w:tc>
        <w:tc>
          <w:tcPr>
            <w:tcW w:w="664"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NO</w:t>
            </w:r>
            <w:r>
              <w:rPr>
                <w:rFonts w:hint="default"/>
                <w:vertAlign w:val="subscript"/>
              </w:rPr>
              <w:t>2</w:t>
            </w:r>
          </w:p>
        </w:tc>
        <w:tc>
          <w:tcPr>
            <w:tcW w:w="664"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PM</w:t>
            </w:r>
            <w:r>
              <w:rPr>
                <w:rFonts w:hint="default"/>
                <w:vertAlign w:val="subscript"/>
              </w:rPr>
              <w:t>2.5</w:t>
            </w:r>
          </w:p>
        </w:tc>
        <w:tc>
          <w:tcPr>
            <w:tcW w:w="596"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PM</w:t>
            </w:r>
            <w:r>
              <w:rPr>
                <w:rFonts w:hint="default"/>
                <w:vertAlign w:val="subscript"/>
              </w:rPr>
              <w:t>10</w:t>
            </w:r>
          </w:p>
        </w:tc>
        <w:tc>
          <w:tcPr>
            <w:tcW w:w="830"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CO</w:t>
            </w:r>
            <w:r>
              <w:rPr>
                <w:rFonts w:hint="eastAsia"/>
              </w:rPr>
              <w:t>（mg</w:t>
            </w:r>
            <w:r>
              <w:rPr>
                <w:rFonts w:hint="default"/>
              </w:rPr>
              <w:t>/</w:t>
            </w:r>
            <w:r>
              <w:rPr>
                <w:rFonts w:hint="eastAsia"/>
              </w:rPr>
              <w:t>m</w:t>
            </w:r>
            <w:r>
              <w:rPr>
                <w:rFonts w:hint="default"/>
                <w:vertAlign w:val="superscript"/>
              </w:rPr>
              <w:t>3</w:t>
            </w:r>
            <w:r>
              <w:rPr>
                <w:rFonts w:hint="eastAsia"/>
              </w:rPr>
              <w:t>）</w:t>
            </w:r>
          </w:p>
        </w:tc>
        <w:tc>
          <w:tcPr>
            <w:tcW w:w="765"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O</w:t>
            </w:r>
            <w:r>
              <w:rPr>
                <w:rFonts w:hint="default"/>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0" w:type="pct"/>
            <w:noWrap w:val="0"/>
            <w:vAlign w:val="center"/>
          </w:tcPr>
          <w:p>
            <w:pPr>
              <w:pStyle w:val="28"/>
              <w:keepNext w:val="0"/>
              <w:keepLines w:val="0"/>
              <w:suppressLineNumbers w:val="0"/>
              <w:spacing w:beforeAutospacing="0" w:afterAutospacing="0"/>
              <w:ind w:left="0" w:right="0"/>
              <w:rPr>
                <w:rFonts w:hint="default"/>
              </w:rPr>
            </w:pPr>
            <w:r>
              <w:rPr>
                <w:rFonts w:hint="eastAsia"/>
              </w:rPr>
              <w:t>年均值</w:t>
            </w:r>
          </w:p>
        </w:tc>
        <w:tc>
          <w:tcPr>
            <w:tcW w:w="667" w:type="pct"/>
            <w:noWrap w:val="0"/>
            <w:vAlign w:val="center"/>
          </w:tcPr>
          <w:p>
            <w:pPr>
              <w:pStyle w:val="28"/>
              <w:keepNext w:val="0"/>
              <w:keepLines w:val="0"/>
              <w:suppressLineNumbers w:val="0"/>
              <w:spacing w:beforeAutospacing="0" w:afterAutospacing="0"/>
              <w:ind w:left="0" w:right="0"/>
              <w:rPr>
                <w:rFonts w:hint="default"/>
              </w:rPr>
            </w:pPr>
            <w:r>
              <w:rPr>
                <w:rFonts w:hint="eastAsia"/>
              </w:rPr>
              <w:t>8</w:t>
            </w:r>
          </w:p>
        </w:tc>
        <w:tc>
          <w:tcPr>
            <w:tcW w:w="664" w:type="pct"/>
            <w:noWrap w:val="0"/>
            <w:vAlign w:val="center"/>
          </w:tcPr>
          <w:p>
            <w:pPr>
              <w:pStyle w:val="28"/>
              <w:keepNext w:val="0"/>
              <w:keepLines w:val="0"/>
              <w:suppressLineNumbers w:val="0"/>
              <w:spacing w:beforeAutospacing="0" w:afterAutospacing="0"/>
              <w:ind w:left="0" w:right="0"/>
              <w:rPr>
                <w:rFonts w:hint="default"/>
              </w:rPr>
            </w:pPr>
            <w:r>
              <w:rPr>
                <w:rFonts w:hint="eastAsia"/>
              </w:rPr>
              <w:t>6</w:t>
            </w:r>
          </w:p>
        </w:tc>
        <w:tc>
          <w:tcPr>
            <w:tcW w:w="664" w:type="pct"/>
            <w:noWrap w:val="0"/>
            <w:vAlign w:val="center"/>
          </w:tcPr>
          <w:p>
            <w:pPr>
              <w:pStyle w:val="28"/>
              <w:keepNext w:val="0"/>
              <w:keepLines w:val="0"/>
              <w:suppressLineNumbers w:val="0"/>
              <w:spacing w:beforeAutospacing="0" w:afterAutospacing="0"/>
              <w:ind w:left="0" w:right="0"/>
              <w:rPr>
                <w:rFonts w:hint="default"/>
              </w:rPr>
            </w:pPr>
            <w:r>
              <w:rPr>
                <w:rFonts w:hint="eastAsia"/>
              </w:rPr>
              <w:t>9</w:t>
            </w:r>
          </w:p>
        </w:tc>
        <w:tc>
          <w:tcPr>
            <w:tcW w:w="596" w:type="pct"/>
            <w:noWrap w:val="0"/>
            <w:vAlign w:val="center"/>
          </w:tcPr>
          <w:p>
            <w:pPr>
              <w:pStyle w:val="28"/>
              <w:keepNext w:val="0"/>
              <w:keepLines w:val="0"/>
              <w:suppressLineNumbers w:val="0"/>
              <w:spacing w:beforeAutospacing="0" w:afterAutospacing="0"/>
              <w:ind w:left="0" w:right="0"/>
              <w:rPr>
                <w:rFonts w:hint="default"/>
              </w:rPr>
            </w:pPr>
            <w:r>
              <w:rPr>
                <w:rFonts w:hint="eastAsia"/>
              </w:rPr>
              <w:t>1</w:t>
            </w:r>
            <w:r>
              <w:rPr>
                <w:rFonts w:hint="default"/>
              </w:rPr>
              <w:t>8</w:t>
            </w:r>
          </w:p>
        </w:tc>
        <w:tc>
          <w:tcPr>
            <w:tcW w:w="830" w:type="pct"/>
            <w:noWrap w:val="0"/>
            <w:vAlign w:val="center"/>
          </w:tcPr>
          <w:p>
            <w:pPr>
              <w:pStyle w:val="28"/>
              <w:keepNext w:val="0"/>
              <w:keepLines w:val="0"/>
              <w:suppressLineNumbers w:val="0"/>
              <w:spacing w:beforeAutospacing="0" w:afterAutospacing="0"/>
              <w:ind w:left="0" w:right="0"/>
              <w:rPr>
                <w:rFonts w:hint="default"/>
              </w:rPr>
            </w:pPr>
            <w:r>
              <w:rPr>
                <w:rFonts w:hint="eastAsia"/>
              </w:rPr>
              <w:t>0</w:t>
            </w:r>
            <w:r>
              <w:rPr>
                <w:rFonts w:hint="default"/>
              </w:rPr>
              <w:t>.6</w:t>
            </w:r>
          </w:p>
        </w:tc>
        <w:tc>
          <w:tcPr>
            <w:tcW w:w="765" w:type="pct"/>
            <w:noWrap w:val="0"/>
            <w:vAlign w:val="center"/>
          </w:tcPr>
          <w:p>
            <w:pPr>
              <w:pStyle w:val="28"/>
              <w:keepNext w:val="0"/>
              <w:keepLines w:val="0"/>
              <w:suppressLineNumbers w:val="0"/>
              <w:spacing w:beforeAutospacing="0" w:afterAutospacing="0"/>
              <w:ind w:left="0" w:right="0"/>
              <w:rPr>
                <w:rFonts w:hint="default"/>
              </w:rPr>
            </w:pPr>
            <w:r>
              <w:rPr>
                <w:rFonts w:hint="eastAsia"/>
              </w:rPr>
              <w:t>8</w:t>
            </w: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0" w:type="pct"/>
            <w:noWrap w:val="0"/>
            <w:vAlign w:val="center"/>
          </w:tcPr>
          <w:p>
            <w:pPr>
              <w:pStyle w:val="28"/>
              <w:keepNext w:val="0"/>
              <w:keepLines w:val="0"/>
              <w:suppressLineNumbers w:val="0"/>
              <w:spacing w:beforeAutospacing="0" w:afterAutospacing="0"/>
              <w:ind w:left="0" w:right="0"/>
              <w:rPr>
                <w:rFonts w:hint="default"/>
              </w:rPr>
            </w:pPr>
            <w:r>
              <w:rPr>
                <w:rFonts w:hint="eastAsia"/>
              </w:rPr>
              <w:t>评价标准</w:t>
            </w:r>
          </w:p>
        </w:tc>
        <w:tc>
          <w:tcPr>
            <w:tcW w:w="667" w:type="pct"/>
            <w:noWrap w:val="0"/>
            <w:vAlign w:val="center"/>
          </w:tcPr>
          <w:p>
            <w:pPr>
              <w:pStyle w:val="28"/>
              <w:keepNext w:val="0"/>
              <w:keepLines w:val="0"/>
              <w:suppressLineNumbers w:val="0"/>
              <w:spacing w:beforeAutospacing="0" w:afterAutospacing="0"/>
              <w:ind w:left="0" w:right="0"/>
              <w:rPr>
                <w:rFonts w:hint="default"/>
              </w:rPr>
            </w:pPr>
            <w:r>
              <w:rPr>
                <w:rFonts w:hint="eastAsia"/>
              </w:rPr>
              <w:t>6</w:t>
            </w:r>
            <w:r>
              <w:rPr>
                <w:rFonts w:hint="default"/>
              </w:rPr>
              <w:t>0</w:t>
            </w:r>
          </w:p>
        </w:tc>
        <w:tc>
          <w:tcPr>
            <w:tcW w:w="664" w:type="pct"/>
            <w:noWrap w:val="0"/>
            <w:vAlign w:val="center"/>
          </w:tcPr>
          <w:p>
            <w:pPr>
              <w:pStyle w:val="28"/>
              <w:keepNext w:val="0"/>
              <w:keepLines w:val="0"/>
              <w:suppressLineNumbers w:val="0"/>
              <w:spacing w:beforeAutospacing="0" w:afterAutospacing="0"/>
              <w:ind w:left="0" w:right="0"/>
              <w:rPr>
                <w:rFonts w:hint="default"/>
              </w:rPr>
            </w:pPr>
            <w:r>
              <w:rPr>
                <w:rFonts w:hint="eastAsia"/>
              </w:rPr>
              <w:t>4</w:t>
            </w:r>
            <w:r>
              <w:rPr>
                <w:rFonts w:hint="default"/>
              </w:rPr>
              <w:t>0</w:t>
            </w:r>
          </w:p>
        </w:tc>
        <w:tc>
          <w:tcPr>
            <w:tcW w:w="664" w:type="pct"/>
            <w:noWrap w:val="0"/>
            <w:vAlign w:val="center"/>
          </w:tcPr>
          <w:p>
            <w:pPr>
              <w:pStyle w:val="28"/>
              <w:keepNext w:val="0"/>
              <w:keepLines w:val="0"/>
              <w:suppressLineNumbers w:val="0"/>
              <w:spacing w:beforeAutospacing="0" w:afterAutospacing="0"/>
              <w:ind w:left="0" w:right="0"/>
              <w:rPr>
                <w:rFonts w:hint="default"/>
              </w:rPr>
            </w:pPr>
            <w:r>
              <w:rPr>
                <w:rFonts w:hint="eastAsia"/>
              </w:rPr>
              <w:t>3</w:t>
            </w:r>
            <w:r>
              <w:rPr>
                <w:rFonts w:hint="default"/>
              </w:rPr>
              <w:t>5</w:t>
            </w:r>
          </w:p>
        </w:tc>
        <w:tc>
          <w:tcPr>
            <w:tcW w:w="596" w:type="pct"/>
            <w:noWrap w:val="0"/>
            <w:vAlign w:val="center"/>
          </w:tcPr>
          <w:p>
            <w:pPr>
              <w:pStyle w:val="28"/>
              <w:keepNext w:val="0"/>
              <w:keepLines w:val="0"/>
              <w:suppressLineNumbers w:val="0"/>
              <w:spacing w:beforeAutospacing="0" w:afterAutospacing="0"/>
              <w:ind w:left="0" w:right="0"/>
              <w:rPr>
                <w:rFonts w:hint="default"/>
              </w:rPr>
            </w:pPr>
            <w:r>
              <w:rPr>
                <w:rFonts w:hint="eastAsia"/>
              </w:rPr>
              <w:t>7</w:t>
            </w:r>
            <w:r>
              <w:rPr>
                <w:rFonts w:hint="default"/>
              </w:rPr>
              <w:t>0</w:t>
            </w:r>
          </w:p>
        </w:tc>
        <w:tc>
          <w:tcPr>
            <w:tcW w:w="830" w:type="pct"/>
            <w:noWrap w:val="0"/>
            <w:vAlign w:val="center"/>
          </w:tcPr>
          <w:p>
            <w:pPr>
              <w:pStyle w:val="28"/>
              <w:keepNext w:val="0"/>
              <w:keepLines w:val="0"/>
              <w:suppressLineNumbers w:val="0"/>
              <w:spacing w:beforeAutospacing="0" w:afterAutospacing="0"/>
              <w:ind w:left="0" w:right="0"/>
              <w:rPr>
                <w:rFonts w:hint="default"/>
              </w:rPr>
            </w:pPr>
            <w:r>
              <w:rPr>
                <w:rFonts w:hint="eastAsia"/>
              </w:rPr>
              <w:t>/</w:t>
            </w:r>
          </w:p>
        </w:tc>
        <w:tc>
          <w:tcPr>
            <w:tcW w:w="765" w:type="pct"/>
            <w:noWrap w:val="0"/>
            <w:vAlign w:val="center"/>
          </w:tcPr>
          <w:p>
            <w:pPr>
              <w:pStyle w:val="28"/>
              <w:keepNext w:val="0"/>
              <w:keepLines w:val="0"/>
              <w:suppressLineNumbers w:val="0"/>
              <w:spacing w:beforeAutospacing="0" w:afterAutospacing="0"/>
              <w:ind w:left="0" w:right="0"/>
              <w:rPr>
                <w:rFonts w:hint="default"/>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0" w:type="pct"/>
            <w:noWrap w:val="0"/>
            <w:vAlign w:val="center"/>
          </w:tcPr>
          <w:p>
            <w:pPr>
              <w:pStyle w:val="28"/>
              <w:keepNext w:val="0"/>
              <w:keepLines w:val="0"/>
              <w:suppressLineNumbers w:val="0"/>
              <w:spacing w:beforeAutospacing="0" w:afterAutospacing="0"/>
              <w:ind w:left="0" w:right="0"/>
              <w:rPr>
                <w:rFonts w:hint="default"/>
              </w:rPr>
            </w:pPr>
            <w:r>
              <w:rPr>
                <w:rFonts w:hint="eastAsia"/>
              </w:rPr>
              <w:t>空气质量指数（Ii）</w:t>
            </w:r>
          </w:p>
        </w:tc>
        <w:tc>
          <w:tcPr>
            <w:tcW w:w="667" w:type="pct"/>
            <w:noWrap w:val="0"/>
            <w:vAlign w:val="center"/>
          </w:tcPr>
          <w:p>
            <w:pPr>
              <w:pStyle w:val="28"/>
              <w:keepNext w:val="0"/>
              <w:keepLines w:val="0"/>
              <w:suppressLineNumbers w:val="0"/>
              <w:spacing w:beforeAutospacing="0" w:afterAutospacing="0"/>
              <w:ind w:left="0" w:right="0"/>
              <w:rPr>
                <w:rFonts w:hint="default"/>
              </w:rPr>
            </w:pPr>
            <w:r>
              <w:rPr>
                <w:rFonts w:hint="default"/>
              </w:rPr>
              <w:t>0.13</w:t>
            </w:r>
          </w:p>
        </w:tc>
        <w:tc>
          <w:tcPr>
            <w:tcW w:w="664" w:type="pct"/>
            <w:noWrap w:val="0"/>
            <w:vAlign w:val="center"/>
          </w:tcPr>
          <w:p>
            <w:pPr>
              <w:pStyle w:val="28"/>
              <w:keepNext w:val="0"/>
              <w:keepLines w:val="0"/>
              <w:suppressLineNumbers w:val="0"/>
              <w:spacing w:beforeAutospacing="0" w:afterAutospacing="0"/>
              <w:ind w:left="0" w:right="0"/>
              <w:rPr>
                <w:rFonts w:hint="default"/>
              </w:rPr>
            </w:pPr>
            <w:r>
              <w:rPr>
                <w:rFonts w:hint="eastAsia"/>
              </w:rPr>
              <w:t>0</w:t>
            </w:r>
            <w:r>
              <w:rPr>
                <w:rFonts w:hint="default"/>
              </w:rPr>
              <w:t>.15</w:t>
            </w:r>
          </w:p>
        </w:tc>
        <w:tc>
          <w:tcPr>
            <w:tcW w:w="664" w:type="pct"/>
            <w:noWrap w:val="0"/>
            <w:vAlign w:val="center"/>
          </w:tcPr>
          <w:p>
            <w:pPr>
              <w:pStyle w:val="28"/>
              <w:keepNext w:val="0"/>
              <w:keepLines w:val="0"/>
              <w:suppressLineNumbers w:val="0"/>
              <w:spacing w:beforeAutospacing="0" w:afterAutospacing="0"/>
              <w:ind w:left="0" w:right="0"/>
              <w:rPr>
                <w:rFonts w:hint="default"/>
              </w:rPr>
            </w:pPr>
            <w:r>
              <w:rPr>
                <w:rFonts w:hint="eastAsia"/>
              </w:rPr>
              <w:t>0</w:t>
            </w:r>
            <w:r>
              <w:rPr>
                <w:rFonts w:hint="default"/>
              </w:rPr>
              <w:t>.26</w:t>
            </w:r>
          </w:p>
        </w:tc>
        <w:tc>
          <w:tcPr>
            <w:tcW w:w="596" w:type="pct"/>
            <w:noWrap w:val="0"/>
            <w:vAlign w:val="center"/>
          </w:tcPr>
          <w:p>
            <w:pPr>
              <w:pStyle w:val="28"/>
              <w:keepNext w:val="0"/>
              <w:keepLines w:val="0"/>
              <w:suppressLineNumbers w:val="0"/>
              <w:spacing w:beforeAutospacing="0" w:afterAutospacing="0"/>
              <w:ind w:left="0" w:right="0"/>
              <w:rPr>
                <w:rFonts w:hint="default"/>
              </w:rPr>
            </w:pPr>
            <w:r>
              <w:rPr>
                <w:rFonts w:hint="eastAsia"/>
              </w:rPr>
              <w:t>0</w:t>
            </w:r>
            <w:r>
              <w:rPr>
                <w:rFonts w:hint="default"/>
              </w:rPr>
              <w:t>.26</w:t>
            </w:r>
          </w:p>
        </w:tc>
        <w:tc>
          <w:tcPr>
            <w:tcW w:w="830" w:type="pct"/>
            <w:noWrap w:val="0"/>
            <w:vAlign w:val="center"/>
          </w:tcPr>
          <w:p>
            <w:pPr>
              <w:pStyle w:val="28"/>
              <w:keepNext w:val="0"/>
              <w:keepLines w:val="0"/>
              <w:suppressLineNumbers w:val="0"/>
              <w:spacing w:beforeAutospacing="0" w:afterAutospacing="0"/>
              <w:ind w:left="0" w:right="0"/>
              <w:rPr>
                <w:rFonts w:hint="default"/>
              </w:rPr>
            </w:pPr>
            <w:r>
              <w:rPr>
                <w:rFonts w:hint="eastAsia"/>
              </w:rPr>
              <w:t>/</w:t>
            </w:r>
          </w:p>
        </w:tc>
        <w:tc>
          <w:tcPr>
            <w:tcW w:w="765" w:type="pct"/>
            <w:noWrap w:val="0"/>
            <w:vAlign w:val="center"/>
          </w:tcPr>
          <w:p>
            <w:pPr>
              <w:pStyle w:val="28"/>
              <w:keepNext w:val="0"/>
              <w:keepLines w:val="0"/>
              <w:suppressLineNumbers w:val="0"/>
              <w:spacing w:beforeAutospacing="0" w:afterAutospacing="0"/>
              <w:ind w:left="0" w:right="0"/>
              <w:rPr>
                <w:rFonts w:hint="default"/>
              </w:rPr>
            </w:pPr>
            <w:r>
              <w:rPr>
                <w:rFonts w:hint="eastAsia"/>
              </w:rPr>
              <w:t>/</w:t>
            </w:r>
          </w:p>
        </w:tc>
      </w:tr>
    </w:tbl>
    <w:p>
      <w:pPr>
        <w:pStyle w:val="6"/>
        <w:ind w:firstLine="480"/>
      </w:pPr>
      <w:r>
        <w:rPr>
          <w:rFonts w:hint="eastAsia"/>
        </w:rPr>
        <w:t>根据上表分析，2</w:t>
      </w:r>
      <w:r>
        <w:t>020</w:t>
      </w:r>
      <w:r>
        <w:rPr>
          <w:rFonts w:hint="eastAsia"/>
        </w:rPr>
        <w:t>年巴宜区2个监测点位监测的S</w:t>
      </w:r>
      <w:r>
        <w:t>O</w:t>
      </w:r>
      <w:r>
        <w:rPr>
          <w:vertAlign w:val="subscript"/>
        </w:rPr>
        <w:t>2</w:t>
      </w:r>
      <w:r>
        <w:rPr>
          <w:rFonts w:hint="eastAsia"/>
        </w:rPr>
        <w:t>、N</w:t>
      </w:r>
      <w:r>
        <w:t>O</w:t>
      </w:r>
      <w:r>
        <w:rPr>
          <w:vertAlign w:val="subscript"/>
        </w:rPr>
        <w:t>2</w:t>
      </w:r>
      <w:r>
        <w:rPr>
          <w:rFonts w:hint="eastAsia"/>
        </w:rPr>
        <w:t>、P</w:t>
      </w:r>
      <w:r>
        <w:t>M</w:t>
      </w:r>
      <w:r>
        <w:rPr>
          <w:vertAlign w:val="subscript"/>
        </w:rPr>
        <w:t>10</w:t>
      </w:r>
      <w:r>
        <w:rPr>
          <w:rFonts w:hint="eastAsia"/>
        </w:rPr>
        <w:t>、P</w:t>
      </w:r>
      <w:r>
        <w:t>M</w:t>
      </w:r>
      <w:r>
        <w:rPr>
          <w:vertAlign w:val="subscript"/>
        </w:rPr>
        <w:t>2.5</w:t>
      </w:r>
      <w:r>
        <w:rPr>
          <w:rFonts w:hint="eastAsia"/>
        </w:rPr>
        <w:t>、C</w:t>
      </w:r>
      <w:r>
        <w:t>O</w:t>
      </w:r>
      <w:r>
        <w:rPr>
          <w:rFonts w:hint="eastAsia"/>
        </w:rPr>
        <w:t>、O</w:t>
      </w:r>
      <w:r>
        <w:rPr>
          <w:vertAlign w:val="subscript"/>
        </w:rPr>
        <w:t>3</w:t>
      </w:r>
      <w:r>
        <w:rPr>
          <w:rFonts w:hint="eastAsia"/>
        </w:rPr>
        <w:t>均能满足《环境空气质量标准》（GB3095-2012）中二级标准。</w:t>
      </w:r>
    </w:p>
    <w:p>
      <w:pPr>
        <w:pStyle w:val="6"/>
        <w:ind w:firstLine="480"/>
      </w:pPr>
      <w:r>
        <w:rPr>
          <w:rFonts w:hint="eastAsia"/>
        </w:rPr>
        <w:t>（2）其他6个县</w:t>
      </w:r>
    </w:p>
    <w:p>
      <w:pPr>
        <w:pStyle w:val="6"/>
        <w:ind w:firstLine="480"/>
      </w:pPr>
      <w:r>
        <w:rPr>
          <w:rFonts w:hint="eastAsia"/>
        </w:rPr>
        <w:t>2</w:t>
      </w:r>
      <w:r>
        <w:t>020</w:t>
      </w:r>
      <w:r>
        <w:rPr>
          <w:rFonts w:hint="eastAsia"/>
        </w:rPr>
        <w:t>年林芝市各县环境空气质量状况统计表如下</w:t>
      </w:r>
      <w:r>
        <w:t>。</w:t>
      </w:r>
    </w:p>
    <w:p>
      <w:pPr>
        <w:pStyle w:val="27"/>
      </w:pPr>
      <w:r>
        <w:t>表</w:t>
      </w:r>
      <w:r>
        <w:rPr>
          <w:rFonts w:hint="eastAsia"/>
        </w:rPr>
        <w:t>3.3</w:t>
      </w:r>
      <w:r>
        <w:noBreakHyphen/>
      </w:r>
      <w:r>
        <w:t xml:space="preserve">4  </w:t>
      </w:r>
      <w:r>
        <w:rPr>
          <w:rFonts w:hint="eastAsia"/>
        </w:rPr>
        <w:t>2020</w:t>
      </w:r>
      <w:r>
        <w:t>年环境空气质量监测结果统计表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8"/>
        <w:gridCol w:w="2811"/>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9"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各县名称</w:t>
            </w:r>
          </w:p>
        </w:tc>
        <w:tc>
          <w:tcPr>
            <w:tcW w:w="1649"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环境空气质量级别</w:t>
            </w:r>
          </w:p>
        </w:tc>
        <w:tc>
          <w:tcPr>
            <w:tcW w:w="16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首要污染物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9"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朗县</w:t>
            </w:r>
          </w:p>
        </w:tc>
        <w:tc>
          <w:tcPr>
            <w:tcW w:w="1649"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一级</w:t>
            </w:r>
          </w:p>
        </w:tc>
        <w:tc>
          <w:tcPr>
            <w:tcW w:w="16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9"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米林县</w:t>
            </w:r>
          </w:p>
        </w:tc>
        <w:tc>
          <w:tcPr>
            <w:tcW w:w="1649"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二级</w:t>
            </w:r>
          </w:p>
        </w:tc>
        <w:tc>
          <w:tcPr>
            <w:tcW w:w="16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9"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波密县</w:t>
            </w:r>
          </w:p>
        </w:tc>
        <w:tc>
          <w:tcPr>
            <w:tcW w:w="1649"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二级</w:t>
            </w:r>
          </w:p>
        </w:tc>
        <w:tc>
          <w:tcPr>
            <w:tcW w:w="16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9"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墨脱县</w:t>
            </w:r>
          </w:p>
        </w:tc>
        <w:tc>
          <w:tcPr>
            <w:tcW w:w="1649" w:type="pct"/>
            <w:noWrap w:val="0"/>
            <w:vAlign w:val="top"/>
          </w:tcPr>
          <w:p>
            <w:pPr>
              <w:pStyle w:val="29"/>
              <w:keepNext w:val="0"/>
              <w:keepLines w:val="0"/>
              <w:suppressLineNumbers w:val="0"/>
              <w:spacing w:before="0" w:beforeAutospacing="0" w:after="0" w:afterAutospacing="0"/>
              <w:ind w:left="0" w:right="0"/>
              <w:rPr>
                <w:rFonts w:hint="default"/>
              </w:rPr>
            </w:pPr>
            <w:r>
              <w:rPr>
                <w:rFonts w:hint="eastAsia"/>
              </w:rPr>
              <w:t>一级</w:t>
            </w:r>
          </w:p>
        </w:tc>
        <w:tc>
          <w:tcPr>
            <w:tcW w:w="16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9"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察隅县</w:t>
            </w:r>
          </w:p>
        </w:tc>
        <w:tc>
          <w:tcPr>
            <w:tcW w:w="1649" w:type="pct"/>
            <w:noWrap w:val="0"/>
            <w:vAlign w:val="top"/>
          </w:tcPr>
          <w:p>
            <w:pPr>
              <w:pStyle w:val="29"/>
              <w:keepNext w:val="0"/>
              <w:keepLines w:val="0"/>
              <w:suppressLineNumbers w:val="0"/>
              <w:spacing w:before="0" w:beforeAutospacing="0" w:after="0" w:afterAutospacing="0"/>
              <w:ind w:left="0" w:right="0"/>
              <w:rPr>
                <w:rFonts w:hint="default"/>
              </w:rPr>
            </w:pPr>
            <w:r>
              <w:rPr>
                <w:rFonts w:hint="eastAsia"/>
              </w:rPr>
              <w:t>一级</w:t>
            </w:r>
          </w:p>
        </w:tc>
        <w:tc>
          <w:tcPr>
            <w:tcW w:w="16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9"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工布江达县</w:t>
            </w:r>
          </w:p>
        </w:tc>
        <w:tc>
          <w:tcPr>
            <w:tcW w:w="1649" w:type="pct"/>
            <w:noWrap w:val="0"/>
            <w:vAlign w:val="top"/>
          </w:tcPr>
          <w:p>
            <w:pPr>
              <w:pStyle w:val="29"/>
              <w:keepNext w:val="0"/>
              <w:keepLines w:val="0"/>
              <w:suppressLineNumbers w:val="0"/>
              <w:spacing w:before="0" w:beforeAutospacing="0" w:after="0" w:afterAutospacing="0"/>
              <w:ind w:left="0" w:right="0"/>
              <w:rPr>
                <w:rFonts w:hint="default"/>
              </w:rPr>
            </w:pPr>
            <w:r>
              <w:rPr>
                <w:rFonts w:hint="eastAsia"/>
              </w:rPr>
              <w:t>一级</w:t>
            </w:r>
          </w:p>
        </w:tc>
        <w:tc>
          <w:tcPr>
            <w:tcW w:w="16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无</w:t>
            </w:r>
          </w:p>
        </w:tc>
      </w:tr>
    </w:tbl>
    <w:p>
      <w:pPr>
        <w:pStyle w:val="34"/>
        <w:spacing w:after="0"/>
        <w:jc w:val="both"/>
      </w:pPr>
      <w:r>
        <w:rPr>
          <w:rFonts w:hint="eastAsia"/>
        </w:rPr>
        <w:t>注：1、监测因子为：S</w:t>
      </w:r>
      <w:r>
        <w:t>O</w:t>
      </w:r>
      <w:r>
        <w:rPr>
          <w:vertAlign w:val="subscript"/>
        </w:rPr>
        <w:t>2</w:t>
      </w:r>
      <w:r>
        <w:rPr>
          <w:rFonts w:hint="eastAsia"/>
        </w:rPr>
        <w:t>、N</w:t>
      </w:r>
      <w:r>
        <w:t>O</w:t>
      </w:r>
      <w:r>
        <w:rPr>
          <w:vertAlign w:val="subscript"/>
        </w:rPr>
        <w:t>2</w:t>
      </w:r>
      <w:r>
        <w:rPr>
          <w:rFonts w:hint="eastAsia"/>
        </w:rPr>
        <w:t>、P</w:t>
      </w:r>
      <w:r>
        <w:t>M</w:t>
      </w:r>
      <w:r>
        <w:rPr>
          <w:vertAlign w:val="subscript"/>
        </w:rPr>
        <w:t>10</w:t>
      </w:r>
      <w:r>
        <w:rPr>
          <w:rFonts w:hint="eastAsia"/>
        </w:rPr>
        <w:t>、</w:t>
      </w:r>
      <w:r>
        <w:t>TSP</w:t>
      </w:r>
      <w:r>
        <w:rPr>
          <w:rFonts w:hint="eastAsia"/>
        </w:rPr>
        <w:t>。</w:t>
      </w:r>
    </w:p>
    <w:p>
      <w:pPr>
        <w:pStyle w:val="34"/>
        <w:spacing w:after="0"/>
        <w:jc w:val="both"/>
      </w:pPr>
      <w:r>
        <w:rPr>
          <w:rFonts w:hint="eastAsia"/>
        </w:rPr>
        <w:t xml:space="preserve">    </w:t>
      </w:r>
      <w:r>
        <w:t>2</w:t>
      </w:r>
      <w:r>
        <w:rPr>
          <w:rFonts w:hint="eastAsia"/>
        </w:rPr>
        <w:t>、空气质量级别按照《环境空气质量标准》（GB3095-2012）中年均值、2</w:t>
      </w:r>
      <w:r>
        <w:t>4</w:t>
      </w:r>
      <w:r>
        <w:rPr>
          <w:rFonts w:hint="eastAsia"/>
        </w:rPr>
        <w:t>小时均值进行评价。</w:t>
      </w:r>
    </w:p>
    <w:p>
      <w:pPr>
        <w:pStyle w:val="6"/>
        <w:ind w:firstLine="480"/>
        <w:rPr>
          <w:rFonts w:hint="eastAsia"/>
        </w:rPr>
      </w:pPr>
      <w:r>
        <w:rPr>
          <w:rFonts w:hint="eastAsia"/>
        </w:rPr>
        <w:t>根据上表，2</w:t>
      </w:r>
      <w:r>
        <w:t>020</w:t>
      </w:r>
      <w:r>
        <w:rPr>
          <w:rFonts w:hint="eastAsia"/>
        </w:rPr>
        <w:t>年林芝市除米林县、波密县环境空气质量达到《环境空气质量标准》（GB3095-2012）中二级标准，其余县（朗县、墨脱县、察隅县、工布江达县）均能达到《环境空气质量标准》（GB3095-2012）中一级标准。表明林芝市2</w:t>
      </w:r>
      <w:r>
        <w:t>020</w:t>
      </w:r>
      <w:r>
        <w:rPr>
          <w:rFonts w:hint="eastAsia"/>
        </w:rPr>
        <w:t>年环境空气质量较好，属于达标区。</w:t>
      </w:r>
    </w:p>
    <w:p>
      <w:pPr>
        <w:pStyle w:val="2"/>
        <w:rPr>
          <w:rFonts w:hint="eastAsia"/>
        </w:rPr>
      </w:pPr>
      <w:r>
        <w:rPr>
          <w:rFonts w:hint="eastAsia"/>
        </w:rPr>
        <w:t>3.3.1.</w:t>
      </w:r>
      <w:r>
        <w:rPr>
          <w:rFonts w:hint="eastAsia"/>
          <w:lang w:val="en-US" w:eastAsia="zh-CN"/>
        </w:rPr>
        <w:t>2</w:t>
      </w:r>
      <w:r>
        <w:rPr>
          <w:rFonts w:hint="eastAsia"/>
        </w:rPr>
        <w:t>大气环境质量变化趋势分析</w:t>
      </w:r>
    </w:p>
    <w:p>
      <w:pPr>
        <w:pStyle w:val="6"/>
        <w:ind w:firstLine="480"/>
        <w:rPr>
          <w:rFonts w:hint="eastAsia"/>
        </w:rPr>
      </w:pPr>
      <w:r>
        <w:rPr>
          <w:rFonts w:hint="eastAsia"/>
        </w:rPr>
        <w:t>本次评价收集了《林芝市环境质量报告书2016年~2020年》中巴宜区监测数据，监测因子为：S</w:t>
      </w:r>
      <w:r>
        <w:t>O</w:t>
      </w:r>
      <w:r>
        <w:rPr>
          <w:vertAlign w:val="subscript"/>
        </w:rPr>
        <w:t>2</w:t>
      </w:r>
      <w:r>
        <w:rPr>
          <w:rFonts w:hint="eastAsia"/>
        </w:rPr>
        <w:t>、N</w:t>
      </w:r>
      <w:r>
        <w:t>O</w:t>
      </w:r>
      <w:r>
        <w:rPr>
          <w:vertAlign w:val="subscript"/>
        </w:rPr>
        <w:t>2</w:t>
      </w:r>
      <w:r>
        <w:rPr>
          <w:rFonts w:hint="eastAsia"/>
        </w:rPr>
        <w:t>、P</w:t>
      </w:r>
      <w:r>
        <w:t>M</w:t>
      </w:r>
      <w:r>
        <w:rPr>
          <w:vertAlign w:val="subscript"/>
        </w:rPr>
        <w:t>10</w:t>
      </w:r>
      <w:r>
        <w:rPr>
          <w:rFonts w:hint="eastAsia"/>
        </w:rPr>
        <w:t>、P</w:t>
      </w:r>
      <w:r>
        <w:t>M</w:t>
      </w:r>
      <w:r>
        <w:rPr>
          <w:vertAlign w:val="subscript"/>
        </w:rPr>
        <w:t>2.5</w:t>
      </w:r>
      <w:r>
        <w:rPr>
          <w:rFonts w:hint="eastAsia"/>
        </w:rPr>
        <w:t>、C</w:t>
      </w:r>
      <w:r>
        <w:t>O</w:t>
      </w:r>
      <w:r>
        <w:rPr>
          <w:rFonts w:hint="eastAsia"/>
        </w:rPr>
        <w:t>、O</w:t>
      </w:r>
      <w:r>
        <w:rPr>
          <w:vertAlign w:val="subscript"/>
        </w:rPr>
        <w:t>3</w:t>
      </w:r>
      <w:r>
        <w:rPr>
          <w:rFonts w:hint="eastAsia"/>
        </w:rPr>
        <w:t>。通过对巴宜区例行环境空气监测点数据进行对比，反应区域近几年环境空气质量的变化情况。</w:t>
      </w:r>
    </w:p>
    <w:p>
      <w:pPr>
        <w:pStyle w:val="6"/>
        <w:ind w:firstLine="480"/>
        <w:rPr>
          <w:rFonts w:hint="eastAsia"/>
        </w:rPr>
      </w:pPr>
      <w:r>
        <w:rPr>
          <w:rFonts w:hint="eastAsia"/>
        </w:rPr>
        <w:t>林芝市2016年~2020年环境空气质量统计情况详见下表3.3-5。</w:t>
      </w:r>
    </w:p>
    <w:p>
      <w:pPr>
        <w:pStyle w:val="6"/>
        <w:ind w:firstLine="480"/>
        <w:rPr>
          <w:rFonts w:hint="eastAsia"/>
        </w:rPr>
      </w:pPr>
    </w:p>
    <w:p>
      <w:pPr>
        <w:pStyle w:val="6"/>
        <w:ind w:firstLine="480"/>
        <w:rPr>
          <w:rFonts w:hint="eastAsia"/>
        </w:rPr>
      </w:pPr>
    </w:p>
    <w:p>
      <w:pPr>
        <w:pStyle w:val="27"/>
        <w:rPr>
          <w:rFonts w:hint="eastAsia"/>
        </w:rPr>
      </w:pPr>
      <w:r>
        <w:rPr>
          <w:rFonts w:hint="eastAsia"/>
        </w:rPr>
        <w:t>表3.3-5  2016~2020年林芝市环境空气年均浓度监测结果单位：ug/m</w:t>
      </w:r>
      <w:r>
        <w:rPr>
          <w:rFonts w:hint="eastAsia"/>
          <w:vertAlign w:val="superscript"/>
        </w:rPr>
        <w:t>3</w:t>
      </w:r>
    </w:p>
    <w:tbl>
      <w:tblPr>
        <w:tblStyle w:val="24"/>
        <w:tblW w:w="4994" w:type="pct"/>
        <w:jc w:val="right"/>
        <w:tblLayout w:type="autofit"/>
        <w:tblCellMar>
          <w:top w:w="0" w:type="dxa"/>
          <w:left w:w="108" w:type="dxa"/>
          <w:bottom w:w="0" w:type="dxa"/>
          <w:right w:w="108" w:type="dxa"/>
        </w:tblCellMar>
      </w:tblPr>
      <w:tblGrid>
        <w:gridCol w:w="1020"/>
        <w:gridCol w:w="1920"/>
        <w:gridCol w:w="979"/>
        <w:gridCol w:w="1048"/>
        <w:gridCol w:w="1180"/>
        <w:gridCol w:w="1249"/>
        <w:gridCol w:w="1116"/>
      </w:tblGrid>
      <w:tr>
        <w:tblPrEx>
          <w:tblCellMar>
            <w:top w:w="0" w:type="dxa"/>
            <w:left w:w="108" w:type="dxa"/>
            <w:bottom w:w="0" w:type="dxa"/>
            <w:right w:w="108" w:type="dxa"/>
          </w:tblCellMar>
        </w:tblPrEx>
        <w:trPr>
          <w:jc w:val="right"/>
        </w:trPr>
        <w:tc>
          <w:tcPr>
            <w:tcW w:w="599"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监测点</w:t>
            </w:r>
          </w:p>
        </w:tc>
        <w:tc>
          <w:tcPr>
            <w:tcW w:w="1127"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年份</w:t>
            </w:r>
          </w:p>
        </w:tc>
        <w:tc>
          <w:tcPr>
            <w:tcW w:w="57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SO</w:t>
            </w:r>
            <w:r>
              <w:rPr>
                <w:rFonts w:hint="eastAsia"/>
                <w:vertAlign w:val="subscript"/>
              </w:rPr>
              <w:t>2</w:t>
            </w:r>
          </w:p>
        </w:tc>
        <w:tc>
          <w:tcPr>
            <w:tcW w:w="61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NO</w:t>
            </w:r>
            <w:r>
              <w:rPr>
                <w:rFonts w:hint="eastAsia"/>
                <w:vertAlign w:val="subscript"/>
              </w:rPr>
              <w:t>2</w:t>
            </w:r>
          </w:p>
        </w:tc>
        <w:tc>
          <w:tcPr>
            <w:tcW w:w="693"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PM</w:t>
            </w:r>
            <w:r>
              <w:rPr>
                <w:rFonts w:hint="eastAsia"/>
                <w:vertAlign w:val="subscript"/>
              </w:rPr>
              <w:t>10</w:t>
            </w:r>
          </w:p>
        </w:tc>
        <w:tc>
          <w:tcPr>
            <w:tcW w:w="733"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PM</w:t>
            </w:r>
            <w:r>
              <w:rPr>
                <w:rFonts w:hint="eastAsia"/>
                <w:vertAlign w:val="subscript"/>
              </w:rPr>
              <w:t>2.5</w:t>
            </w:r>
          </w:p>
        </w:tc>
        <w:tc>
          <w:tcPr>
            <w:tcW w:w="65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O</w:t>
            </w:r>
            <w:r>
              <w:rPr>
                <w:rFonts w:hint="eastAsia"/>
                <w:vertAlign w:val="subscript"/>
              </w:rPr>
              <w:t>3</w:t>
            </w:r>
            <w:r>
              <w:rPr>
                <w:rFonts w:hint="default"/>
                <w:lang w:bidi="ar"/>
              </w:rPr>
              <w:t>-8h</w:t>
            </w:r>
          </w:p>
        </w:tc>
      </w:tr>
      <w:tr>
        <w:tblPrEx>
          <w:tblCellMar>
            <w:top w:w="0" w:type="dxa"/>
            <w:left w:w="108" w:type="dxa"/>
            <w:bottom w:w="0" w:type="dxa"/>
            <w:right w:w="108" w:type="dxa"/>
          </w:tblCellMar>
        </w:tblPrEx>
        <w:trPr>
          <w:trHeight w:val="28" w:hRule="atLeast"/>
          <w:jc w:val="right"/>
        </w:trPr>
        <w:tc>
          <w:tcPr>
            <w:tcW w:w="599" w:type="pct"/>
            <w:vMerge w:val="restart"/>
            <w:tcBorders>
              <w:top w:val="single" w:color="000000" w:sz="8" w:space="0"/>
              <w:left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林芝市生态环境局</w:t>
            </w:r>
          </w:p>
        </w:tc>
        <w:tc>
          <w:tcPr>
            <w:tcW w:w="1127" w:type="pct"/>
            <w:tcBorders>
              <w:top w:val="single" w:color="000000" w:sz="8" w:space="0"/>
              <w:left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2016年</w:t>
            </w:r>
          </w:p>
        </w:tc>
        <w:tc>
          <w:tcPr>
            <w:tcW w:w="575" w:type="pct"/>
            <w:tcBorders>
              <w:top w:val="single" w:color="000000" w:sz="8" w:space="0"/>
              <w:left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6</w:t>
            </w:r>
          </w:p>
        </w:tc>
        <w:tc>
          <w:tcPr>
            <w:tcW w:w="615" w:type="pct"/>
            <w:tcBorders>
              <w:top w:val="single" w:color="000000" w:sz="8" w:space="0"/>
              <w:left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9</w:t>
            </w:r>
          </w:p>
        </w:tc>
        <w:tc>
          <w:tcPr>
            <w:tcW w:w="693" w:type="pct"/>
            <w:tcBorders>
              <w:top w:val="single" w:color="000000" w:sz="8" w:space="0"/>
              <w:left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24</w:t>
            </w:r>
          </w:p>
        </w:tc>
        <w:tc>
          <w:tcPr>
            <w:tcW w:w="733" w:type="pct"/>
            <w:tcBorders>
              <w:top w:val="single" w:color="000000" w:sz="8" w:space="0"/>
              <w:left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12</w:t>
            </w:r>
          </w:p>
        </w:tc>
        <w:tc>
          <w:tcPr>
            <w:tcW w:w="65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108</w:t>
            </w:r>
          </w:p>
        </w:tc>
      </w:tr>
      <w:tr>
        <w:tblPrEx>
          <w:tblCellMar>
            <w:top w:w="0" w:type="dxa"/>
            <w:left w:w="108" w:type="dxa"/>
            <w:bottom w:w="0" w:type="dxa"/>
            <w:right w:w="108" w:type="dxa"/>
          </w:tblCellMar>
        </w:tblPrEx>
        <w:trPr>
          <w:jc w:val="right"/>
        </w:trPr>
        <w:tc>
          <w:tcPr>
            <w:tcW w:w="599" w:type="pct"/>
            <w:vMerge w:val="continue"/>
            <w:tcBorders>
              <w:left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p>
        </w:tc>
        <w:tc>
          <w:tcPr>
            <w:tcW w:w="1127"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2017年</w:t>
            </w:r>
          </w:p>
        </w:tc>
        <w:tc>
          <w:tcPr>
            <w:tcW w:w="57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4</w:t>
            </w:r>
          </w:p>
        </w:tc>
        <w:tc>
          <w:tcPr>
            <w:tcW w:w="61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10</w:t>
            </w:r>
          </w:p>
        </w:tc>
        <w:tc>
          <w:tcPr>
            <w:tcW w:w="693"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30</w:t>
            </w:r>
          </w:p>
        </w:tc>
        <w:tc>
          <w:tcPr>
            <w:tcW w:w="733"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11</w:t>
            </w:r>
          </w:p>
        </w:tc>
        <w:tc>
          <w:tcPr>
            <w:tcW w:w="65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116</w:t>
            </w:r>
          </w:p>
        </w:tc>
      </w:tr>
      <w:tr>
        <w:tblPrEx>
          <w:tblCellMar>
            <w:top w:w="0" w:type="dxa"/>
            <w:left w:w="108" w:type="dxa"/>
            <w:bottom w:w="0" w:type="dxa"/>
            <w:right w:w="108" w:type="dxa"/>
          </w:tblCellMar>
        </w:tblPrEx>
        <w:trPr>
          <w:jc w:val="right"/>
        </w:trPr>
        <w:tc>
          <w:tcPr>
            <w:tcW w:w="599" w:type="pct"/>
            <w:vMerge w:val="continue"/>
            <w:tcBorders>
              <w:left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p>
        </w:tc>
        <w:tc>
          <w:tcPr>
            <w:tcW w:w="1127"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2018年</w:t>
            </w:r>
          </w:p>
        </w:tc>
        <w:tc>
          <w:tcPr>
            <w:tcW w:w="57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4</w:t>
            </w:r>
          </w:p>
        </w:tc>
        <w:tc>
          <w:tcPr>
            <w:tcW w:w="61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7</w:t>
            </w:r>
          </w:p>
        </w:tc>
        <w:tc>
          <w:tcPr>
            <w:tcW w:w="693"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21</w:t>
            </w:r>
          </w:p>
        </w:tc>
        <w:tc>
          <w:tcPr>
            <w:tcW w:w="733"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10</w:t>
            </w:r>
          </w:p>
        </w:tc>
        <w:tc>
          <w:tcPr>
            <w:tcW w:w="65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128</w:t>
            </w:r>
          </w:p>
        </w:tc>
      </w:tr>
      <w:tr>
        <w:tblPrEx>
          <w:tblCellMar>
            <w:top w:w="0" w:type="dxa"/>
            <w:left w:w="108" w:type="dxa"/>
            <w:bottom w:w="0" w:type="dxa"/>
            <w:right w:w="108" w:type="dxa"/>
          </w:tblCellMar>
        </w:tblPrEx>
        <w:trPr>
          <w:jc w:val="right"/>
        </w:trPr>
        <w:tc>
          <w:tcPr>
            <w:tcW w:w="599" w:type="pct"/>
            <w:vMerge w:val="continue"/>
            <w:tcBorders>
              <w:left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p>
        </w:tc>
        <w:tc>
          <w:tcPr>
            <w:tcW w:w="1127"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2019年</w:t>
            </w:r>
          </w:p>
        </w:tc>
        <w:tc>
          <w:tcPr>
            <w:tcW w:w="57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6</w:t>
            </w:r>
          </w:p>
        </w:tc>
        <w:tc>
          <w:tcPr>
            <w:tcW w:w="61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6</w:t>
            </w:r>
          </w:p>
        </w:tc>
        <w:tc>
          <w:tcPr>
            <w:tcW w:w="693"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13</w:t>
            </w:r>
          </w:p>
        </w:tc>
        <w:tc>
          <w:tcPr>
            <w:tcW w:w="733"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7</w:t>
            </w:r>
          </w:p>
        </w:tc>
        <w:tc>
          <w:tcPr>
            <w:tcW w:w="65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100</w:t>
            </w:r>
          </w:p>
        </w:tc>
      </w:tr>
      <w:tr>
        <w:tblPrEx>
          <w:tblCellMar>
            <w:top w:w="0" w:type="dxa"/>
            <w:left w:w="108" w:type="dxa"/>
            <w:bottom w:w="0" w:type="dxa"/>
            <w:right w:w="108" w:type="dxa"/>
          </w:tblCellMar>
        </w:tblPrEx>
        <w:trPr>
          <w:jc w:val="right"/>
        </w:trPr>
        <w:tc>
          <w:tcPr>
            <w:tcW w:w="599" w:type="pct"/>
            <w:vMerge w:val="continue"/>
            <w:tcBorders>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eastAsia"/>
              </w:rPr>
            </w:pPr>
          </w:p>
        </w:tc>
        <w:tc>
          <w:tcPr>
            <w:tcW w:w="1127"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2020年</w:t>
            </w:r>
          </w:p>
        </w:tc>
        <w:tc>
          <w:tcPr>
            <w:tcW w:w="57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eastAsia"/>
              </w:rPr>
            </w:pPr>
            <w:r>
              <w:rPr>
                <w:rFonts w:hint="eastAsia"/>
              </w:rPr>
              <w:t>8</w:t>
            </w:r>
          </w:p>
        </w:tc>
        <w:tc>
          <w:tcPr>
            <w:tcW w:w="61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eastAsia"/>
              </w:rPr>
            </w:pPr>
            <w:r>
              <w:rPr>
                <w:rFonts w:hint="eastAsia"/>
              </w:rPr>
              <w:t>6</w:t>
            </w:r>
          </w:p>
        </w:tc>
        <w:tc>
          <w:tcPr>
            <w:tcW w:w="693"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18</w:t>
            </w:r>
          </w:p>
        </w:tc>
        <w:tc>
          <w:tcPr>
            <w:tcW w:w="733"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eastAsia"/>
              </w:rPr>
            </w:pPr>
            <w:r>
              <w:rPr>
                <w:rFonts w:hint="eastAsia"/>
              </w:rPr>
              <w:t>9</w:t>
            </w:r>
          </w:p>
        </w:tc>
        <w:tc>
          <w:tcPr>
            <w:tcW w:w="65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80</w:t>
            </w:r>
          </w:p>
        </w:tc>
      </w:tr>
      <w:tr>
        <w:tblPrEx>
          <w:tblCellMar>
            <w:top w:w="0" w:type="dxa"/>
            <w:left w:w="108" w:type="dxa"/>
            <w:bottom w:w="0" w:type="dxa"/>
            <w:right w:w="108" w:type="dxa"/>
          </w:tblCellMar>
        </w:tblPrEx>
        <w:trPr>
          <w:jc w:val="right"/>
        </w:trPr>
        <w:tc>
          <w:tcPr>
            <w:tcW w:w="1726" w:type="pct"/>
            <w:gridSpan w:val="2"/>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eastAsia"/>
              </w:rPr>
            </w:pPr>
            <w:r>
              <w:rPr>
                <w:rFonts w:hint="eastAsia"/>
              </w:rPr>
              <w:t>《环境空气质量标准》</w:t>
            </w:r>
          </w:p>
          <w:p>
            <w:pPr>
              <w:pStyle w:val="28"/>
              <w:keepNext w:val="0"/>
              <w:keepLines w:val="0"/>
              <w:suppressLineNumbers w:val="0"/>
              <w:spacing w:beforeAutospacing="0" w:afterAutospacing="0"/>
              <w:ind w:left="0" w:right="0"/>
              <w:rPr>
                <w:rFonts w:hint="default"/>
              </w:rPr>
            </w:pPr>
            <w:r>
              <w:rPr>
                <w:rFonts w:hint="eastAsia"/>
              </w:rPr>
              <w:t>（GB3095-2012）二级标准</w:t>
            </w:r>
          </w:p>
        </w:tc>
        <w:tc>
          <w:tcPr>
            <w:tcW w:w="57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60</w:t>
            </w:r>
          </w:p>
        </w:tc>
        <w:tc>
          <w:tcPr>
            <w:tcW w:w="61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40</w:t>
            </w:r>
          </w:p>
        </w:tc>
        <w:tc>
          <w:tcPr>
            <w:tcW w:w="693"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70</w:t>
            </w:r>
          </w:p>
        </w:tc>
        <w:tc>
          <w:tcPr>
            <w:tcW w:w="733"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35</w:t>
            </w:r>
          </w:p>
        </w:tc>
        <w:tc>
          <w:tcPr>
            <w:tcW w:w="655" w:type="pct"/>
            <w:tcBorders>
              <w:top w:val="single" w:color="000000" w:sz="8" w:space="0"/>
              <w:left w:val="single" w:color="000000" w:sz="8" w:space="0"/>
              <w:bottom w:val="single" w:color="000000" w:sz="8" w:space="0"/>
              <w:right w:val="single" w:color="000000" w:sz="8" w:space="0"/>
            </w:tcBorders>
            <w:noWrap w:val="0"/>
            <w:vAlign w:val="center"/>
          </w:tcPr>
          <w:p>
            <w:pPr>
              <w:pStyle w:val="28"/>
              <w:keepNext w:val="0"/>
              <w:keepLines w:val="0"/>
              <w:suppressLineNumbers w:val="0"/>
              <w:spacing w:beforeAutospacing="0" w:afterAutospacing="0"/>
              <w:ind w:left="0" w:right="0"/>
              <w:rPr>
                <w:rFonts w:hint="eastAsia"/>
              </w:rPr>
            </w:pPr>
            <w:r>
              <w:rPr>
                <w:rFonts w:hint="eastAsia"/>
              </w:rPr>
              <w:t>/</w:t>
            </w:r>
          </w:p>
        </w:tc>
      </w:tr>
    </w:tbl>
    <w:p>
      <w:pPr>
        <w:pStyle w:val="6"/>
        <w:ind w:firstLine="480"/>
      </w:pPr>
      <w:r>
        <w:rPr>
          <w:rFonts w:hint="eastAsia"/>
        </w:rPr>
        <w:t>根据林芝市巴宜区国控环境空气质量自动监测点（2</w:t>
      </w:r>
      <w:r>
        <w:t>016~2020</w:t>
      </w:r>
      <w:r>
        <w:rPr>
          <w:rFonts w:hint="eastAsia"/>
        </w:rPr>
        <w:t>年）监测数据，林芝市中心城区（巴宜区）2</w:t>
      </w:r>
      <w:r>
        <w:t>016</w:t>
      </w:r>
      <w:r>
        <w:rPr>
          <w:rFonts w:hint="eastAsia"/>
        </w:rPr>
        <w:t>年~</w:t>
      </w:r>
      <w:r>
        <w:t>2020</w:t>
      </w:r>
      <w:r>
        <w:rPr>
          <w:rFonts w:hint="eastAsia"/>
        </w:rPr>
        <w:t>年主要污染物变化趋势见图3</w:t>
      </w:r>
      <w:r>
        <w:t>.5-1</w:t>
      </w:r>
      <w:r>
        <w:rPr>
          <w:rFonts w:hint="eastAsia"/>
        </w:rPr>
        <w:t>。</w:t>
      </w:r>
    </w:p>
    <w:p>
      <w:pPr>
        <w:pStyle w:val="6"/>
        <w:ind w:firstLine="0" w:firstLineChars="0"/>
        <w:jc w:val="center"/>
        <w:rPr>
          <w:b/>
          <w:bCs/>
        </w:rPr>
      </w:pPr>
      <w:r>
        <w:drawing>
          <wp:inline distT="0" distB="0" distL="114300" distR="114300">
            <wp:extent cx="4097655" cy="2045970"/>
            <wp:effectExtent l="5080" t="5080" r="12065" b="635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34"/>
      </w:pPr>
      <w:r>
        <w:rPr>
          <w:rFonts w:hint="eastAsia"/>
          <w:bCs/>
        </w:rPr>
        <w:t>图3</w:t>
      </w:r>
      <w:r>
        <w:rPr>
          <w:bCs/>
        </w:rPr>
        <w:t>.</w:t>
      </w:r>
      <w:r>
        <w:rPr>
          <w:rFonts w:hint="eastAsia"/>
          <w:bCs/>
        </w:rPr>
        <w:t>3</w:t>
      </w:r>
      <w:r>
        <w:rPr>
          <w:bCs/>
        </w:rPr>
        <w:t xml:space="preserve">-1  </w:t>
      </w:r>
      <w:r>
        <w:rPr>
          <w:rFonts w:hint="eastAsia"/>
          <w:bCs/>
        </w:rPr>
        <w:t>巴宜区2</w:t>
      </w:r>
      <w:r>
        <w:rPr>
          <w:bCs/>
        </w:rPr>
        <w:t>016</w:t>
      </w:r>
      <w:r>
        <w:rPr>
          <w:rFonts w:hint="eastAsia"/>
          <w:bCs/>
        </w:rPr>
        <w:t>年~</w:t>
      </w:r>
      <w:r>
        <w:rPr>
          <w:bCs/>
        </w:rPr>
        <w:t>2020</w:t>
      </w:r>
      <w:r>
        <w:rPr>
          <w:rFonts w:hint="eastAsia"/>
          <w:bCs/>
        </w:rPr>
        <w:t>年主要污染物变化趋势图（单位：ug</w:t>
      </w:r>
      <w:r>
        <w:rPr>
          <w:bCs/>
        </w:rPr>
        <w:t>/</w:t>
      </w:r>
      <w:r>
        <w:rPr>
          <w:rFonts w:hint="eastAsia"/>
          <w:bCs/>
        </w:rPr>
        <w:t>m</w:t>
      </w:r>
      <w:r>
        <w:rPr>
          <w:bCs/>
          <w:vertAlign w:val="superscript"/>
        </w:rPr>
        <w:t>3</w:t>
      </w:r>
      <w:r>
        <w:rPr>
          <w:rFonts w:hint="eastAsia"/>
          <w:bCs/>
        </w:rPr>
        <w:t>）</w:t>
      </w:r>
    </w:p>
    <w:p>
      <w:pPr>
        <w:pStyle w:val="6"/>
        <w:ind w:firstLine="480"/>
      </w:pPr>
      <w:r>
        <w:rPr>
          <w:rFonts w:hint="eastAsia"/>
        </w:rPr>
        <w:t>根据上述监测数据，林芝市中心城区（巴宜区）2016年~2020年主要污染物变化趋势分析如下：</w:t>
      </w:r>
    </w:p>
    <w:p>
      <w:pPr>
        <w:pStyle w:val="6"/>
        <w:ind w:firstLine="480"/>
      </w:pPr>
      <w:r>
        <w:rPr>
          <w:rFonts w:hint="eastAsia"/>
        </w:rPr>
        <w:t>1、SO</w:t>
      </w:r>
      <w:r>
        <w:rPr>
          <w:rFonts w:hint="eastAsia"/>
          <w:vertAlign w:val="subscript"/>
        </w:rPr>
        <w:t>2</w:t>
      </w:r>
      <w:r>
        <w:rPr>
          <w:rFonts w:hint="eastAsia"/>
        </w:rPr>
        <w:t>浓度近期演变趋势分析：区域201</w:t>
      </w:r>
      <w:r>
        <w:t>6</w:t>
      </w:r>
      <w:r>
        <w:rPr>
          <w:rFonts w:hint="eastAsia"/>
        </w:rPr>
        <w:t>~20</w:t>
      </w:r>
      <w:r>
        <w:t>20</w:t>
      </w:r>
      <w:r>
        <w:rPr>
          <w:rFonts w:hint="eastAsia"/>
        </w:rPr>
        <w:t>年SO</w:t>
      </w:r>
      <w:r>
        <w:rPr>
          <w:rFonts w:hint="eastAsia"/>
          <w:vertAlign w:val="subscript"/>
        </w:rPr>
        <w:t>2</w:t>
      </w:r>
      <w:r>
        <w:rPr>
          <w:rFonts w:hint="eastAsia"/>
        </w:rPr>
        <w:t>年均浓度可以满足《环境空气质量标准》（GB3095-2012）及其修改单中对应的二级标准限值要求，SO</w:t>
      </w:r>
      <w:r>
        <w:rPr>
          <w:rFonts w:hint="eastAsia"/>
          <w:vertAlign w:val="subscript"/>
        </w:rPr>
        <w:t>2</w:t>
      </w:r>
      <w:r>
        <w:rPr>
          <w:rFonts w:hint="eastAsia"/>
        </w:rPr>
        <w:t>年均浓度总体变化趋势较为平稳。</w:t>
      </w:r>
    </w:p>
    <w:p>
      <w:pPr>
        <w:pStyle w:val="6"/>
        <w:ind w:firstLine="480"/>
      </w:pPr>
      <w:r>
        <w:rPr>
          <w:rFonts w:hint="eastAsia"/>
        </w:rPr>
        <w:t>2、NO</w:t>
      </w:r>
      <w:r>
        <w:rPr>
          <w:rFonts w:hint="eastAsia"/>
          <w:vertAlign w:val="subscript"/>
        </w:rPr>
        <w:t>2</w:t>
      </w:r>
      <w:r>
        <w:rPr>
          <w:rFonts w:hint="eastAsia"/>
        </w:rPr>
        <w:t>浓度近期演变趋势分析：区域201</w:t>
      </w:r>
      <w:r>
        <w:t>6</w:t>
      </w:r>
      <w:r>
        <w:rPr>
          <w:rFonts w:hint="eastAsia"/>
        </w:rPr>
        <w:t>~20</w:t>
      </w:r>
      <w:r>
        <w:t>20</w:t>
      </w:r>
      <w:r>
        <w:rPr>
          <w:rFonts w:hint="eastAsia"/>
        </w:rPr>
        <w:t>年NO</w:t>
      </w:r>
      <w:r>
        <w:rPr>
          <w:rFonts w:hint="eastAsia"/>
          <w:vertAlign w:val="subscript"/>
        </w:rPr>
        <w:t>2</w:t>
      </w:r>
      <w:r>
        <w:rPr>
          <w:rFonts w:hint="eastAsia"/>
        </w:rPr>
        <w:t>年均浓度可以满足《环境空气质量标准》（GB3095-2012）及其修改单中对应的二级标准限值要求。随着林芝市工业和城市的发展，201</w:t>
      </w:r>
      <w:r>
        <w:t>6</w:t>
      </w:r>
      <w:r>
        <w:rPr>
          <w:rFonts w:hint="eastAsia"/>
        </w:rPr>
        <w:t>~2017年NO</w:t>
      </w:r>
      <w:r>
        <w:rPr>
          <w:rFonts w:hint="eastAsia"/>
          <w:vertAlign w:val="subscript"/>
        </w:rPr>
        <w:t>2</w:t>
      </w:r>
      <w:r>
        <w:rPr>
          <w:rFonts w:hint="eastAsia"/>
        </w:rPr>
        <w:t>年均浓度略有上升，2018年略有下降保持稳定，2019</w:t>
      </w:r>
      <w:r>
        <w:t>~2020</w:t>
      </w:r>
      <w:r>
        <w:rPr>
          <w:rFonts w:hint="eastAsia"/>
        </w:rPr>
        <w:t>年度又有上升趋势，上升幅度很小。</w:t>
      </w:r>
    </w:p>
    <w:p>
      <w:pPr>
        <w:pStyle w:val="6"/>
        <w:ind w:firstLine="480"/>
      </w:pPr>
      <w:r>
        <w:rPr>
          <w:rFonts w:hint="eastAsia"/>
        </w:rPr>
        <w:t>3、PM</w:t>
      </w:r>
      <w:r>
        <w:rPr>
          <w:rFonts w:hint="eastAsia"/>
          <w:vertAlign w:val="subscript"/>
        </w:rPr>
        <w:t>10</w:t>
      </w:r>
      <w:r>
        <w:rPr>
          <w:rFonts w:hint="eastAsia"/>
        </w:rPr>
        <w:t>浓度近期演变趋势分析：区域201</w:t>
      </w:r>
      <w:r>
        <w:t>6</w:t>
      </w:r>
      <w:r>
        <w:rPr>
          <w:rFonts w:hint="eastAsia"/>
        </w:rPr>
        <w:t>~20</w:t>
      </w:r>
      <w:r>
        <w:t>20</w:t>
      </w:r>
      <w:r>
        <w:rPr>
          <w:rFonts w:hint="eastAsia"/>
        </w:rPr>
        <w:t>年PM10年均浓度可以满足《环境空气质量标准》（GB3095-2012）及其修改单中对应的二级标准限值要求，2</w:t>
      </w:r>
      <w:r>
        <w:t>017</w:t>
      </w:r>
      <w:r>
        <w:rPr>
          <w:rFonts w:hint="eastAsia"/>
        </w:rPr>
        <w:t>年~</w:t>
      </w:r>
      <w:r>
        <w:t>2019</w:t>
      </w:r>
      <w:r>
        <w:rPr>
          <w:rFonts w:hint="eastAsia"/>
        </w:rPr>
        <w:t>年有下降趋势。整体基本保持稳定。</w:t>
      </w:r>
    </w:p>
    <w:p>
      <w:pPr>
        <w:pStyle w:val="6"/>
        <w:ind w:firstLine="480"/>
      </w:pPr>
      <w:r>
        <w:rPr>
          <w:rFonts w:hint="eastAsia"/>
        </w:rPr>
        <w:t>4、PM</w:t>
      </w:r>
      <w:r>
        <w:rPr>
          <w:rFonts w:hint="eastAsia"/>
          <w:vertAlign w:val="subscript"/>
        </w:rPr>
        <w:t>2.5</w:t>
      </w:r>
      <w:r>
        <w:rPr>
          <w:rFonts w:hint="eastAsia"/>
        </w:rPr>
        <w:t>浓度近期演变趋势分析</w:t>
      </w:r>
    </w:p>
    <w:p>
      <w:pPr>
        <w:pStyle w:val="6"/>
        <w:ind w:firstLine="480"/>
      </w:pPr>
      <w:r>
        <w:rPr>
          <w:rFonts w:hint="eastAsia"/>
        </w:rPr>
        <w:t>区域201</w:t>
      </w:r>
      <w:r>
        <w:t>6</w:t>
      </w:r>
      <w:r>
        <w:rPr>
          <w:rFonts w:hint="eastAsia"/>
        </w:rPr>
        <w:t>~20</w:t>
      </w:r>
      <w:r>
        <w:t>20</w:t>
      </w:r>
      <w:r>
        <w:rPr>
          <w:rFonts w:hint="eastAsia"/>
        </w:rPr>
        <w:t>年PM</w:t>
      </w:r>
      <w:r>
        <w:rPr>
          <w:rFonts w:hint="eastAsia"/>
          <w:vertAlign w:val="subscript"/>
        </w:rPr>
        <w:t>2.5</w:t>
      </w:r>
      <w:r>
        <w:rPr>
          <w:rFonts w:hint="eastAsia"/>
        </w:rPr>
        <w:t>年均浓度可以满足《环境空气质量标准》（GB3095-2012中二级标准限值要求。整体基本保持稳定。</w:t>
      </w:r>
    </w:p>
    <w:p>
      <w:pPr>
        <w:pStyle w:val="6"/>
        <w:ind w:firstLine="480"/>
      </w:pPr>
      <w:r>
        <w:rPr>
          <w:rFonts w:hint="eastAsia"/>
        </w:rPr>
        <w:t>5、O</w:t>
      </w:r>
      <w:r>
        <w:rPr>
          <w:vertAlign w:val="subscript"/>
        </w:rPr>
        <w:t>3</w:t>
      </w:r>
      <w:r>
        <w:rPr>
          <w:rFonts w:hint="eastAsia"/>
        </w:rPr>
        <w:t>浓度近期演变趋势分析</w:t>
      </w:r>
    </w:p>
    <w:p>
      <w:pPr>
        <w:pStyle w:val="6"/>
        <w:ind w:firstLine="480"/>
        <w:rPr>
          <w:rFonts w:hint="eastAsia"/>
        </w:rPr>
      </w:pPr>
      <w:r>
        <w:rPr>
          <w:rFonts w:hint="eastAsia"/>
        </w:rPr>
        <w:t>区域201</w:t>
      </w:r>
      <w:r>
        <w:t>6</w:t>
      </w:r>
      <w:r>
        <w:rPr>
          <w:rFonts w:hint="eastAsia"/>
        </w:rPr>
        <w:t>~20</w:t>
      </w:r>
      <w:r>
        <w:t>20</w:t>
      </w:r>
      <w:r>
        <w:rPr>
          <w:rFonts w:hint="eastAsia"/>
        </w:rPr>
        <w:t>年</w:t>
      </w:r>
      <w:r>
        <w:t>O</w:t>
      </w:r>
      <w:r>
        <w:rPr>
          <w:vertAlign w:val="subscript"/>
        </w:rPr>
        <w:t>3</w:t>
      </w:r>
      <w:r>
        <w:rPr>
          <w:rFonts w:hint="eastAsia"/>
        </w:rPr>
        <w:t>年均浓度可以满足《环境空气质量标准》（GB3095-2012）及其修改单中对应的二级标准限值要求。201</w:t>
      </w:r>
      <w:r>
        <w:t>6</w:t>
      </w:r>
      <w:r>
        <w:rPr>
          <w:rFonts w:hint="eastAsia"/>
        </w:rPr>
        <w:t>~2017年O</w:t>
      </w:r>
      <w:r>
        <w:rPr>
          <w:vertAlign w:val="subscript"/>
        </w:rPr>
        <w:t>3</w:t>
      </w:r>
      <w:r>
        <w:rPr>
          <w:rFonts w:hint="eastAsia"/>
        </w:rPr>
        <w:t>年均浓度有上升趋势，201</w:t>
      </w:r>
      <w:r>
        <w:t>7~2020</w:t>
      </w:r>
      <w:r>
        <w:rPr>
          <w:rFonts w:hint="eastAsia"/>
        </w:rPr>
        <w:t>年总体上成下降趋势。</w:t>
      </w:r>
    </w:p>
    <w:p>
      <w:pPr>
        <w:pStyle w:val="5"/>
        <w:bidi w:val="0"/>
      </w:pPr>
      <w:bookmarkStart w:id="103" w:name="_Toc6910"/>
      <w:r>
        <w:rPr>
          <w:rFonts w:hint="eastAsia"/>
        </w:rPr>
        <w:t>3.3.2水环境现状分析</w:t>
      </w:r>
      <w:bookmarkEnd w:id="103"/>
    </w:p>
    <w:p>
      <w:pPr>
        <w:pStyle w:val="2"/>
        <w:bidi w:val="0"/>
        <w:rPr>
          <w:rFonts w:hint="default"/>
          <w:lang w:val="en-US" w:eastAsia="zh-CN"/>
        </w:rPr>
      </w:pPr>
      <w:bookmarkStart w:id="104" w:name="OLE_LINK1"/>
      <w:r>
        <w:rPr>
          <w:rFonts w:hint="eastAsia"/>
        </w:rPr>
        <w:t>3.3.2.1</w:t>
      </w:r>
      <w:r>
        <w:rPr>
          <w:rFonts w:hint="eastAsia"/>
          <w:lang w:val="en-US" w:eastAsia="zh-CN"/>
        </w:rPr>
        <w:t>区域水环境质量现状</w:t>
      </w:r>
    </w:p>
    <w:bookmarkEnd w:id="104"/>
    <w:p>
      <w:pPr>
        <w:pStyle w:val="6"/>
        <w:ind w:firstLine="480"/>
      </w:pPr>
      <w:r>
        <w:t>本次评价</w:t>
      </w:r>
      <w:r>
        <w:rPr>
          <w:rFonts w:hint="eastAsia"/>
        </w:rPr>
        <w:t>根据《林芝市环境质量报告书》（2</w:t>
      </w:r>
      <w:r>
        <w:t>016~2020</w:t>
      </w:r>
      <w:r>
        <w:rPr>
          <w:rFonts w:hint="eastAsia"/>
        </w:rPr>
        <w:t>年）中监测数据对</w:t>
      </w:r>
      <w:r>
        <w:t>本规划区</w:t>
      </w:r>
      <w:r>
        <w:rPr>
          <w:rFonts w:hint="eastAsia"/>
          <w:lang w:val="en-US" w:eastAsia="zh-CN"/>
        </w:rPr>
        <w:t>水</w:t>
      </w:r>
      <w:r>
        <w:t>质量</w:t>
      </w:r>
      <w:r>
        <w:rPr>
          <w:rFonts w:hint="eastAsia"/>
        </w:rPr>
        <w:t>现状进行分析说明。</w:t>
      </w:r>
    </w:p>
    <w:p>
      <w:pPr>
        <w:pStyle w:val="6"/>
        <w:ind w:firstLine="482"/>
        <w:rPr>
          <w:rFonts w:hint="eastAsia"/>
          <w:b/>
          <w:bCs/>
        </w:rPr>
      </w:pPr>
      <w:r>
        <w:rPr>
          <w:rFonts w:hint="eastAsia"/>
          <w:b/>
          <w:bCs/>
        </w:rPr>
        <w:t>1、常规监测断面水环境质量现状</w:t>
      </w:r>
    </w:p>
    <w:p>
      <w:pPr>
        <w:pStyle w:val="6"/>
        <w:ind w:firstLine="480"/>
      </w:pPr>
      <w:r>
        <w:rPr>
          <w:rFonts w:hint="eastAsia"/>
        </w:rPr>
        <w:t>林芝市共设置地表水常规监测断面2</w:t>
      </w:r>
      <w:r>
        <w:t>0</w:t>
      </w:r>
      <w:r>
        <w:rPr>
          <w:rFonts w:hint="eastAsia"/>
        </w:rPr>
        <w:t>个，包括雅鲁藏布江干流9个，雅鲁藏布江支流尼洋河4个、帕隆藏布2个，桑昂曲宗3个，怒江1个，独龙江1个，具体布置及达标率统计情况如下：</w:t>
      </w:r>
    </w:p>
    <w:p>
      <w:pPr>
        <w:pStyle w:val="27"/>
      </w:pPr>
      <w:r>
        <w:t>表</w:t>
      </w:r>
      <w:r>
        <w:rPr>
          <w:rFonts w:hint="eastAsia"/>
        </w:rPr>
        <w:t>3.3-</w:t>
      </w:r>
      <w:r>
        <w:t>6</w:t>
      </w:r>
      <w:r>
        <w:rPr>
          <w:rFonts w:hint="eastAsia"/>
        </w:rPr>
        <w:t xml:space="preserve"> </w:t>
      </w:r>
      <w:r>
        <w:t xml:space="preserve"> </w:t>
      </w:r>
      <w:r>
        <w:rPr>
          <w:rFonts w:hint="eastAsia"/>
        </w:rPr>
        <w:t>林芝</w:t>
      </w:r>
      <w:r>
        <w:t>市</w:t>
      </w:r>
      <w:r>
        <w:rPr>
          <w:rFonts w:hint="eastAsia"/>
        </w:rPr>
        <w:t>水质常规监测断面基本情况表</w:t>
      </w:r>
    </w:p>
    <w:tbl>
      <w:tblPr>
        <w:tblStyle w:val="24"/>
        <w:tblW w:w="4998" w:type="pct"/>
        <w:tblInd w:w="0" w:type="dxa"/>
        <w:tblLayout w:type="fixed"/>
        <w:tblCellMar>
          <w:top w:w="0" w:type="dxa"/>
          <w:left w:w="0" w:type="dxa"/>
          <w:bottom w:w="0" w:type="dxa"/>
          <w:right w:w="0" w:type="dxa"/>
        </w:tblCellMar>
      </w:tblPr>
      <w:tblGrid>
        <w:gridCol w:w="691"/>
        <w:gridCol w:w="1255"/>
        <w:gridCol w:w="982"/>
        <w:gridCol w:w="2455"/>
        <w:gridCol w:w="2045"/>
        <w:gridCol w:w="905"/>
      </w:tblGrid>
      <w:tr>
        <w:tblPrEx>
          <w:tblCellMar>
            <w:top w:w="0" w:type="dxa"/>
            <w:left w:w="0" w:type="dxa"/>
            <w:bottom w:w="0" w:type="dxa"/>
            <w:right w:w="0" w:type="dxa"/>
          </w:tblCellMar>
        </w:tblPrEx>
        <w:trPr>
          <w:trHeight w:val="227" w:hRule="atLeast"/>
          <w:tblHeader/>
        </w:trPr>
        <w:tc>
          <w:tcPr>
            <w:tcW w:w="4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b/>
                <w:bCs/>
              </w:rPr>
            </w:pPr>
            <w:r>
              <w:rPr>
                <w:rFonts w:hint="eastAsia"/>
                <w:b/>
                <w:bCs/>
              </w:rPr>
              <w:t>水系</w:t>
            </w: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b/>
                <w:bCs/>
              </w:rPr>
            </w:pPr>
            <w:r>
              <w:rPr>
                <w:rFonts w:hint="eastAsia"/>
                <w:b/>
                <w:bCs/>
              </w:rPr>
              <w:t>河流名称</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b/>
                <w:bCs/>
              </w:rPr>
            </w:pPr>
            <w:r>
              <w:rPr>
                <w:rFonts w:hint="eastAsia"/>
                <w:b/>
                <w:bCs/>
              </w:rPr>
              <w:t>水质目标</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b/>
                <w:bCs/>
              </w:rPr>
            </w:pPr>
            <w:r>
              <w:rPr>
                <w:rFonts w:hint="eastAsia"/>
                <w:b/>
                <w:bCs/>
              </w:rPr>
              <w:t>断面位置/名称</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b/>
                <w:bCs/>
              </w:rPr>
            </w:pPr>
            <w:r>
              <w:rPr>
                <w:rFonts w:hint="eastAsia"/>
                <w:b/>
                <w:bCs/>
              </w:rPr>
              <w:t>断面级别</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b/>
                <w:bCs/>
              </w:rPr>
            </w:pPr>
            <w:r>
              <w:rPr>
                <w:rFonts w:hint="eastAsia"/>
                <w:b/>
                <w:bCs/>
              </w:rPr>
              <w:t>达标率</w:t>
            </w:r>
          </w:p>
        </w:tc>
      </w:tr>
      <w:tr>
        <w:tblPrEx>
          <w:tblCellMar>
            <w:top w:w="0" w:type="dxa"/>
            <w:left w:w="0" w:type="dxa"/>
            <w:bottom w:w="0" w:type="dxa"/>
            <w:right w:w="0" w:type="dxa"/>
          </w:tblCellMar>
        </w:tblPrEx>
        <w:trPr>
          <w:trHeight w:val="227" w:hRule="atLeast"/>
        </w:trPr>
        <w:tc>
          <w:tcPr>
            <w:tcW w:w="414"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雅鲁藏布江</w:t>
            </w: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雅鲁藏布江</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巴宜区米瑞乡</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国控、县控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雅鲁藏布江</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朗县仲达镇</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国控、县控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雅鲁藏布江</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朗县上游5</w:t>
            </w:r>
            <w:r>
              <w:rPr>
                <w:rFonts w:hint="default"/>
              </w:rPr>
              <w:t>00</w:t>
            </w:r>
            <w:r>
              <w:rPr>
                <w:rFonts w:hint="eastAsia"/>
              </w:rPr>
              <w:t>m</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雅鲁藏布江</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朗县下游1</w:t>
            </w:r>
            <w:r>
              <w:rPr>
                <w:rFonts w:hint="default"/>
              </w:rPr>
              <w:t>000</w:t>
            </w:r>
            <w:r>
              <w:rPr>
                <w:rFonts w:hint="eastAsia"/>
              </w:rPr>
              <w:t>m</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雅鲁藏布江</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米林县上游5</w:t>
            </w:r>
            <w:r>
              <w:rPr>
                <w:rFonts w:hint="default"/>
              </w:rPr>
              <w:t>00</w:t>
            </w:r>
            <w:r>
              <w:rPr>
                <w:rFonts w:hint="eastAsia"/>
              </w:rPr>
              <w:t>m</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雅鲁藏布江</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米林县下游1</w:t>
            </w:r>
            <w:r>
              <w:rPr>
                <w:rFonts w:hint="default"/>
              </w:rPr>
              <w:t>000</w:t>
            </w:r>
            <w:r>
              <w:rPr>
                <w:rFonts w:hint="eastAsia"/>
              </w:rPr>
              <w:t>m</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雅鲁藏布江</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背崩乡新解放大桥</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国控、县控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雅鲁藏布江</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墨脱县（鲁古吊桥）</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雅鲁藏布江</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墨脱县（德兴大桥）</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尼洋河</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巴宜区上游5</w:t>
            </w:r>
            <w:r>
              <w:rPr>
                <w:rFonts w:hint="default"/>
              </w:rPr>
              <w:t>00</w:t>
            </w:r>
            <w:r>
              <w:rPr>
                <w:rFonts w:hint="eastAsia"/>
              </w:rPr>
              <w:t>m</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尼洋河</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巴宜区下游1</w:t>
            </w:r>
            <w:r>
              <w:rPr>
                <w:rFonts w:hint="default"/>
              </w:rPr>
              <w:t>000</w:t>
            </w:r>
            <w:r>
              <w:rPr>
                <w:rFonts w:hint="eastAsia"/>
              </w:rPr>
              <w:t>m</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国控、县控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尼洋河</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工布江达县上游5</w:t>
            </w:r>
            <w:r>
              <w:rPr>
                <w:rFonts w:hint="default"/>
              </w:rPr>
              <w:t>00</w:t>
            </w:r>
            <w:r>
              <w:rPr>
                <w:rFonts w:hint="eastAsia"/>
              </w:rPr>
              <w:t>m</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尼洋河</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工布江达县下游1</w:t>
            </w:r>
            <w:r>
              <w:rPr>
                <w:rFonts w:hint="default"/>
              </w:rPr>
              <w:t>000</w:t>
            </w:r>
            <w:r>
              <w:rPr>
                <w:rFonts w:hint="eastAsia"/>
              </w:rPr>
              <w:t>m</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帕隆藏布</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波密县上游5</w:t>
            </w:r>
            <w:r>
              <w:rPr>
                <w:rFonts w:hint="default"/>
              </w:rPr>
              <w:t>00</w:t>
            </w:r>
            <w:r>
              <w:rPr>
                <w:rFonts w:hint="eastAsia"/>
              </w:rPr>
              <w:t>m</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国控、县控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帕隆藏布</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波密县下游1</w:t>
            </w:r>
            <w:r>
              <w:rPr>
                <w:rFonts w:hint="default"/>
              </w:rPr>
              <w:t>000</w:t>
            </w:r>
            <w:r>
              <w:rPr>
                <w:rFonts w:hint="eastAsia"/>
              </w:rPr>
              <w:t>m</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国控、县控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桑昂曲宗</w:t>
            </w: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桑昂曲宗</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察隅县上游（旺达桥）</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国控、县控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桑昂曲宗</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察隅县下游（龙岗吊桥）</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国控、县控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桑昂曲宗</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日玛桥上游5</w:t>
            </w:r>
            <w:r>
              <w:rPr>
                <w:rFonts w:hint="default"/>
              </w:rPr>
              <w:t>00</w:t>
            </w:r>
            <w:r>
              <w:rPr>
                <w:rFonts w:hint="eastAsia"/>
              </w:rPr>
              <w:t>米</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县控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怒江</w:t>
            </w: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怒江</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青拉桶</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国控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r>
        <w:tblPrEx>
          <w:tblCellMar>
            <w:top w:w="0" w:type="dxa"/>
            <w:left w:w="0" w:type="dxa"/>
            <w:bottom w:w="0" w:type="dxa"/>
            <w:right w:w="0" w:type="dxa"/>
          </w:tblCellMar>
        </w:tblPrEx>
        <w:trPr>
          <w:trHeight w:val="227" w:hRule="atLeast"/>
        </w:trPr>
        <w:tc>
          <w:tcPr>
            <w:tcW w:w="4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独龙江</w:t>
            </w:r>
          </w:p>
        </w:tc>
        <w:tc>
          <w:tcPr>
            <w:tcW w:w="75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独龙江</w:t>
            </w:r>
          </w:p>
        </w:tc>
        <w:tc>
          <w:tcPr>
            <w:tcW w:w="5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Ⅲ</w:t>
            </w:r>
          </w:p>
        </w:tc>
        <w:tc>
          <w:tcPr>
            <w:tcW w:w="147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蓝代</w:t>
            </w:r>
          </w:p>
        </w:tc>
        <w:tc>
          <w:tcPr>
            <w:tcW w:w="12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default"/>
              </w:rPr>
            </w:pPr>
            <w:r>
              <w:rPr>
                <w:rFonts w:hint="eastAsia"/>
              </w:rPr>
              <w:t>国控</w:t>
            </w:r>
          </w:p>
        </w:tc>
        <w:tc>
          <w:tcPr>
            <w:tcW w:w="54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8"/>
              <w:keepNext w:val="0"/>
              <w:keepLines w:val="0"/>
              <w:suppressLineNumbers w:val="0"/>
              <w:spacing w:beforeAutospacing="0" w:afterAutospacing="0"/>
              <w:ind w:left="0" w:right="0"/>
              <w:rPr>
                <w:rFonts w:hint="eastAsia"/>
              </w:rPr>
            </w:pPr>
            <w:r>
              <w:rPr>
                <w:rFonts w:hint="eastAsia"/>
              </w:rPr>
              <w:t>100%</w:t>
            </w:r>
          </w:p>
        </w:tc>
      </w:tr>
    </w:tbl>
    <w:p>
      <w:pPr>
        <w:pStyle w:val="6"/>
        <w:ind w:firstLine="480"/>
        <w:rPr>
          <w:rFonts w:hint="eastAsia"/>
        </w:rPr>
      </w:pPr>
      <w:r>
        <w:rPr>
          <w:rFonts w:hint="eastAsia"/>
        </w:rPr>
        <w:t>根据《林芝市环境质量报告书（2016~2020年）》，2020年辖区内雅鲁藏布江干流9个监测断面水质达标率均为100%，雅鲁藏布支流尼洋河4个监测断面水质达标率均为100%、帕隆藏布2个监测断面水质达标率均为100%，桑昂曲宗3个监测断面水质达标率均为100%,怒江1个监测断面水质达标率均为100%，独龙江1个监测断面水质达标率均为100%</w:t>
      </w:r>
    </w:p>
    <w:p>
      <w:pPr>
        <w:pStyle w:val="6"/>
        <w:ind w:firstLine="482"/>
        <w:rPr>
          <w:rFonts w:hint="eastAsia"/>
          <w:b/>
          <w:bCs/>
        </w:rPr>
      </w:pPr>
      <w:r>
        <w:rPr>
          <w:rFonts w:hint="eastAsia"/>
          <w:b/>
          <w:bCs/>
        </w:rPr>
        <w:t>2、林芝市中心城区及县城饮用水源地情况水环境质量现状</w:t>
      </w:r>
    </w:p>
    <w:p>
      <w:pPr>
        <w:pStyle w:val="6"/>
        <w:ind w:firstLine="480"/>
        <w:rPr>
          <w:rFonts w:hint="eastAsia"/>
        </w:rPr>
      </w:pPr>
      <w:r>
        <w:rPr>
          <w:rFonts w:hint="eastAsia"/>
        </w:rPr>
        <w:t>根据《林芝市环境质量报告书（2016~2020年）》2020年，中心城区3个饮用水水源地，林芝市第一水厂（地表水、备用水源）、林芝市第一水厂（地下水）、林芝市第二水厂（地下水）水质达标率均为100%。林芝市第一水厂（地表水、备用水源）达到或优于《地表水环境质量标准》(GB3838-2002)表1中I类标准限值。巴宜区一水厂（地下水）砷、铝、总a放射性达到《地下水质量标准》(GB/T14848-2017)中Ⅲ类标准限值要求，其余监测指标优于《地下水质量标准》(GB/T14848-2017)中Ⅲ类标准限值。巴宜区二水厂(地下水)监测点砷、总a放射性达到《地下水质量标准》(GB/T14848-2017)中Ⅲ类标准限值要求，其余监测指标优于《地下水质量标准》(GB/T14848-2017)中Ⅲ类标准限值。</w:t>
      </w:r>
    </w:p>
    <w:p>
      <w:pPr>
        <w:pStyle w:val="6"/>
        <w:ind w:firstLine="480"/>
        <w:rPr>
          <w:rFonts w:hint="eastAsia"/>
        </w:rPr>
      </w:pPr>
      <w:r>
        <w:rPr>
          <w:rFonts w:hint="eastAsia"/>
        </w:rPr>
        <w:t>2020年各县环保局对辖区内饮用水水源地进行了第三方委托监测，县城地表水、地下水饮用水水源地水质达标率均为100%。米林县南伊水源、波密县卓龙沟、察隅县吉太沟、察隅县巴拉沟、察隅县白冬曲沟、墨脱县卓玛拉山不容河等饮用水源地水质符合《地表水环境质量标准》(GB3838-2002)表1中Ⅱ类标准限值和表2表3限值要求。工布江达县果园沟、工布江达县扎西哲蚌沟水源地总氮到《地表水环境质量标准》(GB3838-2002)表1中Ⅲ类标准限值，其余监测指标符合《地表水环境质量标准》(GB3838-2002)表1中I类标准限值和表2表3限值要求。朗县新区水厂达到《地下水质量标准》(GB/T14848-2017)表1中Ⅱ类标准限值。</w:t>
      </w:r>
    </w:p>
    <w:p>
      <w:pPr>
        <w:pStyle w:val="27"/>
      </w:pPr>
      <w:r>
        <w:t>表</w:t>
      </w:r>
      <w:r>
        <w:rPr>
          <w:rFonts w:hint="eastAsia"/>
        </w:rPr>
        <w:t xml:space="preserve">3.3-7 </w:t>
      </w:r>
      <w:r>
        <w:t xml:space="preserve"> 2020</w:t>
      </w:r>
      <w:r>
        <w:rPr>
          <w:rFonts w:hint="eastAsia"/>
        </w:rPr>
        <w:t>年林芝市水源地水质达标情况统计表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350"/>
        <w:gridCol w:w="2291"/>
        <w:gridCol w:w="1214"/>
        <w:gridCol w:w="1420"/>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noWrap w:val="0"/>
            <w:vAlign w:val="center"/>
          </w:tcPr>
          <w:p>
            <w:pPr>
              <w:pStyle w:val="29"/>
              <w:keepNext w:val="0"/>
              <w:keepLines w:val="0"/>
              <w:suppressLineNumbers w:val="0"/>
              <w:spacing w:before="0" w:beforeAutospacing="0" w:after="0" w:afterAutospacing="0" w:line="276" w:lineRule="auto"/>
              <w:ind w:left="0" w:right="0"/>
              <w:rPr>
                <w:rFonts w:hint="default"/>
                <w:b/>
                <w:bCs/>
                <w:szCs w:val="21"/>
              </w:rPr>
            </w:pPr>
            <w:r>
              <w:rPr>
                <w:rFonts w:hint="eastAsia"/>
                <w:b/>
                <w:bCs/>
                <w:szCs w:val="21"/>
              </w:rPr>
              <w:t>序号</w:t>
            </w:r>
          </w:p>
        </w:tc>
        <w:tc>
          <w:tcPr>
            <w:tcW w:w="792" w:type="pct"/>
            <w:noWrap w:val="0"/>
            <w:vAlign w:val="center"/>
          </w:tcPr>
          <w:p>
            <w:pPr>
              <w:pStyle w:val="29"/>
              <w:keepNext w:val="0"/>
              <w:keepLines w:val="0"/>
              <w:suppressLineNumbers w:val="0"/>
              <w:spacing w:before="0" w:beforeAutospacing="0" w:after="0" w:afterAutospacing="0" w:line="276" w:lineRule="auto"/>
              <w:ind w:left="0" w:right="0"/>
              <w:rPr>
                <w:rFonts w:hint="default"/>
                <w:b/>
                <w:bCs/>
                <w:szCs w:val="21"/>
              </w:rPr>
            </w:pPr>
            <w:r>
              <w:rPr>
                <w:rFonts w:hint="eastAsia"/>
                <w:b/>
                <w:bCs/>
                <w:szCs w:val="21"/>
              </w:rPr>
              <w:t>县市</w:t>
            </w:r>
          </w:p>
        </w:tc>
        <w:tc>
          <w:tcPr>
            <w:tcW w:w="1344" w:type="pct"/>
            <w:noWrap w:val="0"/>
            <w:vAlign w:val="center"/>
          </w:tcPr>
          <w:p>
            <w:pPr>
              <w:pStyle w:val="29"/>
              <w:keepNext w:val="0"/>
              <w:keepLines w:val="0"/>
              <w:suppressLineNumbers w:val="0"/>
              <w:spacing w:before="0" w:beforeAutospacing="0" w:after="0" w:afterAutospacing="0" w:line="276" w:lineRule="auto"/>
              <w:ind w:left="0" w:right="0"/>
              <w:rPr>
                <w:rFonts w:hint="default"/>
                <w:b/>
                <w:bCs/>
                <w:szCs w:val="21"/>
              </w:rPr>
            </w:pPr>
            <w:r>
              <w:rPr>
                <w:rFonts w:hint="eastAsia"/>
                <w:b/>
                <w:bCs/>
                <w:szCs w:val="21"/>
              </w:rPr>
              <w:t>名称</w:t>
            </w:r>
          </w:p>
        </w:tc>
        <w:tc>
          <w:tcPr>
            <w:tcW w:w="712" w:type="pct"/>
            <w:noWrap w:val="0"/>
            <w:vAlign w:val="center"/>
          </w:tcPr>
          <w:p>
            <w:pPr>
              <w:pStyle w:val="29"/>
              <w:keepNext w:val="0"/>
              <w:keepLines w:val="0"/>
              <w:suppressLineNumbers w:val="0"/>
              <w:spacing w:before="0" w:beforeAutospacing="0" w:after="0" w:afterAutospacing="0" w:line="276" w:lineRule="auto"/>
              <w:ind w:left="0" w:right="0"/>
              <w:rPr>
                <w:rFonts w:hint="default"/>
                <w:b/>
                <w:bCs/>
                <w:szCs w:val="21"/>
              </w:rPr>
            </w:pPr>
            <w:r>
              <w:rPr>
                <w:rFonts w:hint="eastAsia"/>
                <w:b/>
                <w:bCs/>
                <w:szCs w:val="21"/>
              </w:rPr>
              <w:t>水源类型</w:t>
            </w:r>
          </w:p>
        </w:tc>
        <w:tc>
          <w:tcPr>
            <w:tcW w:w="833" w:type="pct"/>
            <w:noWrap w:val="0"/>
            <w:vAlign w:val="center"/>
          </w:tcPr>
          <w:p>
            <w:pPr>
              <w:pStyle w:val="29"/>
              <w:keepNext w:val="0"/>
              <w:keepLines w:val="0"/>
              <w:suppressLineNumbers w:val="0"/>
              <w:spacing w:before="0" w:beforeAutospacing="0" w:after="0" w:afterAutospacing="0" w:line="276" w:lineRule="auto"/>
              <w:ind w:left="0" w:right="0"/>
              <w:rPr>
                <w:rFonts w:hint="default"/>
                <w:b/>
                <w:bCs/>
                <w:szCs w:val="21"/>
              </w:rPr>
            </w:pPr>
            <w:r>
              <w:rPr>
                <w:rFonts w:hint="eastAsia"/>
                <w:b/>
                <w:bCs/>
                <w:szCs w:val="21"/>
              </w:rPr>
              <w:t>水质目标</w:t>
            </w:r>
          </w:p>
        </w:tc>
        <w:tc>
          <w:tcPr>
            <w:tcW w:w="834" w:type="pct"/>
            <w:noWrap w:val="0"/>
            <w:vAlign w:val="center"/>
          </w:tcPr>
          <w:p>
            <w:pPr>
              <w:pStyle w:val="29"/>
              <w:keepNext w:val="0"/>
              <w:keepLines w:val="0"/>
              <w:suppressLineNumbers w:val="0"/>
              <w:spacing w:before="0" w:beforeAutospacing="0" w:after="0" w:afterAutospacing="0" w:line="276" w:lineRule="auto"/>
              <w:ind w:left="0" w:right="0"/>
              <w:rPr>
                <w:rFonts w:hint="default"/>
                <w:b/>
                <w:bCs/>
                <w:szCs w:val="21"/>
              </w:rPr>
            </w:pPr>
            <w:r>
              <w:rPr>
                <w:rFonts w:hint="eastAsia"/>
                <w:b/>
                <w:bCs/>
                <w:szCs w:val="21"/>
              </w:rPr>
              <w:t>断面达标率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w:t>
            </w:r>
          </w:p>
        </w:tc>
        <w:tc>
          <w:tcPr>
            <w:tcW w:w="79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巴宜区</w:t>
            </w:r>
          </w:p>
        </w:tc>
        <w:tc>
          <w:tcPr>
            <w:tcW w:w="134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八一镇第一自来水厂</w:t>
            </w:r>
          </w:p>
        </w:tc>
        <w:tc>
          <w:tcPr>
            <w:tcW w:w="71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地表水</w:t>
            </w:r>
          </w:p>
        </w:tc>
        <w:tc>
          <w:tcPr>
            <w:tcW w:w="833"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default"/>
                <w:szCs w:val="21"/>
              </w:rPr>
              <w:t>Ⅲ</w:t>
            </w:r>
          </w:p>
        </w:tc>
        <w:tc>
          <w:tcPr>
            <w:tcW w:w="83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2</w:t>
            </w:r>
          </w:p>
        </w:tc>
        <w:tc>
          <w:tcPr>
            <w:tcW w:w="79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巴宜区</w:t>
            </w:r>
          </w:p>
        </w:tc>
        <w:tc>
          <w:tcPr>
            <w:tcW w:w="134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第一水厂地下水</w:t>
            </w:r>
          </w:p>
        </w:tc>
        <w:tc>
          <w:tcPr>
            <w:tcW w:w="71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地下水</w:t>
            </w:r>
          </w:p>
        </w:tc>
        <w:tc>
          <w:tcPr>
            <w:tcW w:w="833"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default"/>
                <w:szCs w:val="21"/>
              </w:rPr>
              <w:t>Ⅲ</w:t>
            </w:r>
          </w:p>
        </w:tc>
        <w:tc>
          <w:tcPr>
            <w:tcW w:w="834"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3</w:t>
            </w:r>
          </w:p>
        </w:tc>
        <w:tc>
          <w:tcPr>
            <w:tcW w:w="79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巴宜区</w:t>
            </w:r>
          </w:p>
        </w:tc>
        <w:tc>
          <w:tcPr>
            <w:tcW w:w="134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八一镇第二自来水厂</w:t>
            </w:r>
          </w:p>
        </w:tc>
        <w:tc>
          <w:tcPr>
            <w:tcW w:w="71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地下水</w:t>
            </w:r>
          </w:p>
        </w:tc>
        <w:tc>
          <w:tcPr>
            <w:tcW w:w="833"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default"/>
                <w:szCs w:val="21"/>
              </w:rPr>
              <w:t>Ⅲ</w:t>
            </w:r>
          </w:p>
        </w:tc>
        <w:tc>
          <w:tcPr>
            <w:tcW w:w="834"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4</w:t>
            </w:r>
          </w:p>
        </w:tc>
        <w:tc>
          <w:tcPr>
            <w:tcW w:w="79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工布江达县</w:t>
            </w:r>
          </w:p>
        </w:tc>
        <w:tc>
          <w:tcPr>
            <w:tcW w:w="134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果园沟水源地</w:t>
            </w:r>
          </w:p>
        </w:tc>
        <w:tc>
          <w:tcPr>
            <w:tcW w:w="71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地表水</w:t>
            </w:r>
          </w:p>
        </w:tc>
        <w:tc>
          <w:tcPr>
            <w:tcW w:w="833"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default"/>
                <w:szCs w:val="21"/>
              </w:rPr>
              <w:t>Ⅲ</w:t>
            </w:r>
          </w:p>
        </w:tc>
        <w:tc>
          <w:tcPr>
            <w:tcW w:w="83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5</w:t>
            </w:r>
          </w:p>
        </w:tc>
        <w:tc>
          <w:tcPr>
            <w:tcW w:w="79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工布江达县</w:t>
            </w:r>
          </w:p>
        </w:tc>
        <w:tc>
          <w:tcPr>
            <w:tcW w:w="134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扎西折蚌沟水源地</w:t>
            </w:r>
          </w:p>
        </w:tc>
        <w:tc>
          <w:tcPr>
            <w:tcW w:w="71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地表水</w:t>
            </w:r>
          </w:p>
        </w:tc>
        <w:tc>
          <w:tcPr>
            <w:tcW w:w="833"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default"/>
                <w:szCs w:val="21"/>
              </w:rPr>
              <w:t>Ⅲ</w:t>
            </w:r>
          </w:p>
        </w:tc>
        <w:tc>
          <w:tcPr>
            <w:tcW w:w="834"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6</w:t>
            </w:r>
          </w:p>
        </w:tc>
        <w:tc>
          <w:tcPr>
            <w:tcW w:w="79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朗县</w:t>
            </w:r>
          </w:p>
        </w:tc>
        <w:tc>
          <w:tcPr>
            <w:tcW w:w="134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新区水厂</w:t>
            </w:r>
          </w:p>
        </w:tc>
        <w:tc>
          <w:tcPr>
            <w:tcW w:w="71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地下水</w:t>
            </w:r>
          </w:p>
        </w:tc>
        <w:tc>
          <w:tcPr>
            <w:tcW w:w="833"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default"/>
                <w:szCs w:val="21"/>
              </w:rPr>
              <w:t>Ⅲ</w:t>
            </w:r>
          </w:p>
        </w:tc>
        <w:tc>
          <w:tcPr>
            <w:tcW w:w="834"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7</w:t>
            </w:r>
          </w:p>
        </w:tc>
        <w:tc>
          <w:tcPr>
            <w:tcW w:w="79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波密县</w:t>
            </w:r>
          </w:p>
        </w:tc>
        <w:tc>
          <w:tcPr>
            <w:tcW w:w="134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卓龙沟水源地</w:t>
            </w:r>
          </w:p>
        </w:tc>
        <w:tc>
          <w:tcPr>
            <w:tcW w:w="712"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地表水</w:t>
            </w:r>
          </w:p>
        </w:tc>
        <w:tc>
          <w:tcPr>
            <w:tcW w:w="833"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default"/>
                <w:szCs w:val="21"/>
              </w:rPr>
              <w:t>Ⅲ</w:t>
            </w:r>
          </w:p>
        </w:tc>
        <w:tc>
          <w:tcPr>
            <w:tcW w:w="834"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8</w:t>
            </w:r>
          </w:p>
        </w:tc>
        <w:tc>
          <w:tcPr>
            <w:tcW w:w="79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墨脱县</w:t>
            </w:r>
          </w:p>
        </w:tc>
        <w:tc>
          <w:tcPr>
            <w:tcW w:w="134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卓玛拉上厦不容河水源地</w:t>
            </w:r>
          </w:p>
        </w:tc>
        <w:tc>
          <w:tcPr>
            <w:tcW w:w="712"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地表水</w:t>
            </w:r>
          </w:p>
        </w:tc>
        <w:tc>
          <w:tcPr>
            <w:tcW w:w="833"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default"/>
                <w:szCs w:val="21"/>
              </w:rPr>
              <w:t>Ⅲ</w:t>
            </w:r>
          </w:p>
        </w:tc>
        <w:tc>
          <w:tcPr>
            <w:tcW w:w="834"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9</w:t>
            </w:r>
          </w:p>
        </w:tc>
        <w:tc>
          <w:tcPr>
            <w:tcW w:w="79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察隅县</w:t>
            </w:r>
          </w:p>
        </w:tc>
        <w:tc>
          <w:tcPr>
            <w:tcW w:w="134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白东曲水源地</w:t>
            </w:r>
          </w:p>
        </w:tc>
        <w:tc>
          <w:tcPr>
            <w:tcW w:w="712"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地表水</w:t>
            </w:r>
          </w:p>
        </w:tc>
        <w:tc>
          <w:tcPr>
            <w:tcW w:w="833"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default"/>
                <w:szCs w:val="21"/>
              </w:rPr>
              <w:t>Ⅲ</w:t>
            </w:r>
          </w:p>
        </w:tc>
        <w:tc>
          <w:tcPr>
            <w:tcW w:w="834"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10</w:t>
            </w:r>
          </w:p>
        </w:tc>
        <w:tc>
          <w:tcPr>
            <w:tcW w:w="79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察隅县</w:t>
            </w:r>
          </w:p>
        </w:tc>
        <w:tc>
          <w:tcPr>
            <w:tcW w:w="134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巴拉沟水源地</w:t>
            </w:r>
          </w:p>
        </w:tc>
        <w:tc>
          <w:tcPr>
            <w:tcW w:w="712"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地表水</w:t>
            </w:r>
          </w:p>
        </w:tc>
        <w:tc>
          <w:tcPr>
            <w:tcW w:w="833"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default"/>
                <w:szCs w:val="21"/>
              </w:rPr>
              <w:t>Ⅲ</w:t>
            </w:r>
          </w:p>
        </w:tc>
        <w:tc>
          <w:tcPr>
            <w:tcW w:w="834"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11</w:t>
            </w:r>
          </w:p>
        </w:tc>
        <w:tc>
          <w:tcPr>
            <w:tcW w:w="79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察隅县</w:t>
            </w:r>
          </w:p>
        </w:tc>
        <w:tc>
          <w:tcPr>
            <w:tcW w:w="134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吉太沟（现有）水源地</w:t>
            </w:r>
          </w:p>
        </w:tc>
        <w:tc>
          <w:tcPr>
            <w:tcW w:w="712"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地表水</w:t>
            </w:r>
          </w:p>
        </w:tc>
        <w:tc>
          <w:tcPr>
            <w:tcW w:w="833"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default"/>
                <w:szCs w:val="21"/>
              </w:rPr>
              <w:t>Ⅲ</w:t>
            </w:r>
          </w:p>
        </w:tc>
        <w:tc>
          <w:tcPr>
            <w:tcW w:w="834"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2</w:t>
            </w:r>
          </w:p>
        </w:tc>
        <w:tc>
          <w:tcPr>
            <w:tcW w:w="792"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米林县</w:t>
            </w:r>
          </w:p>
        </w:tc>
        <w:tc>
          <w:tcPr>
            <w:tcW w:w="1344"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南伊河水源地</w:t>
            </w:r>
          </w:p>
        </w:tc>
        <w:tc>
          <w:tcPr>
            <w:tcW w:w="712"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地表水</w:t>
            </w:r>
          </w:p>
        </w:tc>
        <w:tc>
          <w:tcPr>
            <w:tcW w:w="833" w:type="pct"/>
            <w:noWrap w:val="0"/>
            <w:vAlign w:val="center"/>
          </w:tcPr>
          <w:p>
            <w:pPr>
              <w:pStyle w:val="29"/>
              <w:keepNext w:val="0"/>
              <w:keepLines w:val="0"/>
              <w:suppressLineNumbers w:val="0"/>
              <w:spacing w:before="0" w:beforeAutospacing="0" w:after="0" w:afterAutospacing="0" w:line="276" w:lineRule="auto"/>
              <w:ind w:left="0" w:right="0"/>
              <w:rPr>
                <w:rFonts w:hint="default"/>
                <w:szCs w:val="21"/>
              </w:rPr>
            </w:pPr>
            <w:r>
              <w:rPr>
                <w:rFonts w:hint="default"/>
                <w:szCs w:val="21"/>
              </w:rPr>
              <w:t>Ⅲ</w:t>
            </w:r>
          </w:p>
        </w:tc>
        <w:tc>
          <w:tcPr>
            <w:tcW w:w="834" w:type="pct"/>
            <w:noWrap w:val="0"/>
            <w:vAlign w:val="top"/>
          </w:tcPr>
          <w:p>
            <w:pPr>
              <w:pStyle w:val="29"/>
              <w:keepNext w:val="0"/>
              <w:keepLines w:val="0"/>
              <w:suppressLineNumbers w:val="0"/>
              <w:spacing w:before="0" w:beforeAutospacing="0" w:after="0" w:afterAutospacing="0" w:line="276" w:lineRule="auto"/>
              <w:ind w:left="0" w:right="0"/>
              <w:rPr>
                <w:rFonts w:hint="default"/>
                <w:szCs w:val="21"/>
              </w:rPr>
            </w:pPr>
            <w:r>
              <w:rPr>
                <w:rFonts w:hint="eastAsia"/>
                <w:szCs w:val="21"/>
              </w:rPr>
              <w:t>1</w:t>
            </w:r>
            <w:r>
              <w:rPr>
                <w:rFonts w:hint="default"/>
                <w:szCs w:val="21"/>
              </w:rPr>
              <w:t>00%</w:t>
            </w:r>
          </w:p>
        </w:tc>
      </w:tr>
    </w:tbl>
    <w:p>
      <w:pPr>
        <w:pStyle w:val="6"/>
        <w:ind w:firstLine="480"/>
        <w:rPr>
          <w:rFonts w:hint="eastAsia"/>
        </w:rPr>
      </w:pPr>
      <w:r>
        <w:rPr>
          <w:rFonts w:hint="eastAsia"/>
        </w:rPr>
        <w:t>根据《林芝市环境质量报告书（2</w:t>
      </w:r>
      <w:r>
        <w:t>016~2020</w:t>
      </w:r>
      <w:r>
        <w:rPr>
          <w:rFonts w:hint="eastAsia"/>
        </w:rPr>
        <w:t>年）》，2</w:t>
      </w:r>
      <w:r>
        <w:t>020</w:t>
      </w:r>
      <w:r>
        <w:rPr>
          <w:rFonts w:hint="eastAsia"/>
        </w:rPr>
        <w:t>年林芝市各县区饮用水水源地水质均满足水质目标要求，水质状况良好。</w:t>
      </w:r>
    </w:p>
    <w:p>
      <w:pPr>
        <w:pStyle w:val="2"/>
        <w:rPr>
          <w:rFonts w:hint="eastAsia"/>
        </w:rPr>
      </w:pPr>
      <w:r>
        <w:rPr>
          <w:rFonts w:hint="eastAsia"/>
        </w:rPr>
        <w:t>3.3.2.</w:t>
      </w:r>
      <w:r>
        <w:rPr>
          <w:rFonts w:hint="eastAsia"/>
          <w:lang w:val="en-US" w:eastAsia="zh-CN"/>
        </w:rPr>
        <w:t>2</w:t>
      </w:r>
      <w:r>
        <w:rPr>
          <w:rFonts w:hint="eastAsia"/>
        </w:rPr>
        <w:t>地表水环境质量变化趋势分析</w:t>
      </w:r>
    </w:p>
    <w:p>
      <w:pPr>
        <w:pStyle w:val="6"/>
        <w:ind w:firstLine="482"/>
        <w:rPr>
          <w:rFonts w:hint="eastAsia"/>
          <w:b/>
          <w:bCs/>
        </w:rPr>
      </w:pPr>
      <w:r>
        <w:rPr>
          <w:rFonts w:hint="eastAsia"/>
          <w:b/>
          <w:bCs/>
        </w:rPr>
        <w:t>1、常规监测断面水环境质量变化趋势分析</w:t>
      </w:r>
    </w:p>
    <w:p>
      <w:pPr>
        <w:pStyle w:val="6"/>
        <w:ind w:firstLine="480"/>
      </w:pPr>
      <w:r>
        <w:rPr>
          <w:rFonts w:hint="eastAsia"/>
        </w:rPr>
        <w:t>根据《林芝市环境质量报告书（2</w:t>
      </w:r>
      <w:r>
        <w:t>016~2020</w:t>
      </w:r>
      <w:r>
        <w:rPr>
          <w:rFonts w:hint="eastAsia"/>
        </w:rPr>
        <w:t>年）》，林芝市2</w:t>
      </w:r>
      <w:r>
        <w:t>016~2020</w:t>
      </w:r>
      <w:r>
        <w:rPr>
          <w:rFonts w:hint="eastAsia"/>
        </w:rPr>
        <w:t>年林芝市常规监测断面水环境质量状况见表3.3-8。根据表3.3-8所示，2016~2020年间雅鲁藏布江、尼洋河、帕隆藏布、桑昂曲宗以Ⅱ类水质居多，仅个别月份水质达到Ⅲ类水质，怒江、独龙江水质达到Ⅱ类水质。各大河流水质保持稳定达标。水质无明显变化。</w:t>
      </w:r>
    </w:p>
    <w:p>
      <w:pPr>
        <w:pStyle w:val="6"/>
        <w:ind w:firstLine="480"/>
        <w:rPr>
          <w:rFonts w:hint="eastAsia"/>
        </w:rPr>
        <w:sectPr>
          <w:pgSz w:w="11906" w:h="16838"/>
          <w:pgMar w:top="1440" w:right="1800" w:bottom="1440" w:left="1800" w:header="851" w:footer="992" w:gutter="0"/>
          <w:pgNumType w:fmt="decimal"/>
          <w:cols w:space="720" w:num="1"/>
          <w:docGrid w:type="lines" w:linePitch="312" w:charSpace="0"/>
        </w:sectPr>
      </w:pPr>
    </w:p>
    <w:p>
      <w:pPr>
        <w:pStyle w:val="27"/>
        <w:spacing w:before="0"/>
      </w:pPr>
      <w:r>
        <w:t>表</w:t>
      </w:r>
      <w:r>
        <w:rPr>
          <w:rFonts w:hint="eastAsia"/>
        </w:rPr>
        <w:t xml:space="preserve">3.3-8 </w:t>
      </w:r>
      <w:r>
        <w:t xml:space="preserve"> </w:t>
      </w:r>
      <w:r>
        <w:rPr>
          <w:rFonts w:hint="eastAsia"/>
        </w:rPr>
        <w:t>2016~2020林芝</w:t>
      </w:r>
      <w:r>
        <w:t>市</w:t>
      </w:r>
      <w:r>
        <w:rPr>
          <w:rFonts w:hint="eastAsia"/>
        </w:rPr>
        <w:t>国控断面水质达标情况表</w:t>
      </w:r>
    </w:p>
    <w:tbl>
      <w:tblPr>
        <w:tblStyle w:val="24"/>
        <w:tblW w:w="5195" w:type="pct"/>
        <w:tblInd w:w="0" w:type="dxa"/>
        <w:tblLayout w:type="fixed"/>
        <w:tblCellMar>
          <w:top w:w="0" w:type="dxa"/>
          <w:left w:w="0" w:type="dxa"/>
          <w:bottom w:w="0" w:type="dxa"/>
          <w:right w:w="0" w:type="dxa"/>
        </w:tblCellMar>
      </w:tblPr>
      <w:tblGrid>
        <w:gridCol w:w="1495"/>
        <w:gridCol w:w="2271"/>
        <w:gridCol w:w="533"/>
        <w:gridCol w:w="969"/>
        <w:gridCol w:w="969"/>
        <w:gridCol w:w="969"/>
        <w:gridCol w:w="969"/>
        <w:gridCol w:w="969"/>
        <w:gridCol w:w="969"/>
        <w:gridCol w:w="968"/>
        <w:gridCol w:w="968"/>
        <w:gridCol w:w="968"/>
        <w:gridCol w:w="968"/>
        <w:gridCol w:w="549"/>
      </w:tblGrid>
      <w:tr>
        <w:tblPrEx>
          <w:tblCellMar>
            <w:top w:w="0" w:type="dxa"/>
            <w:left w:w="0" w:type="dxa"/>
            <w:bottom w:w="0" w:type="dxa"/>
            <w:right w:w="0" w:type="dxa"/>
          </w:tblCellMar>
        </w:tblPrEx>
        <w:trPr>
          <w:trHeight w:val="285" w:hRule="atLeast"/>
        </w:trPr>
        <w:tc>
          <w:tcPr>
            <w:tcW w:w="51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河流名称</w:t>
            </w:r>
          </w:p>
        </w:tc>
        <w:tc>
          <w:tcPr>
            <w:tcW w:w="780"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断面名称</w:t>
            </w:r>
          </w:p>
        </w:tc>
        <w:tc>
          <w:tcPr>
            <w:tcW w:w="183"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目标水质</w:t>
            </w:r>
          </w:p>
        </w:tc>
        <w:tc>
          <w:tcPr>
            <w:tcW w:w="1665" w:type="pct"/>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水质类别</w:t>
            </w:r>
          </w:p>
        </w:tc>
        <w:tc>
          <w:tcPr>
            <w:tcW w:w="1665" w:type="pct"/>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b/>
                <w:bCs/>
              </w:rPr>
            </w:pPr>
            <w:r>
              <w:rPr>
                <w:rFonts w:hint="eastAsia"/>
                <w:b/>
                <w:bCs/>
              </w:rPr>
              <w:t>达标率</w:t>
            </w:r>
          </w:p>
        </w:tc>
        <w:tc>
          <w:tcPr>
            <w:tcW w:w="189"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达标情况</w:t>
            </w:r>
          </w:p>
        </w:tc>
      </w:tr>
      <w:tr>
        <w:tblPrEx>
          <w:tblCellMar>
            <w:top w:w="0" w:type="dxa"/>
            <w:left w:w="0" w:type="dxa"/>
            <w:bottom w:w="0" w:type="dxa"/>
            <w:right w:w="0" w:type="dxa"/>
          </w:tblCellMar>
        </w:tblPrEx>
        <w:trPr>
          <w:trHeight w:val="285" w:hRule="atLeast"/>
        </w:trPr>
        <w:tc>
          <w:tcPr>
            <w:tcW w:w="51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b/>
                <w:bCs/>
              </w:rPr>
            </w:pPr>
          </w:p>
        </w:tc>
        <w:tc>
          <w:tcPr>
            <w:tcW w:w="780"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b/>
                <w:bCs/>
              </w:rPr>
            </w:pPr>
          </w:p>
        </w:tc>
        <w:tc>
          <w:tcPr>
            <w:tcW w:w="183"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b/>
                <w:bCs/>
              </w:rPr>
            </w:pP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b/>
                <w:bCs/>
              </w:rPr>
            </w:pPr>
            <w:r>
              <w:rPr>
                <w:rFonts w:hint="eastAsia"/>
                <w:b/>
                <w:bCs/>
              </w:rPr>
              <w:t>2016年</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b/>
                <w:bCs/>
              </w:rPr>
            </w:pPr>
            <w:r>
              <w:rPr>
                <w:rFonts w:hint="eastAsia"/>
                <w:b/>
                <w:bCs/>
              </w:rPr>
              <w:t>2017年</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b/>
                <w:bCs/>
              </w:rPr>
            </w:pPr>
            <w:r>
              <w:rPr>
                <w:rFonts w:hint="eastAsia"/>
                <w:b/>
                <w:bCs/>
              </w:rPr>
              <w:t>2018年</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b/>
                <w:bCs/>
              </w:rPr>
            </w:pPr>
            <w:r>
              <w:rPr>
                <w:rFonts w:hint="eastAsia"/>
                <w:b/>
                <w:bCs/>
              </w:rPr>
              <w:t>2019年</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b/>
                <w:bCs/>
              </w:rPr>
            </w:pPr>
            <w:r>
              <w:rPr>
                <w:rFonts w:hint="eastAsia"/>
                <w:b/>
                <w:bCs/>
              </w:rPr>
              <w:t>2020年</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b/>
                <w:bCs/>
              </w:rPr>
            </w:pPr>
            <w:r>
              <w:rPr>
                <w:rFonts w:hint="eastAsia"/>
                <w:b/>
                <w:bCs/>
              </w:rPr>
              <w:t>2016年</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2017年</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2018年</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2019年</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2020年</w:t>
            </w:r>
          </w:p>
        </w:tc>
        <w:tc>
          <w:tcPr>
            <w:tcW w:w="189"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b/>
                <w:bCs/>
              </w:rPr>
            </w:pPr>
          </w:p>
        </w:tc>
      </w:tr>
      <w:tr>
        <w:tblPrEx>
          <w:tblCellMar>
            <w:top w:w="0" w:type="dxa"/>
            <w:left w:w="0" w:type="dxa"/>
            <w:bottom w:w="0" w:type="dxa"/>
            <w:right w:w="0" w:type="dxa"/>
          </w:tblCellMar>
        </w:tblPrEx>
        <w:trPr>
          <w:trHeight w:val="316"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河流名称</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巴宜区米瑞乡</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392"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雅鲁藏布江</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朗县仲达镇</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70"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雅鲁藏布江</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朗县上游5</w:t>
            </w:r>
            <w:r>
              <w:rPr>
                <w:rFonts w:hint="default"/>
              </w:rPr>
              <w:t>00</w:t>
            </w:r>
            <w:r>
              <w:rPr>
                <w:rFonts w:hint="eastAsia"/>
              </w:rPr>
              <w:t>m</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36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雅鲁藏布江</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朗县下游1</w:t>
            </w:r>
            <w:r>
              <w:rPr>
                <w:rFonts w:hint="default"/>
              </w:rPr>
              <w:t>000</w:t>
            </w:r>
            <w:r>
              <w:rPr>
                <w:rFonts w:hint="eastAsia"/>
              </w:rPr>
              <w:t>m</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4"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雅鲁藏布江</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米林县上游5</w:t>
            </w:r>
            <w:r>
              <w:rPr>
                <w:rFonts w:hint="default"/>
              </w:rPr>
              <w:t>00</w:t>
            </w:r>
            <w:r>
              <w:rPr>
                <w:rFonts w:hint="eastAsia"/>
              </w:rPr>
              <w:t>m</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雅鲁藏布江</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米林县下游1</w:t>
            </w:r>
            <w:r>
              <w:rPr>
                <w:rFonts w:hint="default"/>
              </w:rPr>
              <w:t>000</w:t>
            </w:r>
            <w:r>
              <w:rPr>
                <w:rFonts w:hint="eastAsia"/>
              </w:rPr>
              <w:t>m</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308"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雅鲁藏布江</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背崩乡新解放大桥</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雅鲁藏布江</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墨脱县（鲁古吊桥）</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雅鲁藏布江</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墨脱县（德兴大桥）</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雅鲁藏布江</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巴宜区上游5</w:t>
            </w:r>
            <w:r>
              <w:rPr>
                <w:rFonts w:hint="default"/>
              </w:rPr>
              <w:t>00</w:t>
            </w:r>
            <w:r>
              <w:rPr>
                <w:rFonts w:hint="eastAsia"/>
              </w:rPr>
              <w:t>m</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尼洋河</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巴宜区下游1</w:t>
            </w:r>
            <w:r>
              <w:rPr>
                <w:rFonts w:hint="default"/>
              </w:rPr>
              <w:t>000</w:t>
            </w:r>
            <w:r>
              <w:rPr>
                <w:rFonts w:hint="eastAsia"/>
              </w:rPr>
              <w:t>m</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尼洋河</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工布江达县上游5</w:t>
            </w:r>
            <w:r>
              <w:rPr>
                <w:rFonts w:hint="default"/>
              </w:rPr>
              <w:t>00</w:t>
            </w:r>
            <w:r>
              <w:rPr>
                <w:rFonts w:hint="eastAsia"/>
              </w:rPr>
              <w:t>m</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尼洋河</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工布江达县下游1</w:t>
            </w:r>
            <w:r>
              <w:rPr>
                <w:rFonts w:hint="default"/>
              </w:rPr>
              <w:t>000</w:t>
            </w:r>
            <w:r>
              <w:rPr>
                <w:rFonts w:hint="eastAsia"/>
              </w:rPr>
              <w:t>m</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帕隆藏布</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波密县上游5</w:t>
            </w:r>
            <w:r>
              <w:rPr>
                <w:rFonts w:hint="default"/>
              </w:rPr>
              <w:t>00</w:t>
            </w:r>
            <w:r>
              <w:rPr>
                <w:rFonts w:hint="eastAsia"/>
              </w:rPr>
              <w:t>m</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帕隆藏布</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波密县下游1</w:t>
            </w:r>
            <w:r>
              <w:rPr>
                <w:rFonts w:hint="default"/>
              </w:rPr>
              <w:t>000</w:t>
            </w:r>
            <w:r>
              <w:rPr>
                <w:rFonts w:hint="eastAsia"/>
              </w:rPr>
              <w:t>m</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帕隆藏布</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察隅县上游（旺达桥）</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桑昂曲宗</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察隅县下游（龙岗吊桥）</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桑昂曲宗</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日玛桥上游5</w:t>
            </w:r>
            <w:r>
              <w:rPr>
                <w:rFonts w:hint="default"/>
              </w:rPr>
              <w:t>00</w:t>
            </w:r>
            <w:r>
              <w:rPr>
                <w:rFonts w:hint="eastAsia"/>
              </w:rPr>
              <w:t>米</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II</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桑昂曲宗</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青拉桶</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r>
        <w:tblPrEx>
          <w:tblCellMar>
            <w:top w:w="0" w:type="dxa"/>
            <w:left w:w="0" w:type="dxa"/>
            <w:bottom w:w="0" w:type="dxa"/>
            <w:right w:w="0" w:type="dxa"/>
          </w:tblCellMar>
        </w:tblPrEx>
        <w:trPr>
          <w:trHeight w:val="285" w:hRule="atLeast"/>
        </w:trPr>
        <w:tc>
          <w:tcPr>
            <w:tcW w:w="5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怒江</w:t>
            </w:r>
          </w:p>
        </w:tc>
        <w:tc>
          <w:tcPr>
            <w:tcW w:w="78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蓝代</w:t>
            </w:r>
          </w:p>
        </w:tc>
        <w:tc>
          <w:tcPr>
            <w:tcW w:w="1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Ⅲ</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eastAsia"/>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w:t>
            </w:r>
          </w:p>
        </w:tc>
        <w:tc>
          <w:tcPr>
            <w:tcW w:w="3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default"/>
              </w:rPr>
              <w:t>100%</w:t>
            </w:r>
          </w:p>
        </w:tc>
        <w:tc>
          <w:tcPr>
            <w:tcW w:w="18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29"/>
              <w:keepNext w:val="0"/>
              <w:keepLines w:val="0"/>
              <w:suppressLineNumbers w:val="0"/>
              <w:spacing w:before="0" w:beforeAutospacing="0" w:after="0" w:afterAutospacing="0"/>
              <w:ind w:left="0" w:right="0"/>
              <w:rPr>
                <w:rFonts w:hint="default"/>
              </w:rPr>
            </w:pPr>
            <w:r>
              <w:rPr>
                <w:rFonts w:hint="eastAsia"/>
              </w:rPr>
              <w:t>达标</w:t>
            </w:r>
          </w:p>
        </w:tc>
      </w:tr>
    </w:tbl>
    <w:p>
      <w:pPr>
        <w:pStyle w:val="34"/>
        <w:jc w:val="both"/>
        <w:sectPr>
          <w:pgSz w:w="16838" w:h="11906" w:orient="landscape"/>
          <w:pgMar w:top="1800" w:right="1440" w:bottom="1800" w:left="1440" w:header="851" w:footer="992" w:gutter="0"/>
          <w:pgNumType w:fmt="decimal"/>
          <w:cols w:space="720" w:num="1"/>
          <w:docGrid w:type="lines" w:linePitch="312" w:charSpace="0"/>
        </w:sectPr>
      </w:pPr>
      <w:r>
        <w:rPr>
          <w:rFonts w:hint="eastAsia"/>
        </w:rPr>
        <w:t>注：青拉桶、蓝代于2020年确定为国控断面，仅有2020年监测数据。</w:t>
      </w:r>
    </w:p>
    <w:p>
      <w:pPr>
        <w:pStyle w:val="6"/>
        <w:numPr>
          <w:ilvl w:val="0"/>
          <w:numId w:val="8"/>
        </w:numPr>
        <w:ind w:firstLine="482"/>
        <w:rPr>
          <w:rFonts w:hint="eastAsia"/>
          <w:b/>
          <w:bCs/>
        </w:rPr>
      </w:pPr>
      <w:r>
        <w:rPr>
          <w:rFonts w:hint="eastAsia"/>
          <w:b/>
          <w:bCs/>
        </w:rPr>
        <w:t>林芝市中心城区及县城饮用水源地水环境质量变化趋势分析</w:t>
      </w:r>
    </w:p>
    <w:p>
      <w:pPr>
        <w:pStyle w:val="6"/>
        <w:ind w:firstLine="480"/>
      </w:pPr>
      <w:r>
        <w:rPr>
          <w:rFonts w:hint="eastAsia"/>
        </w:rPr>
        <w:t>根据《林芝市环境质量报告书（2</w:t>
      </w:r>
      <w:r>
        <w:t>016~2020</w:t>
      </w:r>
      <w:r>
        <w:rPr>
          <w:rFonts w:hint="eastAsia"/>
        </w:rPr>
        <w:t>年）》，林芝市2</w:t>
      </w:r>
      <w:r>
        <w:t>016~2020</w:t>
      </w:r>
      <w:r>
        <w:rPr>
          <w:rFonts w:hint="eastAsia"/>
        </w:rPr>
        <w:t>年各区县饮用水水源地水质达标情况见下表。</w:t>
      </w:r>
    </w:p>
    <w:p>
      <w:pPr>
        <w:pStyle w:val="27"/>
      </w:pPr>
      <w:r>
        <w:t>表</w:t>
      </w:r>
      <w:r>
        <w:rPr>
          <w:rFonts w:hint="eastAsia"/>
        </w:rPr>
        <w:t xml:space="preserve">3.3-9 </w:t>
      </w:r>
      <w:r>
        <w:t xml:space="preserve"> 2016</w:t>
      </w:r>
      <w:r>
        <w:rPr>
          <w:rFonts w:hint="eastAsia"/>
        </w:rPr>
        <w:t>~</w:t>
      </w:r>
      <w:r>
        <w:t>2020</w:t>
      </w:r>
      <w:r>
        <w:rPr>
          <w:rFonts w:hint="eastAsia"/>
        </w:rPr>
        <w:t>年林芝市水源地水质监测结果</w:t>
      </w:r>
    </w:p>
    <w:tbl>
      <w:tblPr>
        <w:tblStyle w:val="24"/>
        <w:tblW w:w="8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994"/>
        <w:gridCol w:w="1756"/>
        <w:gridCol w:w="873"/>
        <w:gridCol w:w="927"/>
        <w:gridCol w:w="927"/>
        <w:gridCol w:w="927"/>
        <w:gridCol w:w="927"/>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0" w:type="auto"/>
            <w:vMerge w:val="restart"/>
            <w:noWrap w:val="0"/>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序号</w:t>
            </w:r>
          </w:p>
        </w:tc>
        <w:tc>
          <w:tcPr>
            <w:tcW w:w="0" w:type="auto"/>
            <w:vMerge w:val="restart"/>
            <w:noWrap w:val="0"/>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县市</w:t>
            </w:r>
          </w:p>
        </w:tc>
        <w:tc>
          <w:tcPr>
            <w:tcW w:w="1756" w:type="dxa"/>
            <w:vMerge w:val="restart"/>
            <w:noWrap w:val="0"/>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名称</w:t>
            </w:r>
          </w:p>
        </w:tc>
        <w:tc>
          <w:tcPr>
            <w:tcW w:w="873" w:type="dxa"/>
            <w:vMerge w:val="restart"/>
            <w:noWrap w:val="0"/>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水源类型</w:t>
            </w:r>
          </w:p>
        </w:tc>
        <w:tc>
          <w:tcPr>
            <w:tcW w:w="4637" w:type="dxa"/>
            <w:gridSpan w:val="5"/>
            <w:noWrap w:val="0"/>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达标率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29"/>
              <w:keepNext w:val="0"/>
              <w:keepLines w:val="0"/>
              <w:suppressLineNumbers w:val="0"/>
              <w:spacing w:before="0" w:beforeAutospacing="0" w:after="0" w:afterAutospacing="0"/>
              <w:ind w:left="0" w:right="0"/>
              <w:rPr>
                <w:rFonts w:hint="default"/>
                <w:b/>
                <w:bCs/>
              </w:rPr>
            </w:pPr>
          </w:p>
        </w:tc>
        <w:tc>
          <w:tcPr>
            <w:tcW w:w="0" w:type="auto"/>
            <w:vMerge w:val="continue"/>
            <w:noWrap w:val="0"/>
            <w:vAlign w:val="center"/>
          </w:tcPr>
          <w:p>
            <w:pPr>
              <w:pStyle w:val="29"/>
              <w:keepNext w:val="0"/>
              <w:keepLines w:val="0"/>
              <w:suppressLineNumbers w:val="0"/>
              <w:spacing w:before="0" w:beforeAutospacing="0" w:after="0" w:afterAutospacing="0"/>
              <w:ind w:left="0" w:right="0"/>
              <w:rPr>
                <w:rFonts w:hint="default"/>
                <w:b/>
                <w:bCs/>
              </w:rPr>
            </w:pPr>
          </w:p>
        </w:tc>
        <w:tc>
          <w:tcPr>
            <w:tcW w:w="1756" w:type="dxa"/>
            <w:vMerge w:val="continue"/>
            <w:noWrap w:val="0"/>
            <w:vAlign w:val="center"/>
          </w:tcPr>
          <w:p>
            <w:pPr>
              <w:pStyle w:val="29"/>
              <w:keepNext w:val="0"/>
              <w:keepLines w:val="0"/>
              <w:suppressLineNumbers w:val="0"/>
              <w:spacing w:before="0" w:beforeAutospacing="0" w:after="0" w:afterAutospacing="0"/>
              <w:ind w:left="0" w:right="0"/>
              <w:rPr>
                <w:rFonts w:hint="default"/>
                <w:b/>
                <w:bCs/>
              </w:rPr>
            </w:pPr>
          </w:p>
        </w:tc>
        <w:tc>
          <w:tcPr>
            <w:tcW w:w="873" w:type="dxa"/>
            <w:vMerge w:val="continue"/>
            <w:noWrap w:val="0"/>
            <w:vAlign w:val="center"/>
          </w:tcPr>
          <w:p>
            <w:pPr>
              <w:pStyle w:val="29"/>
              <w:keepNext w:val="0"/>
              <w:keepLines w:val="0"/>
              <w:suppressLineNumbers w:val="0"/>
              <w:spacing w:before="0" w:beforeAutospacing="0" w:after="0" w:afterAutospacing="0"/>
              <w:ind w:left="0" w:right="0"/>
              <w:rPr>
                <w:rFonts w:hint="default"/>
                <w:b/>
                <w:bCs/>
              </w:rPr>
            </w:pPr>
          </w:p>
        </w:tc>
        <w:tc>
          <w:tcPr>
            <w:tcW w:w="927" w:type="dxa"/>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2016</w:t>
            </w:r>
            <w:r>
              <w:rPr>
                <w:rFonts w:hint="eastAsia"/>
                <w:b/>
                <w:bCs/>
              </w:rPr>
              <w:t>年</w:t>
            </w:r>
          </w:p>
        </w:tc>
        <w:tc>
          <w:tcPr>
            <w:tcW w:w="927" w:type="dxa"/>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2017</w:t>
            </w:r>
            <w:r>
              <w:rPr>
                <w:rFonts w:hint="eastAsia"/>
                <w:b/>
                <w:bCs/>
              </w:rPr>
              <w:t>年</w:t>
            </w:r>
          </w:p>
        </w:tc>
        <w:tc>
          <w:tcPr>
            <w:tcW w:w="927" w:type="dxa"/>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2018</w:t>
            </w:r>
            <w:r>
              <w:rPr>
                <w:rFonts w:hint="eastAsia"/>
                <w:b/>
                <w:bCs/>
              </w:rPr>
              <w:t>年</w:t>
            </w:r>
          </w:p>
        </w:tc>
        <w:tc>
          <w:tcPr>
            <w:tcW w:w="927" w:type="dxa"/>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2019</w:t>
            </w:r>
            <w:r>
              <w:rPr>
                <w:rFonts w:hint="eastAsia"/>
                <w:b/>
                <w:bCs/>
              </w:rPr>
              <w:t>年</w:t>
            </w:r>
          </w:p>
        </w:tc>
        <w:tc>
          <w:tcPr>
            <w:tcW w:w="929" w:type="dxa"/>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2020</w:t>
            </w:r>
            <w:r>
              <w:rPr>
                <w:rFonts w:hint="eastAsia"/>
                <w:b/>
                <w:bCs/>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p>
        </w:tc>
        <w:tc>
          <w:tcPr>
            <w:tcW w:w="0" w:type="auto"/>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巴宜区</w:t>
            </w:r>
          </w:p>
        </w:tc>
        <w:tc>
          <w:tcPr>
            <w:tcW w:w="1756"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八一镇第一自来水厂</w:t>
            </w:r>
          </w:p>
        </w:tc>
        <w:tc>
          <w:tcPr>
            <w:tcW w:w="873"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地表水</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9"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p>
        </w:tc>
        <w:tc>
          <w:tcPr>
            <w:tcW w:w="0" w:type="auto"/>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巴宜区</w:t>
            </w:r>
          </w:p>
        </w:tc>
        <w:tc>
          <w:tcPr>
            <w:tcW w:w="1756"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第一水厂地下水</w:t>
            </w:r>
          </w:p>
        </w:tc>
        <w:tc>
          <w:tcPr>
            <w:tcW w:w="873"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地下水</w:t>
            </w:r>
          </w:p>
        </w:tc>
        <w:tc>
          <w:tcPr>
            <w:tcW w:w="92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w:t>
            </w:r>
          </w:p>
        </w:tc>
        <w:tc>
          <w:tcPr>
            <w:tcW w:w="92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9"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3</w:t>
            </w:r>
          </w:p>
        </w:tc>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巴宜区</w:t>
            </w:r>
          </w:p>
        </w:tc>
        <w:tc>
          <w:tcPr>
            <w:tcW w:w="1756"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八一镇第二自来水厂</w:t>
            </w:r>
          </w:p>
        </w:tc>
        <w:tc>
          <w:tcPr>
            <w:tcW w:w="873"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地下水</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1</w:t>
            </w:r>
            <w:r>
              <w:rPr>
                <w:rFonts w:hint="default"/>
              </w:rPr>
              <w:t>00%</w:t>
            </w:r>
          </w:p>
        </w:tc>
        <w:tc>
          <w:tcPr>
            <w:tcW w:w="929"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4</w:t>
            </w:r>
          </w:p>
        </w:tc>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工布江达县</w:t>
            </w:r>
          </w:p>
        </w:tc>
        <w:tc>
          <w:tcPr>
            <w:tcW w:w="1756"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果园沟水源地</w:t>
            </w:r>
          </w:p>
        </w:tc>
        <w:tc>
          <w:tcPr>
            <w:tcW w:w="873"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地表水</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1</w:t>
            </w:r>
            <w:r>
              <w:rPr>
                <w:rFonts w:hint="default"/>
              </w:rPr>
              <w:t>00%</w:t>
            </w:r>
          </w:p>
        </w:tc>
        <w:tc>
          <w:tcPr>
            <w:tcW w:w="929"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5</w:t>
            </w:r>
          </w:p>
        </w:tc>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工布江达县</w:t>
            </w:r>
          </w:p>
        </w:tc>
        <w:tc>
          <w:tcPr>
            <w:tcW w:w="1756"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扎西折蚌沟水源地</w:t>
            </w:r>
          </w:p>
        </w:tc>
        <w:tc>
          <w:tcPr>
            <w:tcW w:w="873"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地表水</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1</w:t>
            </w:r>
            <w:r>
              <w:rPr>
                <w:rFonts w:hint="default"/>
              </w:rPr>
              <w:t>00%</w:t>
            </w:r>
          </w:p>
        </w:tc>
        <w:tc>
          <w:tcPr>
            <w:tcW w:w="929"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6</w:t>
            </w:r>
          </w:p>
        </w:tc>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朗县</w:t>
            </w:r>
          </w:p>
        </w:tc>
        <w:tc>
          <w:tcPr>
            <w:tcW w:w="1756"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新区水厂</w:t>
            </w:r>
          </w:p>
        </w:tc>
        <w:tc>
          <w:tcPr>
            <w:tcW w:w="873"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地下水</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1</w:t>
            </w:r>
            <w:r>
              <w:rPr>
                <w:rFonts w:hint="default"/>
              </w:rPr>
              <w:t>00%</w:t>
            </w:r>
          </w:p>
        </w:tc>
        <w:tc>
          <w:tcPr>
            <w:tcW w:w="929"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7</w:t>
            </w:r>
          </w:p>
        </w:tc>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波密县</w:t>
            </w:r>
          </w:p>
        </w:tc>
        <w:tc>
          <w:tcPr>
            <w:tcW w:w="1756"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卓龙沟水源地</w:t>
            </w:r>
          </w:p>
        </w:tc>
        <w:tc>
          <w:tcPr>
            <w:tcW w:w="873"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地表水</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1</w:t>
            </w:r>
            <w:r>
              <w:rPr>
                <w:rFonts w:hint="default"/>
              </w:rPr>
              <w:t>00%</w:t>
            </w:r>
          </w:p>
        </w:tc>
        <w:tc>
          <w:tcPr>
            <w:tcW w:w="929"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8</w:t>
            </w:r>
          </w:p>
        </w:tc>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墨脱县</w:t>
            </w:r>
          </w:p>
        </w:tc>
        <w:tc>
          <w:tcPr>
            <w:tcW w:w="1756"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卓玛拉上厦不容河水源地</w:t>
            </w:r>
          </w:p>
        </w:tc>
        <w:tc>
          <w:tcPr>
            <w:tcW w:w="873"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地表水</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1</w:t>
            </w:r>
            <w:r>
              <w:rPr>
                <w:rFonts w:hint="default"/>
              </w:rPr>
              <w:t>00%</w:t>
            </w:r>
          </w:p>
        </w:tc>
        <w:tc>
          <w:tcPr>
            <w:tcW w:w="929"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9</w:t>
            </w:r>
          </w:p>
        </w:tc>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察隅县</w:t>
            </w:r>
          </w:p>
        </w:tc>
        <w:tc>
          <w:tcPr>
            <w:tcW w:w="1756"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白东曲水源地</w:t>
            </w:r>
          </w:p>
        </w:tc>
        <w:tc>
          <w:tcPr>
            <w:tcW w:w="873"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地表水</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1</w:t>
            </w:r>
            <w:r>
              <w:rPr>
                <w:rFonts w:hint="default"/>
              </w:rPr>
              <w:t>00%</w:t>
            </w:r>
          </w:p>
        </w:tc>
        <w:tc>
          <w:tcPr>
            <w:tcW w:w="929"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10</w:t>
            </w:r>
          </w:p>
        </w:tc>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察隅县</w:t>
            </w:r>
          </w:p>
        </w:tc>
        <w:tc>
          <w:tcPr>
            <w:tcW w:w="1756"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巴拉沟水源地</w:t>
            </w:r>
          </w:p>
        </w:tc>
        <w:tc>
          <w:tcPr>
            <w:tcW w:w="873"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地表水</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1</w:t>
            </w:r>
            <w:r>
              <w:rPr>
                <w:rFonts w:hint="default"/>
              </w:rPr>
              <w:t>00%</w:t>
            </w:r>
          </w:p>
        </w:tc>
        <w:tc>
          <w:tcPr>
            <w:tcW w:w="929"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11</w:t>
            </w:r>
          </w:p>
        </w:tc>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察隅县</w:t>
            </w:r>
          </w:p>
        </w:tc>
        <w:tc>
          <w:tcPr>
            <w:tcW w:w="1756"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吉太沟（现有）水源地</w:t>
            </w:r>
          </w:p>
        </w:tc>
        <w:tc>
          <w:tcPr>
            <w:tcW w:w="873"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地表水</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1</w:t>
            </w:r>
            <w:r>
              <w:rPr>
                <w:rFonts w:hint="default"/>
              </w:rPr>
              <w:t>00%</w:t>
            </w:r>
          </w:p>
        </w:tc>
        <w:tc>
          <w:tcPr>
            <w:tcW w:w="929"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1</w:t>
            </w:r>
            <w:r>
              <w:rPr>
                <w:rFonts w:hint="default"/>
              </w:rPr>
              <w:t>2</w:t>
            </w:r>
          </w:p>
        </w:tc>
        <w:tc>
          <w:tcPr>
            <w:tcW w:w="0" w:type="auto"/>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米林县</w:t>
            </w:r>
          </w:p>
        </w:tc>
        <w:tc>
          <w:tcPr>
            <w:tcW w:w="1756"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南伊河水源地</w:t>
            </w:r>
          </w:p>
        </w:tc>
        <w:tc>
          <w:tcPr>
            <w:tcW w:w="873"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地表水</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c>
          <w:tcPr>
            <w:tcW w:w="92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1</w:t>
            </w:r>
            <w:r>
              <w:rPr>
                <w:rFonts w:hint="default"/>
              </w:rPr>
              <w:t>00%</w:t>
            </w:r>
          </w:p>
        </w:tc>
        <w:tc>
          <w:tcPr>
            <w:tcW w:w="929"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r>
    </w:tbl>
    <w:p>
      <w:pPr>
        <w:pStyle w:val="34"/>
        <w:jc w:val="both"/>
        <w:rPr>
          <w:rFonts w:hint="eastAsia"/>
        </w:rPr>
      </w:pPr>
      <w:r>
        <w:rPr>
          <w:rFonts w:hint="eastAsia"/>
        </w:rPr>
        <w:t>注：一水厂地下水2018年投入使用。</w:t>
      </w:r>
    </w:p>
    <w:p>
      <w:pPr>
        <w:pStyle w:val="6"/>
        <w:ind w:firstLine="480"/>
        <w:rPr>
          <w:rFonts w:hint="eastAsia"/>
        </w:rPr>
      </w:pPr>
      <w:r>
        <w:rPr>
          <w:rFonts w:hint="eastAsia"/>
        </w:rPr>
        <w:t>根据统计分析，2016~2020年林芝市中心城区巴宜区第一水厂(地表水、备用水源)、巴宜区第一水厂(地下水)、巴宜区第二水厂(地下水)饮用水源地水质达标率为100%，水质状况良好；各县城集中式饮用水源地水质达标率均为100%，水质状况良好；变化趋势不大。</w:t>
      </w:r>
    </w:p>
    <w:p>
      <w:pPr>
        <w:pStyle w:val="5"/>
      </w:pPr>
      <w:bookmarkStart w:id="105" w:name="_Toc12948"/>
      <w:r>
        <w:rPr>
          <w:rFonts w:hint="eastAsia"/>
        </w:rPr>
        <w:t>3.3.3声环境现状分析</w:t>
      </w:r>
      <w:bookmarkEnd w:id="105"/>
    </w:p>
    <w:p>
      <w:pPr>
        <w:pStyle w:val="2"/>
        <w:rPr>
          <w:rFonts w:hint="default" w:eastAsia="宋体"/>
          <w:lang w:val="en-US" w:eastAsia="zh-CN"/>
        </w:rPr>
      </w:pPr>
      <w:r>
        <w:rPr>
          <w:rFonts w:hint="eastAsia"/>
        </w:rPr>
        <w:t>3.3.3.1</w:t>
      </w:r>
      <w:r>
        <w:rPr>
          <w:rFonts w:hint="eastAsia"/>
          <w:lang w:val="en-US" w:eastAsia="zh-CN"/>
        </w:rPr>
        <w:t>区域声环境质量现状</w:t>
      </w:r>
    </w:p>
    <w:p>
      <w:pPr>
        <w:pStyle w:val="6"/>
        <w:ind w:firstLine="480"/>
        <w:rPr>
          <w:rFonts w:hint="eastAsia"/>
        </w:rPr>
      </w:pPr>
      <w:r>
        <w:rPr>
          <w:rFonts w:hint="eastAsia"/>
        </w:rPr>
        <w:t>根据《林芝市环境质量报告书（2016~2020年）》，2020年林芝市中心城区区域声环境质量监测点位103个，道路交通声环境质量监测点位20个，功能区声环境质量监测点3个。</w:t>
      </w:r>
    </w:p>
    <w:p>
      <w:pPr>
        <w:pStyle w:val="6"/>
        <w:ind w:firstLine="480"/>
        <w:rPr>
          <w:b/>
          <w:bCs/>
        </w:rPr>
      </w:pPr>
      <w:r>
        <w:rPr>
          <w:rFonts w:hint="eastAsia"/>
          <w:b/>
          <w:bCs/>
        </w:rPr>
        <w:t>1、2020年中心城区区域声环境现状</w:t>
      </w:r>
    </w:p>
    <w:p>
      <w:pPr>
        <w:pStyle w:val="6"/>
        <w:ind w:firstLine="480"/>
      </w:pPr>
      <w:r>
        <w:rPr>
          <w:rFonts w:hint="eastAsia"/>
        </w:rPr>
        <w:t>2020年区域声环境质量详细状况见表3.3-10。</w:t>
      </w:r>
    </w:p>
    <w:p>
      <w:pPr>
        <w:pStyle w:val="27"/>
        <w:rPr>
          <w:rFonts w:hint="eastAsia"/>
        </w:rPr>
      </w:pPr>
      <w:r>
        <w:rPr>
          <w:rFonts w:hint="eastAsia"/>
        </w:rPr>
        <w:t>表3.3-10  2020年区域声环境质量详细状况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43"/>
        <w:gridCol w:w="1063"/>
        <w:gridCol w:w="777"/>
        <w:gridCol w:w="846"/>
        <w:gridCol w:w="873"/>
        <w:gridCol w:w="831"/>
        <w:gridCol w:w="860"/>
        <w:gridCol w:w="1090"/>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vMerge w:val="restart"/>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年份</w:t>
            </w:r>
          </w:p>
        </w:tc>
        <w:tc>
          <w:tcPr>
            <w:tcW w:w="543"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共计点位</w:t>
            </w:r>
          </w:p>
        </w:tc>
        <w:tc>
          <w:tcPr>
            <w:tcW w:w="106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等级划分</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好（个）</w:t>
            </w:r>
          </w:p>
        </w:tc>
        <w:tc>
          <w:tcPr>
            <w:tcW w:w="846"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较好（个）</w:t>
            </w:r>
          </w:p>
        </w:tc>
        <w:tc>
          <w:tcPr>
            <w:tcW w:w="873"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一般（个）</w:t>
            </w:r>
          </w:p>
        </w:tc>
        <w:tc>
          <w:tcPr>
            <w:tcW w:w="831"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较差（个）</w:t>
            </w:r>
          </w:p>
        </w:tc>
        <w:tc>
          <w:tcPr>
            <w:tcW w:w="86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差（个）</w:t>
            </w:r>
          </w:p>
        </w:tc>
        <w:tc>
          <w:tcPr>
            <w:tcW w:w="109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平均等效A声级dB(A)</w:t>
            </w:r>
          </w:p>
        </w:tc>
        <w:tc>
          <w:tcPr>
            <w:tcW w:w="92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声环境质量等级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543"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06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声级范围dB(A)</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≤50.0</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50.1~55.0</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55.1~60.0</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60.1~65.0</w:t>
            </w:r>
          </w:p>
        </w:tc>
        <w:tc>
          <w:tcPr>
            <w:tcW w:w="86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＞65</w:t>
            </w:r>
          </w:p>
        </w:tc>
        <w:tc>
          <w:tcPr>
            <w:tcW w:w="1090"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c>
          <w:tcPr>
            <w:tcW w:w="920"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2020</w:t>
            </w:r>
          </w:p>
        </w:tc>
        <w:tc>
          <w:tcPr>
            <w:tcW w:w="54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103</w:t>
            </w:r>
          </w:p>
        </w:tc>
        <w:tc>
          <w:tcPr>
            <w:tcW w:w="106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点位个数</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16</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17</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27</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27</w:t>
            </w:r>
          </w:p>
        </w:tc>
        <w:tc>
          <w:tcPr>
            <w:tcW w:w="86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16</w:t>
            </w:r>
          </w:p>
        </w:tc>
        <w:tc>
          <w:tcPr>
            <w:tcW w:w="109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57.5</w:t>
            </w:r>
          </w:p>
        </w:tc>
        <w:tc>
          <w:tcPr>
            <w:tcW w:w="92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一般</w:t>
            </w:r>
          </w:p>
        </w:tc>
      </w:tr>
    </w:tbl>
    <w:p>
      <w:pPr>
        <w:pStyle w:val="6"/>
        <w:ind w:firstLine="480"/>
      </w:pPr>
      <w:r>
        <w:rPr>
          <w:rFonts w:hint="eastAsia"/>
        </w:rPr>
        <w:t>2020年，林芝市中心城区区域噪声昼间平均等效声级介于38.5~74.2分贝之间，平均等效A声级57.5分贝，达到城市区域环境噪声总体水平等级划分三级标准，昼间声环境质量总体水平“一般”。</w:t>
      </w:r>
    </w:p>
    <w:p>
      <w:pPr>
        <w:pStyle w:val="6"/>
        <w:ind w:firstLine="480"/>
        <w:rPr>
          <w:rFonts w:hint="eastAsia"/>
          <w:b/>
          <w:bCs/>
        </w:rPr>
      </w:pPr>
      <w:r>
        <w:rPr>
          <w:rFonts w:hint="eastAsia"/>
          <w:b/>
          <w:bCs/>
        </w:rPr>
        <w:t>2、2020年道路交通声环境质量现状</w:t>
      </w:r>
    </w:p>
    <w:p>
      <w:pPr>
        <w:pStyle w:val="6"/>
        <w:ind w:firstLine="480"/>
      </w:pPr>
      <w:r>
        <w:rPr>
          <w:rFonts w:hint="eastAsia"/>
        </w:rPr>
        <w:t>2020年林芝市道路交通声环境质量详细状况见表3.3-11。</w:t>
      </w:r>
    </w:p>
    <w:p>
      <w:pPr>
        <w:pStyle w:val="27"/>
        <w:rPr>
          <w:rFonts w:hint="eastAsia"/>
        </w:rPr>
      </w:pPr>
      <w:r>
        <w:rPr>
          <w:rFonts w:hint="eastAsia"/>
        </w:rPr>
        <w:t>表3.3-11  2020年道路交通声环境质量详细状况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43"/>
        <w:gridCol w:w="1063"/>
        <w:gridCol w:w="777"/>
        <w:gridCol w:w="846"/>
        <w:gridCol w:w="873"/>
        <w:gridCol w:w="831"/>
        <w:gridCol w:w="860"/>
        <w:gridCol w:w="1090"/>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vMerge w:val="restart"/>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年份</w:t>
            </w:r>
          </w:p>
        </w:tc>
        <w:tc>
          <w:tcPr>
            <w:tcW w:w="543"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共计点位</w:t>
            </w:r>
          </w:p>
        </w:tc>
        <w:tc>
          <w:tcPr>
            <w:tcW w:w="106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等级划分</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好（个）</w:t>
            </w:r>
          </w:p>
        </w:tc>
        <w:tc>
          <w:tcPr>
            <w:tcW w:w="846"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较好（个）</w:t>
            </w:r>
          </w:p>
        </w:tc>
        <w:tc>
          <w:tcPr>
            <w:tcW w:w="873"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一般（个）</w:t>
            </w:r>
          </w:p>
        </w:tc>
        <w:tc>
          <w:tcPr>
            <w:tcW w:w="831"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较差（个）</w:t>
            </w:r>
          </w:p>
        </w:tc>
        <w:tc>
          <w:tcPr>
            <w:tcW w:w="86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差（个）</w:t>
            </w:r>
          </w:p>
        </w:tc>
        <w:tc>
          <w:tcPr>
            <w:tcW w:w="109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平均等效A声级dB(A)</w:t>
            </w:r>
          </w:p>
        </w:tc>
        <w:tc>
          <w:tcPr>
            <w:tcW w:w="92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声环境质量等级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543"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06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声级范围dB(A)</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≤68.0</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68.1~70.0</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70.1~72.0</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72.1~74.0</w:t>
            </w:r>
          </w:p>
        </w:tc>
        <w:tc>
          <w:tcPr>
            <w:tcW w:w="86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＞74</w:t>
            </w:r>
          </w:p>
        </w:tc>
        <w:tc>
          <w:tcPr>
            <w:tcW w:w="1090"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c>
          <w:tcPr>
            <w:tcW w:w="920"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2020</w:t>
            </w:r>
          </w:p>
        </w:tc>
        <w:tc>
          <w:tcPr>
            <w:tcW w:w="54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w:t>
            </w:r>
          </w:p>
        </w:tc>
        <w:tc>
          <w:tcPr>
            <w:tcW w:w="106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点位个数</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8</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10</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0</w:t>
            </w:r>
          </w:p>
        </w:tc>
        <w:tc>
          <w:tcPr>
            <w:tcW w:w="86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0</w:t>
            </w:r>
          </w:p>
        </w:tc>
        <w:tc>
          <w:tcPr>
            <w:tcW w:w="109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67.3</w:t>
            </w:r>
          </w:p>
        </w:tc>
        <w:tc>
          <w:tcPr>
            <w:tcW w:w="92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好</w:t>
            </w:r>
          </w:p>
        </w:tc>
      </w:tr>
    </w:tbl>
    <w:p>
      <w:pPr>
        <w:pStyle w:val="6"/>
        <w:ind w:firstLine="480"/>
      </w:pPr>
      <w:r>
        <w:rPr>
          <w:rFonts w:hint="eastAsia"/>
        </w:rPr>
        <w:t>2020年，林芝市中心城区道路交通噪声有效测点数为20个，监测路段总长度为16.1公里，道路交通噪声昼间等效声级介于62.6-70.7分贝之间，昼间平均等效声级为67.3分贝，昼间达标路段占90%。根据道路交通噪声强度等级划分，2020年，道路交通噪声达到“一级”标准，道路交通噪声声环境质量“好”。</w:t>
      </w:r>
    </w:p>
    <w:p>
      <w:pPr>
        <w:pStyle w:val="6"/>
        <w:ind w:firstLine="480"/>
        <w:rPr>
          <w:b/>
          <w:bCs/>
        </w:rPr>
      </w:pPr>
      <w:r>
        <w:rPr>
          <w:rFonts w:hint="eastAsia"/>
          <w:b/>
          <w:bCs/>
        </w:rPr>
        <w:t>3、功能区声环境质量现状</w:t>
      </w:r>
    </w:p>
    <w:p>
      <w:pPr>
        <w:pStyle w:val="6"/>
        <w:ind w:firstLine="480"/>
        <w:rPr>
          <w:rFonts w:hint="eastAsia"/>
        </w:rPr>
      </w:pPr>
      <w:r>
        <w:rPr>
          <w:rFonts w:hint="eastAsia"/>
        </w:rPr>
        <w:t>2020年林芝市各功能区声环境质量详细状况见表3.3-12。</w:t>
      </w:r>
    </w:p>
    <w:p>
      <w:pPr>
        <w:pStyle w:val="27"/>
        <w:rPr>
          <w:rFonts w:hint="eastAsia"/>
        </w:rPr>
      </w:pPr>
      <w:r>
        <w:rPr>
          <w:rFonts w:hint="eastAsia"/>
        </w:rPr>
        <w:t>表3.3-12  2020年各功能区声环境质量详细状况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22"/>
        <w:gridCol w:w="822"/>
        <w:gridCol w:w="822"/>
        <w:gridCol w:w="822"/>
        <w:gridCol w:w="822"/>
        <w:gridCol w:w="1001"/>
        <w:gridCol w:w="1772"/>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19"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年份</w:t>
            </w:r>
          </w:p>
        </w:tc>
        <w:tc>
          <w:tcPr>
            <w:tcW w:w="1644" w:type="dxa"/>
            <w:gridSpan w:val="2"/>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1类（林芝市生态环境局）</w:t>
            </w:r>
          </w:p>
        </w:tc>
        <w:tc>
          <w:tcPr>
            <w:tcW w:w="1644" w:type="dxa"/>
            <w:gridSpan w:val="2"/>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2类（青年公寓）</w:t>
            </w:r>
          </w:p>
        </w:tc>
        <w:tc>
          <w:tcPr>
            <w:tcW w:w="1823" w:type="dxa"/>
            <w:gridSpan w:val="2"/>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4a类（林芝建行）</w:t>
            </w:r>
          </w:p>
        </w:tc>
        <w:tc>
          <w:tcPr>
            <w:tcW w:w="1772" w:type="dxa"/>
            <w:vMerge w:val="restart"/>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总达标点次/总点次</w:t>
            </w:r>
          </w:p>
        </w:tc>
        <w:tc>
          <w:tcPr>
            <w:tcW w:w="92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达标率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644" w:type="dxa"/>
            <w:gridSpan w:val="2"/>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达标点次</w:t>
            </w:r>
          </w:p>
        </w:tc>
        <w:tc>
          <w:tcPr>
            <w:tcW w:w="1644" w:type="dxa"/>
            <w:gridSpan w:val="2"/>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达标点次</w:t>
            </w:r>
          </w:p>
        </w:tc>
        <w:tc>
          <w:tcPr>
            <w:tcW w:w="1823" w:type="dxa"/>
            <w:gridSpan w:val="2"/>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达标点次</w:t>
            </w:r>
          </w:p>
        </w:tc>
        <w:tc>
          <w:tcPr>
            <w:tcW w:w="1772"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c>
          <w:tcPr>
            <w:tcW w:w="920"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19"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昼</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夜</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昼</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夜</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昼</w:t>
            </w:r>
          </w:p>
        </w:tc>
        <w:tc>
          <w:tcPr>
            <w:tcW w:w="1001"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夜</w:t>
            </w:r>
          </w:p>
        </w:tc>
        <w:tc>
          <w:tcPr>
            <w:tcW w:w="1772"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c>
          <w:tcPr>
            <w:tcW w:w="920"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2020</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3</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3</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100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177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22/22</w:t>
            </w:r>
          </w:p>
        </w:tc>
        <w:tc>
          <w:tcPr>
            <w:tcW w:w="92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100%</w:t>
            </w:r>
          </w:p>
        </w:tc>
      </w:tr>
    </w:tbl>
    <w:p>
      <w:pPr>
        <w:pStyle w:val="6"/>
        <w:ind w:firstLine="480"/>
        <w:rPr>
          <w:rFonts w:hint="eastAsia"/>
        </w:rPr>
      </w:pPr>
      <w:r>
        <w:rPr>
          <w:rFonts w:hint="eastAsia"/>
        </w:rPr>
        <w:t>2020年，林芝市共监测各类功能区22点次，其中昼、夜间各11点次，各类功能区监测点位达标率均为100%。</w:t>
      </w:r>
    </w:p>
    <w:p>
      <w:pPr>
        <w:pStyle w:val="2"/>
        <w:rPr>
          <w:rFonts w:hint="eastAsia"/>
        </w:rPr>
      </w:pPr>
      <w:r>
        <w:rPr>
          <w:rFonts w:hint="eastAsia"/>
        </w:rPr>
        <w:t>3.3.3.</w:t>
      </w:r>
      <w:r>
        <w:rPr>
          <w:rFonts w:hint="eastAsia"/>
          <w:lang w:val="en-US" w:eastAsia="zh-CN"/>
        </w:rPr>
        <w:t>2</w:t>
      </w:r>
      <w:r>
        <w:rPr>
          <w:rFonts w:hint="eastAsia"/>
        </w:rPr>
        <w:t>声环境质量变化趋势分析</w:t>
      </w:r>
    </w:p>
    <w:p>
      <w:pPr>
        <w:pStyle w:val="6"/>
        <w:ind w:firstLine="480"/>
      </w:pPr>
      <w:r>
        <w:rPr>
          <w:rFonts w:hint="eastAsia"/>
        </w:rPr>
        <w:t>根据《林芝市环境质量报告书（2016~2020年）》，2016~2020年林芝市中心城区区域声环境质量、道路交通声环境质量、功能区声环境质量、统计结果如下。</w:t>
      </w:r>
    </w:p>
    <w:p>
      <w:pPr>
        <w:pStyle w:val="6"/>
        <w:ind w:firstLine="480"/>
        <w:rPr>
          <w:b/>
          <w:bCs/>
        </w:rPr>
      </w:pPr>
      <w:r>
        <w:rPr>
          <w:rFonts w:hint="eastAsia"/>
          <w:b/>
          <w:bCs/>
        </w:rPr>
        <w:t>1、中心城区区域声环境变化趋势</w:t>
      </w:r>
    </w:p>
    <w:p>
      <w:pPr>
        <w:pStyle w:val="6"/>
        <w:ind w:firstLine="480"/>
      </w:pPr>
      <w:r>
        <w:rPr>
          <w:rFonts w:hint="eastAsia"/>
        </w:rPr>
        <w:t>2016~2020年区域声环境质量详细状况见表3.3-13。</w:t>
      </w:r>
    </w:p>
    <w:p>
      <w:pPr>
        <w:pStyle w:val="27"/>
        <w:rPr>
          <w:rFonts w:hint="eastAsia"/>
        </w:rPr>
      </w:pPr>
      <w:r>
        <w:rPr>
          <w:rFonts w:hint="eastAsia"/>
        </w:rPr>
        <w:t>表3.3-13  2016~2020年中心城区区域声环境质量详细状况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43"/>
        <w:gridCol w:w="1063"/>
        <w:gridCol w:w="777"/>
        <w:gridCol w:w="846"/>
        <w:gridCol w:w="873"/>
        <w:gridCol w:w="831"/>
        <w:gridCol w:w="860"/>
        <w:gridCol w:w="1090"/>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vMerge w:val="restart"/>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年份</w:t>
            </w:r>
          </w:p>
        </w:tc>
        <w:tc>
          <w:tcPr>
            <w:tcW w:w="543"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共计点位</w:t>
            </w:r>
          </w:p>
        </w:tc>
        <w:tc>
          <w:tcPr>
            <w:tcW w:w="106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等级划分</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好（个）</w:t>
            </w:r>
          </w:p>
        </w:tc>
        <w:tc>
          <w:tcPr>
            <w:tcW w:w="846"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较好（个）</w:t>
            </w:r>
          </w:p>
        </w:tc>
        <w:tc>
          <w:tcPr>
            <w:tcW w:w="873"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一般（个）</w:t>
            </w:r>
          </w:p>
        </w:tc>
        <w:tc>
          <w:tcPr>
            <w:tcW w:w="831"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较差（个）</w:t>
            </w:r>
          </w:p>
        </w:tc>
        <w:tc>
          <w:tcPr>
            <w:tcW w:w="86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差（个）</w:t>
            </w:r>
          </w:p>
        </w:tc>
        <w:tc>
          <w:tcPr>
            <w:tcW w:w="109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平均等效A声级dB(A)</w:t>
            </w:r>
          </w:p>
        </w:tc>
        <w:tc>
          <w:tcPr>
            <w:tcW w:w="92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声环境质量等级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543"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06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声级范围dB(A)</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≤50.0</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50.1~55.0</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55.1~60.0</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60.1~65.0</w:t>
            </w:r>
          </w:p>
        </w:tc>
        <w:tc>
          <w:tcPr>
            <w:tcW w:w="86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＞65</w:t>
            </w:r>
          </w:p>
        </w:tc>
        <w:tc>
          <w:tcPr>
            <w:tcW w:w="1090"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c>
          <w:tcPr>
            <w:tcW w:w="920"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2016</w:t>
            </w:r>
          </w:p>
        </w:tc>
        <w:tc>
          <w:tcPr>
            <w:tcW w:w="54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103</w:t>
            </w:r>
          </w:p>
        </w:tc>
        <w:tc>
          <w:tcPr>
            <w:tcW w:w="1063"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点位个数</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24</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23</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31</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15</w:t>
            </w:r>
          </w:p>
        </w:tc>
        <w:tc>
          <w:tcPr>
            <w:tcW w:w="86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10</w:t>
            </w:r>
          </w:p>
        </w:tc>
        <w:tc>
          <w:tcPr>
            <w:tcW w:w="109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55.1</w:t>
            </w:r>
          </w:p>
        </w:tc>
        <w:tc>
          <w:tcPr>
            <w:tcW w:w="92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2017</w:t>
            </w:r>
          </w:p>
        </w:tc>
        <w:tc>
          <w:tcPr>
            <w:tcW w:w="54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103</w:t>
            </w:r>
          </w:p>
        </w:tc>
        <w:tc>
          <w:tcPr>
            <w:tcW w:w="1063"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点位个数</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28</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17</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18</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22</w:t>
            </w:r>
          </w:p>
        </w:tc>
        <w:tc>
          <w:tcPr>
            <w:tcW w:w="86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18/</w:t>
            </w:r>
          </w:p>
        </w:tc>
        <w:tc>
          <w:tcPr>
            <w:tcW w:w="109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56.5</w:t>
            </w:r>
          </w:p>
        </w:tc>
        <w:tc>
          <w:tcPr>
            <w:tcW w:w="92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2018</w:t>
            </w:r>
          </w:p>
        </w:tc>
        <w:tc>
          <w:tcPr>
            <w:tcW w:w="54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103</w:t>
            </w:r>
          </w:p>
        </w:tc>
        <w:tc>
          <w:tcPr>
            <w:tcW w:w="1063"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点位个数</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14</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18</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18</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29</w:t>
            </w:r>
          </w:p>
        </w:tc>
        <w:tc>
          <w:tcPr>
            <w:tcW w:w="86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24</w:t>
            </w:r>
          </w:p>
        </w:tc>
        <w:tc>
          <w:tcPr>
            <w:tcW w:w="109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59.2</w:t>
            </w:r>
          </w:p>
        </w:tc>
        <w:tc>
          <w:tcPr>
            <w:tcW w:w="92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2019</w:t>
            </w:r>
          </w:p>
        </w:tc>
        <w:tc>
          <w:tcPr>
            <w:tcW w:w="54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103</w:t>
            </w:r>
          </w:p>
        </w:tc>
        <w:tc>
          <w:tcPr>
            <w:tcW w:w="1063"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点位个数</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12</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18</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19</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28</w:t>
            </w:r>
          </w:p>
        </w:tc>
        <w:tc>
          <w:tcPr>
            <w:tcW w:w="86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26</w:t>
            </w:r>
          </w:p>
        </w:tc>
        <w:tc>
          <w:tcPr>
            <w:tcW w:w="109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59.5</w:t>
            </w:r>
          </w:p>
        </w:tc>
        <w:tc>
          <w:tcPr>
            <w:tcW w:w="92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2020</w:t>
            </w:r>
          </w:p>
        </w:tc>
        <w:tc>
          <w:tcPr>
            <w:tcW w:w="54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103</w:t>
            </w:r>
          </w:p>
        </w:tc>
        <w:tc>
          <w:tcPr>
            <w:tcW w:w="106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点位个数</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16</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17</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27</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27</w:t>
            </w:r>
          </w:p>
        </w:tc>
        <w:tc>
          <w:tcPr>
            <w:tcW w:w="86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16</w:t>
            </w:r>
          </w:p>
        </w:tc>
        <w:tc>
          <w:tcPr>
            <w:tcW w:w="109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57.5</w:t>
            </w:r>
          </w:p>
        </w:tc>
        <w:tc>
          <w:tcPr>
            <w:tcW w:w="92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一般</w:t>
            </w:r>
          </w:p>
        </w:tc>
      </w:tr>
    </w:tbl>
    <w:p>
      <w:pPr>
        <w:pStyle w:val="6"/>
        <w:ind w:firstLine="480"/>
      </w:pPr>
      <w:r>
        <w:rPr>
          <w:rFonts w:hint="eastAsia"/>
        </w:rPr>
        <w:t>2016-2020年林芝市中心城区区域声环境质量等级评级均为“一般”。</w:t>
      </w:r>
    </w:p>
    <w:p>
      <w:pPr>
        <w:pStyle w:val="6"/>
        <w:ind w:firstLine="480"/>
        <w:rPr>
          <w:rFonts w:hint="eastAsia"/>
        </w:rPr>
      </w:pPr>
      <w:r>
        <w:rPr>
          <w:rFonts w:hint="eastAsia"/>
        </w:rPr>
        <w:t>2、道路交通声环境质量变化趋势</w:t>
      </w:r>
    </w:p>
    <w:p>
      <w:pPr>
        <w:pStyle w:val="6"/>
        <w:ind w:firstLine="480"/>
      </w:pPr>
      <w:r>
        <w:rPr>
          <w:rFonts w:hint="eastAsia"/>
        </w:rPr>
        <w:t>2016~2020年林芝市道路交通声环境质量详细状况见表3.3-14。</w:t>
      </w:r>
    </w:p>
    <w:p>
      <w:pPr>
        <w:pStyle w:val="27"/>
        <w:rPr>
          <w:rFonts w:hint="eastAsia"/>
        </w:rPr>
      </w:pPr>
      <w:r>
        <w:rPr>
          <w:rFonts w:hint="eastAsia"/>
        </w:rPr>
        <w:t>表3.3-14  2016~2020年道路交通声环境质量详细状况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43"/>
        <w:gridCol w:w="1063"/>
        <w:gridCol w:w="777"/>
        <w:gridCol w:w="846"/>
        <w:gridCol w:w="873"/>
        <w:gridCol w:w="831"/>
        <w:gridCol w:w="860"/>
        <w:gridCol w:w="1090"/>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vMerge w:val="restart"/>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年份</w:t>
            </w:r>
          </w:p>
        </w:tc>
        <w:tc>
          <w:tcPr>
            <w:tcW w:w="543"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共计点位</w:t>
            </w:r>
          </w:p>
        </w:tc>
        <w:tc>
          <w:tcPr>
            <w:tcW w:w="106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等级划分</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好（个）</w:t>
            </w:r>
          </w:p>
        </w:tc>
        <w:tc>
          <w:tcPr>
            <w:tcW w:w="846"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较好（个）</w:t>
            </w:r>
          </w:p>
        </w:tc>
        <w:tc>
          <w:tcPr>
            <w:tcW w:w="873"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一般（个）</w:t>
            </w:r>
          </w:p>
        </w:tc>
        <w:tc>
          <w:tcPr>
            <w:tcW w:w="831"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较差（个）</w:t>
            </w:r>
          </w:p>
        </w:tc>
        <w:tc>
          <w:tcPr>
            <w:tcW w:w="86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差（个）</w:t>
            </w:r>
          </w:p>
        </w:tc>
        <w:tc>
          <w:tcPr>
            <w:tcW w:w="109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平均等效A声级dB(A)</w:t>
            </w:r>
          </w:p>
        </w:tc>
        <w:tc>
          <w:tcPr>
            <w:tcW w:w="92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声环境质量等级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543"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06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声级范围dB(A)</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≤68.0</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68.1~70.0</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70.1~72.0</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72.1~74.0</w:t>
            </w:r>
          </w:p>
        </w:tc>
        <w:tc>
          <w:tcPr>
            <w:tcW w:w="86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＞74</w:t>
            </w:r>
          </w:p>
        </w:tc>
        <w:tc>
          <w:tcPr>
            <w:tcW w:w="1090"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c>
          <w:tcPr>
            <w:tcW w:w="920"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2016</w:t>
            </w:r>
          </w:p>
        </w:tc>
        <w:tc>
          <w:tcPr>
            <w:tcW w:w="54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w:t>
            </w:r>
          </w:p>
        </w:tc>
        <w:tc>
          <w:tcPr>
            <w:tcW w:w="1063"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点位个数</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14</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3</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0</w:t>
            </w:r>
          </w:p>
        </w:tc>
        <w:tc>
          <w:tcPr>
            <w:tcW w:w="86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w:t>
            </w:r>
          </w:p>
        </w:tc>
        <w:tc>
          <w:tcPr>
            <w:tcW w:w="109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67.4</w:t>
            </w:r>
          </w:p>
        </w:tc>
        <w:tc>
          <w:tcPr>
            <w:tcW w:w="92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2017</w:t>
            </w:r>
          </w:p>
        </w:tc>
        <w:tc>
          <w:tcPr>
            <w:tcW w:w="54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w:t>
            </w:r>
          </w:p>
        </w:tc>
        <w:tc>
          <w:tcPr>
            <w:tcW w:w="1063"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点位个数</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11</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8</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0</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0</w:t>
            </w:r>
          </w:p>
        </w:tc>
        <w:tc>
          <w:tcPr>
            <w:tcW w:w="86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w:t>
            </w:r>
          </w:p>
        </w:tc>
        <w:tc>
          <w:tcPr>
            <w:tcW w:w="109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67.2</w:t>
            </w:r>
          </w:p>
        </w:tc>
        <w:tc>
          <w:tcPr>
            <w:tcW w:w="92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2018</w:t>
            </w:r>
          </w:p>
        </w:tc>
        <w:tc>
          <w:tcPr>
            <w:tcW w:w="54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w:t>
            </w:r>
          </w:p>
        </w:tc>
        <w:tc>
          <w:tcPr>
            <w:tcW w:w="1063"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点位个数</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12</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3</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0</w:t>
            </w:r>
          </w:p>
        </w:tc>
        <w:tc>
          <w:tcPr>
            <w:tcW w:w="86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0</w:t>
            </w:r>
          </w:p>
        </w:tc>
        <w:tc>
          <w:tcPr>
            <w:tcW w:w="109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66.9</w:t>
            </w:r>
          </w:p>
        </w:tc>
        <w:tc>
          <w:tcPr>
            <w:tcW w:w="92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2019</w:t>
            </w:r>
          </w:p>
        </w:tc>
        <w:tc>
          <w:tcPr>
            <w:tcW w:w="54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w:t>
            </w:r>
          </w:p>
        </w:tc>
        <w:tc>
          <w:tcPr>
            <w:tcW w:w="1063"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点位个数</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12</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7</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0</w:t>
            </w:r>
          </w:p>
        </w:tc>
        <w:tc>
          <w:tcPr>
            <w:tcW w:w="86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0</w:t>
            </w:r>
          </w:p>
        </w:tc>
        <w:tc>
          <w:tcPr>
            <w:tcW w:w="109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66.7</w:t>
            </w:r>
          </w:p>
        </w:tc>
        <w:tc>
          <w:tcPr>
            <w:tcW w:w="92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2020</w:t>
            </w:r>
          </w:p>
        </w:tc>
        <w:tc>
          <w:tcPr>
            <w:tcW w:w="54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w:t>
            </w:r>
          </w:p>
        </w:tc>
        <w:tc>
          <w:tcPr>
            <w:tcW w:w="106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点位个数</w:t>
            </w:r>
          </w:p>
        </w:tc>
        <w:tc>
          <w:tcPr>
            <w:tcW w:w="777"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8</w:t>
            </w:r>
          </w:p>
        </w:tc>
        <w:tc>
          <w:tcPr>
            <w:tcW w:w="84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10</w:t>
            </w:r>
          </w:p>
        </w:tc>
        <w:tc>
          <w:tcPr>
            <w:tcW w:w="873"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w:t>
            </w:r>
          </w:p>
        </w:tc>
        <w:tc>
          <w:tcPr>
            <w:tcW w:w="83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0</w:t>
            </w:r>
          </w:p>
        </w:tc>
        <w:tc>
          <w:tcPr>
            <w:tcW w:w="86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0</w:t>
            </w:r>
          </w:p>
        </w:tc>
        <w:tc>
          <w:tcPr>
            <w:tcW w:w="109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67.3</w:t>
            </w:r>
          </w:p>
        </w:tc>
        <w:tc>
          <w:tcPr>
            <w:tcW w:w="92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好</w:t>
            </w:r>
          </w:p>
        </w:tc>
      </w:tr>
    </w:tbl>
    <w:p>
      <w:pPr>
        <w:pStyle w:val="6"/>
        <w:ind w:firstLine="480"/>
      </w:pPr>
      <w:r>
        <w:rPr>
          <w:rFonts w:hint="eastAsia"/>
        </w:rPr>
        <w:t>2016-2020年林芝市中心城区道路交通昼问声环境质量等级评级均为“好”。</w:t>
      </w:r>
    </w:p>
    <w:p>
      <w:pPr>
        <w:pStyle w:val="6"/>
        <w:ind w:firstLine="480"/>
      </w:pPr>
      <w:r>
        <w:rPr>
          <w:rFonts w:hint="eastAsia"/>
        </w:rPr>
        <w:t>3、功能区声环境质量现状</w:t>
      </w:r>
    </w:p>
    <w:p>
      <w:pPr>
        <w:pStyle w:val="6"/>
        <w:ind w:firstLine="480"/>
      </w:pPr>
      <w:r>
        <w:rPr>
          <w:rFonts w:hint="eastAsia"/>
        </w:rPr>
        <w:t>2016~2020年林芝市各功能区声环境质量详细状况见表3.3-15。</w:t>
      </w:r>
    </w:p>
    <w:p>
      <w:pPr>
        <w:pStyle w:val="27"/>
        <w:rPr>
          <w:rFonts w:hint="eastAsia"/>
        </w:rPr>
      </w:pPr>
      <w:r>
        <w:rPr>
          <w:rFonts w:hint="eastAsia"/>
        </w:rPr>
        <w:t>表3.3-15  2016~2020年各功能区区域声环境质量详细状况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22"/>
        <w:gridCol w:w="822"/>
        <w:gridCol w:w="822"/>
        <w:gridCol w:w="822"/>
        <w:gridCol w:w="822"/>
        <w:gridCol w:w="1001"/>
        <w:gridCol w:w="1772"/>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19"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年份</w:t>
            </w:r>
          </w:p>
        </w:tc>
        <w:tc>
          <w:tcPr>
            <w:tcW w:w="1644" w:type="dxa"/>
            <w:gridSpan w:val="2"/>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1类（林芝市生态环境局）</w:t>
            </w:r>
          </w:p>
        </w:tc>
        <w:tc>
          <w:tcPr>
            <w:tcW w:w="1644" w:type="dxa"/>
            <w:gridSpan w:val="2"/>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2类（青年公寓）</w:t>
            </w:r>
          </w:p>
        </w:tc>
        <w:tc>
          <w:tcPr>
            <w:tcW w:w="1823" w:type="dxa"/>
            <w:gridSpan w:val="2"/>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4a类（林芝建行）</w:t>
            </w:r>
          </w:p>
        </w:tc>
        <w:tc>
          <w:tcPr>
            <w:tcW w:w="1772" w:type="dxa"/>
            <w:vMerge w:val="restart"/>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总达标点次/总点次</w:t>
            </w:r>
          </w:p>
        </w:tc>
        <w:tc>
          <w:tcPr>
            <w:tcW w:w="92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达标率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644" w:type="dxa"/>
            <w:gridSpan w:val="2"/>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达标点次</w:t>
            </w:r>
          </w:p>
        </w:tc>
        <w:tc>
          <w:tcPr>
            <w:tcW w:w="1644" w:type="dxa"/>
            <w:gridSpan w:val="2"/>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达标点次</w:t>
            </w:r>
          </w:p>
        </w:tc>
        <w:tc>
          <w:tcPr>
            <w:tcW w:w="1823" w:type="dxa"/>
            <w:gridSpan w:val="2"/>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达标点次</w:t>
            </w:r>
          </w:p>
        </w:tc>
        <w:tc>
          <w:tcPr>
            <w:tcW w:w="1772"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c>
          <w:tcPr>
            <w:tcW w:w="920"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19"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昼</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夜</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昼</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夜</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昼</w:t>
            </w:r>
          </w:p>
        </w:tc>
        <w:tc>
          <w:tcPr>
            <w:tcW w:w="1001"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夜</w:t>
            </w:r>
          </w:p>
        </w:tc>
        <w:tc>
          <w:tcPr>
            <w:tcW w:w="1772"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c>
          <w:tcPr>
            <w:tcW w:w="920" w:type="dxa"/>
            <w:vMerge w:val="continue"/>
            <w:noWrap w:val="0"/>
            <w:vAlign w:val="center"/>
          </w:tcPr>
          <w:p>
            <w:pPr>
              <w:pStyle w:val="28"/>
              <w:keepNext w:val="0"/>
              <w:keepLines w:val="0"/>
              <w:suppressLineNumbers w:val="0"/>
              <w:spacing w:beforeAutospacing="0" w:afterAutospacing="0" w:line="276" w:lineRule="auto"/>
              <w:ind w:left="0" w:right="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19"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2016</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100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177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24/24</w:t>
            </w:r>
          </w:p>
        </w:tc>
        <w:tc>
          <w:tcPr>
            <w:tcW w:w="92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19"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2017</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100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3</w:t>
            </w:r>
          </w:p>
        </w:tc>
        <w:tc>
          <w:tcPr>
            <w:tcW w:w="177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23/24</w:t>
            </w:r>
          </w:p>
        </w:tc>
        <w:tc>
          <w:tcPr>
            <w:tcW w:w="92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19"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2018</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100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177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24/24</w:t>
            </w:r>
          </w:p>
        </w:tc>
        <w:tc>
          <w:tcPr>
            <w:tcW w:w="92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19"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2019</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w:t>
            </w:r>
          </w:p>
        </w:tc>
        <w:tc>
          <w:tcPr>
            <w:tcW w:w="100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177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24/24</w:t>
            </w:r>
          </w:p>
        </w:tc>
        <w:tc>
          <w:tcPr>
            <w:tcW w:w="920"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2020</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3</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3</w:t>
            </w:r>
          </w:p>
        </w:tc>
        <w:tc>
          <w:tcPr>
            <w:tcW w:w="8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100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w:t>
            </w:r>
          </w:p>
        </w:tc>
        <w:tc>
          <w:tcPr>
            <w:tcW w:w="1772"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22/22</w:t>
            </w:r>
          </w:p>
        </w:tc>
        <w:tc>
          <w:tcPr>
            <w:tcW w:w="92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100%</w:t>
            </w:r>
          </w:p>
        </w:tc>
      </w:tr>
    </w:tbl>
    <w:p>
      <w:pPr>
        <w:pStyle w:val="34"/>
        <w:jc w:val="both"/>
      </w:pPr>
      <w:r>
        <w:rPr>
          <w:rFonts w:hint="eastAsia"/>
        </w:rPr>
        <w:t>注：林芝建行2017年第二季度夜间噪声平均55.9分贝，超过4a类夜间标准（55分贝）。</w:t>
      </w:r>
    </w:p>
    <w:p>
      <w:pPr>
        <w:pStyle w:val="6"/>
        <w:ind w:firstLine="480"/>
        <w:rPr>
          <w:rFonts w:hint="eastAsia"/>
        </w:rPr>
      </w:pPr>
      <w:r>
        <w:rPr>
          <w:rFonts w:hint="eastAsia"/>
        </w:rPr>
        <w:t>2016~2020年林芝市中心城区各类功能区监测点位除2017年第二季度林芝建行夜间噪声为55.9分贝超过4a类夜间标准(55分贝)，其余均达标。</w:t>
      </w:r>
    </w:p>
    <w:p>
      <w:pPr>
        <w:pStyle w:val="5"/>
        <w:rPr>
          <w:rFonts w:hint="eastAsia"/>
        </w:rPr>
      </w:pPr>
      <w:bookmarkStart w:id="106" w:name="_Toc24712"/>
      <w:r>
        <w:rPr>
          <w:rFonts w:hint="eastAsia"/>
        </w:rPr>
        <w:t>3.3.4土壤质量现状</w:t>
      </w:r>
      <w:bookmarkEnd w:id="106"/>
    </w:p>
    <w:p>
      <w:pPr>
        <w:pStyle w:val="6"/>
        <w:ind w:firstLine="480"/>
      </w:pPr>
      <w:r>
        <w:rPr>
          <w:rFonts w:hint="eastAsia"/>
        </w:rPr>
        <w:t>根据《林芝市环境质量报告书（2016~2020年）》，2020年林芝市各县（区）共有农村试点监测村庄130个。其中，墨脱县5个试点村共15个土壤监测点位；察隅县17个试点村共51个土壤监测点位；巴宜区15个试点村共12个土壤监测点位；波密县80个试点村共273个土壤监测点位；工布江达县5个试点村庄，5个土壤监测点位；米林县5个试点村庄共5个土壤监测点位；共361个土壤监测点位均符合《土壤环境质量农用地土壤污染风险管控标准》（GB15618-2018）表1《农用地土壤污染风险筛选值》要求。</w:t>
      </w:r>
    </w:p>
    <w:p>
      <w:pPr>
        <w:pStyle w:val="4"/>
        <w:rPr>
          <w:rFonts w:hint="eastAsia"/>
        </w:rPr>
      </w:pPr>
      <w:bookmarkStart w:id="107" w:name="_Toc21301"/>
      <w:r>
        <w:rPr>
          <w:rFonts w:hint="eastAsia"/>
        </w:rPr>
        <w:t>3.4生态环境现状分析</w:t>
      </w:r>
      <w:bookmarkEnd w:id="107"/>
    </w:p>
    <w:p>
      <w:pPr>
        <w:pStyle w:val="6"/>
        <w:ind w:firstLine="480"/>
        <w:rPr>
          <w:rFonts w:hint="eastAsia"/>
          <w:color w:val="auto"/>
        </w:rPr>
      </w:pPr>
      <w:r>
        <w:rPr>
          <w:rFonts w:hint="eastAsia"/>
          <w:color w:val="auto"/>
        </w:rPr>
        <w:t>本次规划环评收集了近年来</w:t>
      </w:r>
      <w:r>
        <w:rPr>
          <w:rFonts w:hint="eastAsia"/>
          <w:color w:val="auto"/>
          <w:lang w:val="en-US" w:eastAsia="zh-CN"/>
        </w:rPr>
        <w:t>林芝市</w:t>
      </w:r>
      <w:r>
        <w:rPr>
          <w:rFonts w:hint="eastAsia"/>
          <w:color w:val="auto"/>
        </w:rPr>
        <w:t>境内一些主要的生态现状调查资料，来反映相关的生态环境现状。</w:t>
      </w:r>
    </w:p>
    <w:p>
      <w:pPr>
        <w:pStyle w:val="6"/>
        <w:ind w:firstLine="480"/>
        <w:rPr>
          <w:rFonts w:hint="eastAsia"/>
        </w:rPr>
      </w:pPr>
      <w:r>
        <w:rPr>
          <w:rFonts w:hint="eastAsia"/>
        </w:rPr>
        <w:t>林芝市被称为西藏的小江南，总面积</w:t>
      </w:r>
      <w:r>
        <w:t>116175</w:t>
      </w:r>
      <w:r>
        <w:rPr>
          <w:rFonts w:hint="eastAsia"/>
        </w:rPr>
        <w:t>平方千米，辖境东西约长</w:t>
      </w:r>
      <w:r>
        <w:t>646.7</w:t>
      </w:r>
      <w:r>
        <w:rPr>
          <w:rFonts w:hint="eastAsia"/>
        </w:rPr>
        <w:t>千米，南北约宽</w:t>
      </w:r>
      <w:r>
        <w:t>353.2</w:t>
      </w:r>
      <w:r>
        <w:rPr>
          <w:rFonts w:hint="eastAsia"/>
        </w:rPr>
        <w:t>千米，下辖一区六县，分别为巴宜区、工布江达县、朗县、米林县、墨脱县、波密县和察隅县。人口约为</w:t>
      </w:r>
      <w:r>
        <w:t>23.1</w:t>
      </w:r>
      <w:r>
        <w:rPr>
          <w:rFonts w:hint="eastAsia"/>
        </w:rPr>
        <w:t xml:space="preserve">万人，主要气候条件为高原气候，主要聚居少数民族有藏族、纳西族、苗族、回族、独龙族、门巴族、珞巴族、傈僳族、怒族、汉族十个民族和一个未识定的僜人族。林芝市海拔梯度较大，是世界上垂直海拔间差距最大的地区，拥有丰富的垂直自然带体系。许多珍稀的动植物和留存完好的原始森林让这里成为“天然的自然博物馆”。雅鲁藏布江是世界最高的河流，从朗县进入林芝市，在墨脱县境内向南一路疾驰注入印度洋，形成了世界上最大的峡谷。印度洋暖流与北方寒流汇聚在念青唐古拉山脉东部，造成林芝的热带、亚热带、温带及寒带气候共存的多种气候带。在两股暖流的影响下形成了林芝特殊的热带湿润和半湿润气候，年降水量 </w:t>
      </w:r>
      <w:r>
        <w:t>650</w:t>
      </w:r>
      <w:r>
        <w:rPr>
          <w:rFonts w:hint="eastAsia"/>
        </w:rPr>
        <w:t>毫米左右，年平均气温</w:t>
      </w:r>
      <w:r>
        <w:t>8.7</w:t>
      </w:r>
      <w:r>
        <w:rPr>
          <w:rFonts w:hint="eastAsia"/>
        </w:rPr>
        <w:t>℃，年均日照</w:t>
      </w:r>
      <w:r>
        <w:t>2022.2</w:t>
      </w:r>
      <w:r>
        <w:rPr>
          <w:rFonts w:hint="eastAsia"/>
        </w:rPr>
        <w:t>小时，无霜期</w:t>
      </w:r>
      <w:r>
        <w:t>180</w:t>
      </w:r>
      <w:r>
        <w:rPr>
          <w:rFonts w:hint="eastAsia"/>
        </w:rPr>
        <w:t>天。</w:t>
      </w:r>
    </w:p>
    <w:p>
      <w:pPr>
        <w:pStyle w:val="6"/>
        <w:ind w:firstLine="482"/>
        <w:rPr>
          <w:b/>
          <w:bCs/>
        </w:rPr>
      </w:pPr>
      <w:r>
        <w:rPr>
          <w:b/>
          <w:bCs/>
        </w:rPr>
        <w:t>一、</w:t>
      </w:r>
      <w:r>
        <w:rPr>
          <w:rFonts w:hint="eastAsia"/>
          <w:b/>
          <w:bCs/>
        </w:rPr>
        <w:t>土地资源概况</w:t>
      </w:r>
    </w:p>
    <w:p>
      <w:pPr>
        <w:pStyle w:val="6"/>
        <w:ind w:firstLine="480"/>
      </w:pPr>
      <w:r>
        <w:rPr>
          <w:rFonts w:hint="eastAsia"/>
        </w:rPr>
        <w:t>（一）类型多样、分布复杂</w:t>
      </w:r>
    </w:p>
    <w:p>
      <w:pPr>
        <w:pStyle w:val="6"/>
        <w:ind w:firstLine="480"/>
      </w:pPr>
      <w:r>
        <w:rPr>
          <w:rFonts w:hint="eastAsia"/>
        </w:rPr>
        <w:t>林芝市按适宜性分类可以分为适宜农牧利用土地类、适宜农牧业利用土地类等。按土地评价采用的适宜性划分,有宜农、宜林、宜牧、暂不宜农林牧四种，四个土地类型中，进一步按适宜性程度和主导限制因素划分，宜农地分为4个等11个型，宜牧地分为5个等3个型，宜林地分为5个宜林型。适宜农、林、牧的各类土地的空间分布差异大，但有明显水平和垂直变化规律。</w:t>
      </w:r>
    </w:p>
    <w:p>
      <w:pPr>
        <w:pStyle w:val="6"/>
        <w:ind w:firstLine="480"/>
      </w:pPr>
      <w:r>
        <w:rPr>
          <w:rFonts w:hint="eastAsia"/>
        </w:rPr>
        <w:t>1、宜农地</w:t>
      </w:r>
    </w:p>
    <w:p>
      <w:pPr>
        <w:pStyle w:val="6"/>
        <w:ind w:firstLine="480"/>
      </w:pPr>
      <w:r>
        <w:rPr>
          <w:rFonts w:hint="eastAsia"/>
        </w:rPr>
        <w:t>全部散布于河谷地带的各阶地及洪积裙、洪积扇、洪积台和两侧山坡的基部，海拔高150—4200米之间，大部份在3000米以下。</w:t>
      </w:r>
    </w:p>
    <w:p>
      <w:pPr>
        <w:pStyle w:val="6"/>
        <w:ind w:firstLine="480"/>
      </w:pPr>
      <w:r>
        <w:rPr>
          <w:rFonts w:hint="eastAsia"/>
        </w:rPr>
        <w:t>2、宜林地</w:t>
      </w:r>
    </w:p>
    <w:p>
      <w:pPr>
        <w:pStyle w:val="6"/>
        <w:ind w:firstLine="480"/>
      </w:pPr>
      <w:r>
        <w:rPr>
          <w:rFonts w:hint="eastAsia"/>
        </w:rPr>
        <w:t>分布下限为河谷底部，上限一般在4200米左右，最高4600米。</w:t>
      </w:r>
    </w:p>
    <w:p>
      <w:pPr>
        <w:pStyle w:val="6"/>
        <w:ind w:firstLine="480"/>
      </w:pPr>
      <w:r>
        <w:rPr>
          <w:rFonts w:hint="eastAsia"/>
        </w:rPr>
        <w:t>3、牧地</w:t>
      </w:r>
    </w:p>
    <w:p>
      <w:pPr>
        <w:pStyle w:val="6"/>
        <w:ind w:firstLine="480"/>
      </w:pPr>
      <w:r>
        <w:rPr>
          <w:rFonts w:hint="eastAsia"/>
        </w:rPr>
        <w:t>分布于林线以上和林线以下两个部位，林线以下是与宜农地相混的四季草场，林线以上宜牧地可分布到5000米上下，最高达5800米。</w:t>
      </w:r>
    </w:p>
    <w:p>
      <w:pPr>
        <w:spacing w:line="360" w:lineRule="auto"/>
        <w:ind w:firstLine="480" w:firstLineChars="200"/>
        <w:rPr>
          <w:rFonts w:ascii="宋体" w:hAnsi="宋体"/>
        </w:rPr>
      </w:pPr>
      <w:r>
        <w:rPr>
          <w:rFonts w:hint="eastAsia" w:ascii="宋体" w:hAnsi="宋体"/>
        </w:rPr>
        <w:t>（二）宜农土地类分布零散、增产潜力较大、后备资源较多</w:t>
      </w:r>
    </w:p>
    <w:p>
      <w:pPr>
        <w:spacing w:line="360" w:lineRule="auto"/>
        <w:ind w:firstLine="480" w:firstLineChars="200"/>
        <w:rPr>
          <w:rFonts w:ascii="宋体" w:hAnsi="宋体"/>
        </w:rPr>
      </w:pPr>
      <w:r>
        <w:rPr>
          <w:rFonts w:hint="eastAsia" w:ascii="宋体" w:hAnsi="宋体"/>
        </w:rPr>
        <w:t>受地形因素限制，河谷地带农地分布比较零散，特别是随河谷的宽、窄变化，分布差异大。雅鲁藏布江中游段，宜农地集中，面积较大，下游段宜农地很少，分布零散。尼洋河上游段宜农地多分布在洪积台地上，距河床高差大，下游段集中连片。林芝市有8.42万亩土地可作为宜农后备耕地资源，其中可垦水耕农地1.31万亩，可垦旱耕农地7.11万亩。</w:t>
      </w:r>
    </w:p>
    <w:p>
      <w:pPr>
        <w:pStyle w:val="6"/>
        <w:ind w:firstLine="480"/>
      </w:pPr>
      <w:r>
        <w:rPr>
          <w:rFonts w:hint="eastAsia"/>
        </w:rPr>
        <w:t>（三）林业资源开发潜力大</w:t>
      </w:r>
    </w:p>
    <w:p>
      <w:pPr>
        <w:pStyle w:val="6"/>
        <w:ind w:firstLine="480"/>
      </w:pPr>
      <w:r>
        <w:rPr>
          <w:rFonts w:hint="eastAsia"/>
        </w:rPr>
        <w:t>全地区宜林地面积9143.03万亩，占土地总面积的53.2 %,其中宜经济林2.88万亩、宜用材林6440.03万亩、宜新炭林856.87万亩,宜涵养林1785.55万亩、宜防护林57.18万亩。具有热带、亚热带、暧温带、温带和湿润、半湿润的各种森林植被。全地区木材蓄积量4.11亿立方米。</w:t>
      </w:r>
    </w:p>
    <w:p>
      <w:pPr>
        <w:pStyle w:val="6"/>
        <w:ind w:firstLine="480"/>
      </w:pPr>
      <w:r>
        <w:rPr>
          <w:rFonts w:hint="eastAsia"/>
        </w:rPr>
        <w:t>（四）牧业地类资源丰富、季节性差异较大</w:t>
      </w:r>
    </w:p>
    <w:p>
      <w:pPr>
        <w:pStyle w:val="6"/>
        <w:ind w:firstLine="480"/>
      </w:pPr>
      <w:r>
        <w:rPr>
          <w:rFonts w:hint="eastAsia"/>
        </w:rPr>
        <w:t>宜牧地资源丰富，类型复杂，但分布不均匀，全地区宜牧地可划分为五个等级和低温、退化、坡度等4个限制型。宜牧地的分布不仅是空间差异大，在季节上的差异也十分明显，适宜冬春放牧的宜牧地不足。</w:t>
      </w:r>
    </w:p>
    <w:p>
      <w:pPr>
        <w:pStyle w:val="6"/>
        <w:ind w:firstLine="480"/>
      </w:pPr>
      <w:r>
        <w:rPr>
          <w:rFonts w:hint="eastAsia"/>
        </w:rPr>
        <w:t>（五）暂不宜农林牧利用的土地比重大</w:t>
      </w:r>
    </w:p>
    <w:p>
      <w:pPr>
        <w:pStyle w:val="6"/>
        <w:ind w:firstLine="480"/>
      </w:pPr>
      <w:r>
        <w:rPr>
          <w:rFonts w:hint="eastAsia"/>
        </w:rPr>
        <w:t>全地区有暂不宜农林牧利用的土地4930.32万亩,占土地总面积的28.7%。</w:t>
      </w:r>
    </w:p>
    <w:p>
      <w:pPr>
        <w:pStyle w:val="6"/>
        <w:ind w:firstLine="482"/>
        <w:rPr>
          <w:b/>
          <w:bCs/>
        </w:rPr>
      </w:pPr>
      <w:r>
        <w:rPr>
          <w:rFonts w:hint="eastAsia"/>
          <w:b/>
          <w:bCs/>
        </w:rPr>
        <w:t>二、土地资源类型</w:t>
      </w:r>
    </w:p>
    <w:p>
      <w:pPr>
        <w:pStyle w:val="6"/>
        <w:ind w:firstLine="480"/>
      </w:pPr>
      <w:r>
        <w:rPr>
          <w:rFonts w:hint="eastAsia"/>
        </w:rPr>
        <w:t>土地资源分区是以土地适宜类型组合特点确定土地开发利用方向，并参照土地利用现状、草地和土壤调查资源划分，全地区分为四个大区、九个亚区。</w:t>
      </w:r>
    </w:p>
    <w:p>
      <w:pPr>
        <w:pStyle w:val="6"/>
        <w:ind w:firstLine="480"/>
      </w:pPr>
      <w:r>
        <w:rPr>
          <w:rFonts w:hint="eastAsia"/>
        </w:rPr>
        <w:t>（一）西部温暖半湿润农牧区</w:t>
      </w:r>
    </w:p>
    <w:p>
      <w:pPr>
        <w:pStyle w:val="6"/>
        <w:ind w:firstLine="480"/>
      </w:pPr>
      <w:r>
        <w:rPr>
          <w:rFonts w:hint="eastAsia"/>
        </w:rPr>
        <w:t>1、尼洋曲上中游灰褐土、温性草原农牧亚区。</w:t>
      </w:r>
    </w:p>
    <w:p>
      <w:pPr>
        <w:pStyle w:val="6"/>
        <w:ind w:firstLine="480"/>
      </w:pPr>
      <w:r>
        <w:rPr>
          <w:rFonts w:hint="eastAsia"/>
        </w:rPr>
        <w:t>2、雅鲁藏布江中游朗县段褐土、温性草原农牧亚区。</w:t>
      </w:r>
    </w:p>
    <w:p>
      <w:pPr>
        <w:pStyle w:val="6"/>
        <w:ind w:firstLine="480"/>
      </w:pPr>
      <w:r>
        <w:rPr>
          <w:rFonts w:hint="eastAsia"/>
        </w:rPr>
        <w:t>3、雅鲁藏布江中游米林段棕壤暖性草丛牧林亚区。</w:t>
      </w:r>
    </w:p>
    <w:p>
      <w:pPr>
        <w:pStyle w:val="6"/>
        <w:ind w:firstLine="480"/>
      </w:pPr>
      <w:r>
        <w:rPr>
          <w:rFonts w:hint="eastAsia"/>
        </w:rPr>
        <w:t>（二）北部温暖湿涧农林区</w:t>
      </w:r>
    </w:p>
    <w:p>
      <w:pPr>
        <w:pStyle w:val="6"/>
        <w:ind w:firstLine="480"/>
      </w:pPr>
      <w:r>
        <w:rPr>
          <w:rFonts w:hint="eastAsia"/>
        </w:rPr>
        <w:t>1、尼洋曲下游棕壤暖性草丛农业亚区。</w:t>
      </w:r>
    </w:p>
    <w:p>
      <w:pPr>
        <w:pStyle w:val="6"/>
        <w:ind w:firstLine="480"/>
      </w:pPr>
      <w:r>
        <w:rPr>
          <w:rFonts w:hint="eastAsia"/>
        </w:rPr>
        <w:t>2、帕隆藏布棕壤、黄棕壤暖性草甸农林亚区。</w:t>
      </w:r>
    </w:p>
    <w:p>
      <w:pPr>
        <w:pStyle w:val="6"/>
        <w:ind w:firstLine="480"/>
      </w:pPr>
      <w:r>
        <w:rPr>
          <w:rFonts w:hint="eastAsia"/>
        </w:rPr>
        <w:t>3、康玉藏布帕隆藏布上游褐土、灰褐土、温性草原农林亚区。</w:t>
      </w:r>
    </w:p>
    <w:p>
      <w:pPr>
        <w:pStyle w:val="6"/>
        <w:ind w:firstLine="480"/>
      </w:pPr>
      <w:r>
        <w:rPr>
          <w:rFonts w:hint="eastAsia"/>
        </w:rPr>
        <w:t>（三）南部暖热温涧农林区</w:t>
      </w:r>
    </w:p>
    <w:p>
      <w:pPr>
        <w:pStyle w:val="6"/>
        <w:ind w:firstLine="480"/>
      </w:pPr>
      <w:r>
        <w:rPr>
          <w:rFonts w:hint="eastAsia"/>
        </w:rPr>
        <w:t>1、雅鲁藏布下游、黄色赤红壤、黄壤、黄棕壤、热性草丛农林亚区。</w:t>
      </w:r>
    </w:p>
    <w:p>
      <w:pPr>
        <w:pStyle w:val="6"/>
        <w:ind w:firstLine="480"/>
      </w:pPr>
      <w:r>
        <w:rPr>
          <w:rFonts w:hint="eastAsia"/>
        </w:rPr>
        <w:t>2、察隅曲流域黄壤、黄棕壤热性草丛农林亚区。</w:t>
      </w:r>
    </w:p>
    <w:p>
      <w:pPr>
        <w:pStyle w:val="6"/>
        <w:ind w:firstLine="480"/>
      </w:pPr>
      <w:r>
        <w:rPr>
          <w:rFonts w:hint="eastAsia"/>
        </w:rPr>
        <w:t>（四）东部怒江干热河谷褐土、热性草丛农牧区</w:t>
      </w:r>
    </w:p>
    <w:p>
      <w:pPr>
        <w:pStyle w:val="6"/>
        <w:ind w:firstLine="480"/>
        <w:rPr>
          <w:rFonts w:hint="eastAsia"/>
        </w:rPr>
        <w:sectPr>
          <w:pgSz w:w="11906" w:h="16838"/>
          <w:pgMar w:top="1440" w:right="1800" w:bottom="1440" w:left="1800" w:header="851" w:footer="992" w:gutter="0"/>
          <w:pgNumType w:fmt="decimal"/>
          <w:cols w:space="720" w:num="1"/>
          <w:docGrid w:type="lines" w:linePitch="312" w:charSpace="0"/>
        </w:sectPr>
      </w:pPr>
      <w:r>
        <w:rPr>
          <w:rFonts w:hint="eastAsia"/>
        </w:rPr>
        <w:t>1、东部怒江干热河谷褐土、热性草丛农牧区</w:t>
      </w:r>
    </w:p>
    <w:p>
      <w:pPr>
        <w:pStyle w:val="6"/>
        <w:ind w:firstLine="0" w:firstLineChars="0"/>
        <w:jc w:val="center"/>
        <w:rPr>
          <w:rFonts w:ascii="宋体" w:hAnsi="宋体"/>
          <w:sz w:val="28"/>
          <w:szCs w:val="28"/>
        </w:rPr>
      </w:pPr>
      <w:r>
        <w:drawing>
          <wp:inline distT="0" distB="0" distL="114300" distR="114300">
            <wp:extent cx="6637020" cy="4767580"/>
            <wp:effectExtent l="0" t="0" r="11430" b="139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rcRect/>
                    <a:stretch>
                      <a:fillRect/>
                    </a:stretch>
                  </pic:blipFill>
                  <pic:spPr>
                    <a:xfrm>
                      <a:off x="0" y="0"/>
                      <a:ext cx="6637020" cy="4767580"/>
                    </a:xfrm>
                    <a:prstGeom prst="rect">
                      <a:avLst/>
                    </a:prstGeom>
                    <a:noFill/>
                    <a:ln>
                      <a:noFill/>
                    </a:ln>
                  </pic:spPr>
                </pic:pic>
              </a:graphicData>
            </a:graphic>
          </wp:inline>
        </w:drawing>
      </w:r>
    </w:p>
    <w:p>
      <w:pPr>
        <w:pStyle w:val="34"/>
        <w:sectPr>
          <w:pgSz w:w="16838" w:h="11906" w:orient="landscape"/>
          <w:pgMar w:top="1800" w:right="1440" w:bottom="1800" w:left="1440" w:header="851" w:footer="992" w:gutter="0"/>
          <w:pgNumType w:fmt="decimal"/>
          <w:cols w:space="720" w:num="1"/>
          <w:docGrid w:type="lines" w:linePitch="312" w:charSpace="0"/>
        </w:sectPr>
      </w:pPr>
      <w:r>
        <w:rPr>
          <w:rFonts w:hint="eastAsia"/>
        </w:rPr>
        <w:t xml:space="preserve">图3.4-1 </w:t>
      </w:r>
      <w:r>
        <w:t>林芝市土地利用分布图</w:t>
      </w:r>
    </w:p>
    <w:p>
      <w:pPr>
        <w:pStyle w:val="6"/>
        <w:ind w:firstLine="480"/>
        <w:rPr>
          <w:rFonts w:hint="eastAsia"/>
        </w:rPr>
      </w:pPr>
      <w:r>
        <w:rPr>
          <w:rFonts w:hint="eastAsia"/>
        </w:rPr>
        <w:t>三、森林资源概况</w:t>
      </w:r>
    </w:p>
    <w:p>
      <w:pPr>
        <w:pStyle w:val="6"/>
        <w:ind w:firstLine="480"/>
      </w:pPr>
      <w:r>
        <w:rPr>
          <w:rFonts w:hint="eastAsia"/>
        </w:rPr>
        <w:t>林芝市地域宽广，地形及水热条件各异，植被类型复杂，有热带、亚热带、温带直至高山寒带的各类植被，之间既呈水平地带分布，又有明显的垂直地带分布。其主要植被类型有高山稀疏垫状植被，高山、亚高山草甸与灌丛草甸土植被，以云、冷杉为主的暗针叶林，以高山松、云南松为主的亮针叶林，西藏柏树林及巨柏疏林，以高山栎为主的硬叶常绿林，以杨、桦林为主的落叶阔叶林，以常绿阔叶林和常绿落叶林混交的亚热带阔叶林，热带山地常绿雨林与热带季雨林，河谷草甸、灌丛及灌丛草原等植被类型。</w:t>
      </w:r>
    </w:p>
    <w:p>
      <w:pPr>
        <w:pStyle w:val="6"/>
        <w:ind w:firstLine="480"/>
        <w:rPr>
          <w:rFonts w:hint="eastAsia"/>
        </w:rPr>
      </w:pPr>
      <w:r>
        <w:rPr>
          <w:rFonts w:hint="eastAsia"/>
        </w:rPr>
        <w:t>林芝市森林土壤一般厚度</w:t>
      </w:r>
      <w:r>
        <w:t>40~60</w:t>
      </w:r>
      <w:r>
        <w:rPr>
          <w:rFonts w:hint="eastAsia"/>
        </w:rPr>
        <w:t>厘米，质地轻壤—砂壤，</w:t>
      </w:r>
      <w:r>
        <w:t>PH</w:t>
      </w:r>
      <w:r>
        <w:rPr>
          <w:rFonts w:hint="eastAsia"/>
        </w:rPr>
        <w:t>在</w:t>
      </w:r>
      <w:r>
        <w:t>5~6</w:t>
      </w:r>
      <w:r>
        <w:rPr>
          <w:rFonts w:hint="eastAsia"/>
        </w:rPr>
        <w:t>之间，呈酸性反应，有机质含量较丰富，肥力一般较高。因海拔高差大，土壤带发育多形成寒、温、热带完整的垂直结构，可分为：（</w:t>
      </w:r>
      <w:r>
        <w:t>1</w:t>
      </w:r>
      <w:r>
        <w:rPr>
          <w:rFonts w:hint="eastAsia"/>
        </w:rPr>
        <w:t>）高山寒漠土：海拔</w:t>
      </w:r>
      <w:r>
        <w:t>4800</w:t>
      </w:r>
      <w:r>
        <w:rPr>
          <w:rFonts w:hint="eastAsia"/>
        </w:rPr>
        <w:t>米以上；（</w:t>
      </w:r>
      <w:r>
        <w:t>2</w:t>
      </w:r>
      <w:r>
        <w:rPr>
          <w:rFonts w:hint="eastAsia"/>
        </w:rPr>
        <w:t>）高山草原草甸土：海拔</w:t>
      </w:r>
      <w:r>
        <w:t>4000~4800</w:t>
      </w:r>
      <w:r>
        <w:rPr>
          <w:rFonts w:hint="eastAsia"/>
        </w:rPr>
        <w:t>米；（</w:t>
      </w:r>
      <w:r>
        <w:t>3</w:t>
      </w:r>
      <w:r>
        <w:rPr>
          <w:rFonts w:hint="eastAsia"/>
        </w:rPr>
        <w:t>）山地灌丛草甸土：海拔</w:t>
      </w:r>
      <w:r>
        <w:t>3600~4200</w:t>
      </w:r>
      <w:r>
        <w:rPr>
          <w:rFonts w:hint="eastAsia"/>
        </w:rPr>
        <w:t>米；（</w:t>
      </w:r>
      <w:r>
        <w:t>4</w:t>
      </w:r>
      <w:r>
        <w:rPr>
          <w:rFonts w:hint="eastAsia"/>
        </w:rPr>
        <w:t>）山地灰棕壤：海拔</w:t>
      </w:r>
      <w:r>
        <w:t>2400~4000</w:t>
      </w:r>
      <w:r>
        <w:rPr>
          <w:rFonts w:hint="eastAsia"/>
        </w:rPr>
        <w:t>米；（</w:t>
      </w:r>
      <w:r>
        <w:t>5</w:t>
      </w:r>
      <w:r>
        <w:rPr>
          <w:rFonts w:hint="eastAsia"/>
        </w:rPr>
        <w:t>）灰化土：海拔</w:t>
      </w:r>
      <w:r>
        <w:t>2400~4000</w:t>
      </w:r>
      <w:r>
        <w:rPr>
          <w:rFonts w:hint="eastAsia"/>
        </w:rPr>
        <w:t>米；（</w:t>
      </w:r>
      <w:r>
        <w:t>6</w:t>
      </w:r>
      <w:r>
        <w:rPr>
          <w:rFonts w:hint="eastAsia"/>
        </w:rPr>
        <w:t>）黄棕壤：海拔</w:t>
      </w:r>
      <w:r>
        <w:t>1800~2400</w:t>
      </w:r>
      <w:r>
        <w:rPr>
          <w:rFonts w:hint="eastAsia"/>
        </w:rPr>
        <w:t>米；（</w:t>
      </w:r>
      <w:r>
        <w:t>7</w:t>
      </w:r>
      <w:r>
        <w:rPr>
          <w:rFonts w:hint="eastAsia"/>
        </w:rPr>
        <w:t>）黄壤：海拔</w:t>
      </w:r>
      <w:r>
        <w:t>1000~1800</w:t>
      </w:r>
      <w:r>
        <w:rPr>
          <w:rFonts w:hint="eastAsia"/>
        </w:rPr>
        <w:t>米；（</w:t>
      </w:r>
      <w:r>
        <w:t>8</w:t>
      </w:r>
      <w:r>
        <w:rPr>
          <w:rFonts w:hint="eastAsia"/>
        </w:rPr>
        <w:t>）黄色砖红壤：海拔</w:t>
      </w:r>
      <w:r>
        <w:t>1000</w:t>
      </w:r>
      <w:r>
        <w:rPr>
          <w:rFonts w:hint="eastAsia"/>
        </w:rPr>
        <w:t>米以下。由于海拔高差的悬殊，造成气候垂直分布的明显差异，形成五个气候带，分别为：（</w:t>
      </w:r>
      <w:r>
        <w:t>1</w:t>
      </w:r>
      <w:r>
        <w:rPr>
          <w:rFonts w:hint="eastAsia"/>
        </w:rPr>
        <w:t>）热带北缘湿润气候带，海拔</w:t>
      </w:r>
      <w:r>
        <w:t>1000</w:t>
      </w:r>
      <w:r>
        <w:rPr>
          <w:rFonts w:hint="eastAsia"/>
        </w:rPr>
        <w:t>米以下，包括雅鲁藏布江河谷及其支流谷地；（</w:t>
      </w:r>
      <w:r>
        <w:t>2</w:t>
      </w:r>
      <w:r>
        <w:rPr>
          <w:rFonts w:hint="eastAsia"/>
        </w:rPr>
        <w:t>）山地亚热带湿润气候带，海拔</w:t>
      </w:r>
      <w:r>
        <w:t>1000~2400</w:t>
      </w:r>
      <w:r>
        <w:rPr>
          <w:rFonts w:hint="eastAsia"/>
        </w:rPr>
        <w:t>米，雅鲁藏布江及其支流谷地和山地下部；（</w:t>
      </w:r>
      <w:r>
        <w:t>3</w:t>
      </w:r>
      <w:r>
        <w:rPr>
          <w:rFonts w:hint="eastAsia"/>
        </w:rPr>
        <w:t>）亚高山温带湿润气候带，海拔</w:t>
      </w:r>
      <w:r>
        <w:t>2400~4000</w:t>
      </w:r>
      <w:r>
        <w:rPr>
          <w:rFonts w:hint="eastAsia"/>
        </w:rPr>
        <w:t>米，雅鲁藏布江两岸山地中部；（</w:t>
      </w:r>
      <w:r>
        <w:t>4</w:t>
      </w:r>
      <w:r>
        <w:rPr>
          <w:rFonts w:hint="eastAsia"/>
        </w:rPr>
        <w:t>）高山寒温带湿润气候带，海拔</w:t>
      </w:r>
      <w:r>
        <w:t>4000~4800</w:t>
      </w:r>
      <w:r>
        <w:rPr>
          <w:rFonts w:hint="eastAsia"/>
        </w:rPr>
        <w:t>米，山地中上部（林缘以上）；（</w:t>
      </w:r>
      <w:r>
        <w:t>5</w:t>
      </w:r>
      <w:r>
        <w:rPr>
          <w:rFonts w:hint="eastAsia"/>
        </w:rPr>
        <w:t>）高山寒带冰雪气候带，海拔</w:t>
      </w:r>
      <w:r>
        <w:t>4800~5000</w:t>
      </w:r>
      <w:r>
        <w:rPr>
          <w:rFonts w:hint="eastAsia"/>
        </w:rPr>
        <w:t>米以上。</w:t>
      </w:r>
    </w:p>
    <w:p>
      <w:pPr>
        <w:pStyle w:val="6"/>
        <w:ind w:firstLine="480"/>
        <w:rPr>
          <w:rFonts w:hint="eastAsia"/>
        </w:rPr>
      </w:pPr>
      <w:r>
        <w:t xml:space="preserve"> </w:t>
      </w:r>
      <w:r>
        <w:rPr>
          <w:rFonts w:hint="eastAsia"/>
        </w:rPr>
        <w:t>而森林植被的分布随海拔、气候的差异在垂直分布上呈明显的规律性变化，从低到高分布有低山热带雨林、中山亚热带常绿和常绿与落叶阔叶混交林、亚高山温带针叶林、高山寒温带灌丛草原带、高山寒冰带。</w:t>
      </w:r>
    </w:p>
    <w:p>
      <w:pPr>
        <w:pStyle w:val="6"/>
        <w:ind w:firstLine="480"/>
      </w:pPr>
      <w:r>
        <w:t xml:space="preserve">   </w:t>
      </w:r>
      <w:r>
        <w:rPr>
          <w:rFonts w:hint="eastAsia"/>
        </w:rPr>
        <w:t>（</w:t>
      </w:r>
      <w:r>
        <w:t>1</w:t>
      </w:r>
      <w:r>
        <w:rPr>
          <w:rFonts w:hint="eastAsia"/>
        </w:rPr>
        <w:t>）低山热带雨林。</w:t>
      </w:r>
    </w:p>
    <w:p>
      <w:pPr>
        <w:pStyle w:val="6"/>
        <w:ind w:firstLine="480"/>
        <w:rPr>
          <w:rFonts w:hint="eastAsia"/>
        </w:rPr>
      </w:pPr>
      <w:r>
        <w:rPr>
          <w:rFonts w:hint="eastAsia"/>
        </w:rPr>
        <w:t>分布于海拔</w:t>
      </w:r>
      <w:r>
        <w:t>1000</w:t>
      </w:r>
      <w:r>
        <w:rPr>
          <w:rFonts w:hint="eastAsia"/>
        </w:rPr>
        <w:t>米以下，这一地带丰富的降水与较高的热量条件相配合，为热带常绿和半常绿雨林的发育创造了有利条件，森林植被生长茂密，林冠浓郁，树种组成丰富，尤以龙脑香科、使君子科、大风子科、金虎尾科、番荔枝科、五桠果科等树木最为典型。常见树种上层有千果榄仁、小果紫薇、阿丁枫、斯里兰卡天料木、印度栲、墨脱石栎、歪叶榕、大叶桂、粗壮琼楠、美脉杜英、膜叶猴欢喜等，树木高大，树高</w:t>
      </w:r>
      <w:r>
        <w:t>30</w:t>
      </w:r>
      <w:r>
        <w:rPr>
          <w:rFonts w:hint="eastAsia"/>
        </w:rPr>
        <w:t>米以上，树干多光滑，颜色较淡醒目，部分林木具有板根和老树生花现象。第二层乔木树种树高</w:t>
      </w:r>
      <w:r>
        <w:t>15~25</w:t>
      </w:r>
      <w:r>
        <w:rPr>
          <w:rFonts w:hint="eastAsia"/>
        </w:rPr>
        <w:t>米，常见有马蛋果、柏那参、多蕊木、苦树、羽叶泡花树等。林中下木盖度不一，主要由茜草科、野牡丹科、梧桐科、马鞭草科的灌木组成。常见种有鱼骨木、墨脱玉叶金花、米什米咖啡、滇丁香、展叶野牡丹、三对节、木姜子、网脉悬钩子等，少见西藏箭竹。草本植物总盖度</w:t>
      </w:r>
      <w:r>
        <w:t>40~60%</w:t>
      </w:r>
      <w:r>
        <w:rPr>
          <w:rFonts w:hint="eastAsia"/>
        </w:rPr>
        <w:t>，高大草本植物有竹芋科尖苞冬叶以及树蕨（桫椤）等，第二层有禾本科竹叶草、棕叶狗尾草、疏伞楼梯草和寻麻科、姜科植物，常见蕨类有新月蕨、凤尾蕨、耳蕨、石韦等。</w:t>
      </w:r>
    </w:p>
    <w:p>
      <w:pPr>
        <w:pStyle w:val="6"/>
        <w:ind w:firstLine="480"/>
        <w:rPr>
          <w:rFonts w:hint="eastAsia"/>
        </w:rPr>
      </w:pPr>
      <w:r>
        <w:rPr>
          <w:rFonts w:hint="eastAsia"/>
        </w:rPr>
        <w:t>藤本植物常见有刺苞省藤、油渣果、毛过山龙、藤状竹以及夹竹桃科、萝摩科、葡萄科、百合科等植物，有些蔓长数十米，绕茎盘枝，与兰科、蕨类、天南星科等附生植物悬挂蒙罗摇缀，组成热带雨林独有的画面。在遭受破坏的地段或山地下部、河谷沿岸，常见有尼泊尔野桐小片纯林，或是由尼泊尔桤木、中平树、芭蕉、四数木、棉毛水冬哥等组成的次生林。村庄附近或阴湿地段尚有小片和丛生的大径竹，主要有西藏香竹、牡竹等种，竹高</w:t>
      </w:r>
      <w:r>
        <w:t>15</w:t>
      </w:r>
      <w:r>
        <w:rPr>
          <w:rFonts w:hint="eastAsia"/>
        </w:rPr>
        <w:t>米左右，眉径</w:t>
      </w:r>
      <w:r>
        <w:t>12~16</w:t>
      </w:r>
      <w:r>
        <w:rPr>
          <w:rFonts w:hint="eastAsia"/>
        </w:rPr>
        <w:t>厘米。</w:t>
      </w:r>
    </w:p>
    <w:p>
      <w:pPr>
        <w:pStyle w:val="6"/>
        <w:ind w:firstLine="480"/>
      </w:pPr>
      <w:r>
        <w:rPr>
          <w:rFonts w:hint="eastAsia"/>
        </w:rPr>
        <w:t>（</w:t>
      </w:r>
      <w:r>
        <w:t>2</w:t>
      </w:r>
      <w:r>
        <w:rPr>
          <w:rFonts w:hint="eastAsia"/>
        </w:rPr>
        <w:t>）中山亚热带常绿和常绿与落叶阔叶混交林。</w:t>
      </w:r>
    </w:p>
    <w:p>
      <w:pPr>
        <w:pStyle w:val="6"/>
        <w:ind w:firstLine="480"/>
      </w:pPr>
      <w:r>
        <w:rPr>
          <w:rFonts w:hint="eastAsia"/>
        </w:rPr>
        <w:t>分布于海拔</w:t>
      </w:r>
      <w:r>
        <w:t>1000~2400</w:t>
      </w:r>
      <w:r>
        <w:rPr>
          <w:rFonts w:hint="eastAsia"/>
        </w:rPr>
        <w:t>米之间。因季风气候造成的干湿季以及海拔分异，混有落叶阔叶树分布，一般在</w:t>
      </w:r>
      <w:r>
        <w:t>1800</w:t>
      </w:r>
      <w:r>
        <w:rPr>
          <w:rFonts w:hint="eastAsia"/>
        </w:rPr>
        <w:t>米以下为常绿阔叶林，</w:t>
      </w:r>
      <w:r>
        <w:t>1800</w:t>
      </w:r>
      <w:r>
        <w:rPr>
          <w:rFonts w:hint="eastAsia"/>
        </w:rPr>
        <w:t>米以上为常绿与落叶阔叶混交林。常见乔木树种有刺栲、马蹄荷、墨脱青冈、墨脱石栎、察隅润楠、墨脱楠、滇藏杜英、绒叶含笑、密叶合欢、绒毛山龙眼、西藏木姜子、墨脱山胡椒、三桠乌药、香椿等，林分密度较大。下木层多见毛果柃、越桔、算盘子、朱砂根、构树、俅江鼠刺、西藏核果茶，部分地段分布成片箭竹、方竹、黑竹等杂竹类。草本植物盖度较大，常见多种蕨类、兰科植物以及黄姜花、单花球子草。被破坏地段由尼泊尔桤木、栲属组成小片次生纯林。在下部芭蕉已呈零星分布。支流中部谷地亦有成片山杨、桦木林。在海拔</w:t>
      </w:r>
      <w:r>
        <w:t>1600~2600</w:t>
      </w:r>
      <w:r>
        <w:rPr>
          <w:rFonts w:hint="eastAsia"/>
        </w:rPr>
        <w:t>米之间多处见有成片分布的乔松中成林。</w:t>
      </w:r>
    </w:p>
    <w:p>
      <w:pPr>
        <w:pStyle w:val="6"/>
        <w:ind w:firstLine="480"/>
      </w:pPr>
      <w:r>
        <w:rPr>
          <w:rFonts w:hint="eastAsia"/>
        </w:rPr>
        <w:t>（</w:t>
      </w:r>
      <w:r>
        <w:t>3</w:t>
      </w:r>
      <w:r>
        <w:rPr>
          <w:rFonts w:hint="eastAsia"/>
        </w:rPr>
        <w:t>）亚高山温带针叶林。</w:t>
      </w:r>
    </w:p>
    <w:p>
      <w:pPr>
        <w:pStyle w:val="6"/>
        <w:ind w:firstLine="480"/>
        <w:rPr>
          <w:rFonts w:hint="eastAsia"/>
        </w:rPr>
      </w:pPr>
      <w:r>
        <w:rPr>
          <w:rFonts w:hint="eastAsia"/>
        </w:rPr>
        <w:t>分布于海拔</w:t>
      </w:r>
      <w:r>
        <w:t>2400~4000</w:t>
      </w:r>
      <w:r>
        <w:rPr>
          <w:rFonts w:hint="eastAsia"/>
        </w:rPr>
        <w:t>米之间，该地段气候温凉湿润，建群树种主要是墨脱冷杉和壳斗科的栎（栗）类树种分布上延的成过熟林。部分地段尚有成片的云南铁杉（北部）、高山松（北部阳坡）以及糙皮桦等。墨脱冷杉、云南铁杉林分郁闭度不大，约</w:t>
      </w:r>
      <w:r>
        <w:t>0.4~0.5</w:t>
      </w:r>
      <w:r>
        <w:rPr>
          <w:rFonts w:hint="eastAsia"/>
        </w:rPr>
        <w:t>，但树干高大、一般在</w:t>
      </w:r>
      <w:r>
        <w:t>35~40</w:t>
      </w:r>
      <w:r>
        <w:rPr>
          <w:rFonts w:hint="eastAsia"/>
        </w:rPr>
        <w:t>米，径粗</w:t>
      </w:r>
      <w:r>
        <w:t>1</w:t>
      </w:r>
      <w:r>
        <w:rPr>
          <w:rFonts w:hint="eastAsia"/>
        </w:rPr>
        <w:t>米左右，每公顷蓄积量多在</w:t>
      </w:r>
      <w:r>
        <w:t>600~800</w:t>
      </w:r>
      <w:r>
        <w:rPr>
          <w:rFonts w:hint="eastAsia"/>
        </w:rPr>
        <w:t>立方米间，高者达</w:t>
      </w:r>
      <w:r>
        <w:t>1000</w:t>
      </w:r>
      <w:r>
        <w:rPr>
          <w:rFonts w:hint="eastAsia"/>
        </w:rPr>
        <w:t>立方米以上，年龄以</w:t>
      </w:r>
      <w:r>
        <w:t>160~200</w:t>
      </w:r>
      <w:r>
        <w:rPr>
          <w:rFonts w:hint="eastAsia"/>
        </w:rPr>
        <w:t>年占优势，基本保持原始森林状态。第二层混生槭、五加、糙皮桦、青冈等阔叶树。林下灌木多见忍冬、花楸、悬钩子、箭竹、杜鹃、蔷薇等，一般盖度在</w:t>
      </w:r>
      <w:r>
        <w:t>30~60%</w:t>
      </w:r>
      <w:r>
        <w:rPr>
          <w:rFonts w:hint="eastAsia"/>
        </w:rPr>
        <w:t>。草本植物盖度不一，下部可达</w:t>
      </w:r>
      <w:r>
        <w:t>50~60%</w:t>
      </w:r>
      <w:r>
        <w:rPr>
          <w:rFonts w:hint="eastAsia"/>
        </w:rPr>
        <w:t>，随海拔增高而递减。常见有唐松草、变色马兰、兔耳风、禾叶繁缕、斑竹兰、高山露珠草、鳞毛蕨、耳蕨、类叶升麻、蓼等。苔藓层以锦丝藓、塔藓为主。附生植物多见拟粗皮松萝、羽平藓。</w:t>
      </w:r>
    </w:p>
    <w:p>
      <w:pPr>
        <w:pStyle w:val="6"/>
        <w:ind w:firstLine="480"/>
      </w:pPr>
      <w:r>
        <w:rPr>
          <w:rFonts w:hint="eastAsia"/>
        </w:rPr>
        <w:t>（</w:t>
      </w:r>
      <w:r>
        <w:t>4</w:t>
      </w:r>
      <w:r>
        <w:rPr>
          <w:rFonts w:hint="eastAsia"/>
        </w:rPr>
        <w:t>）高山寒温带灌丛草原带。</w:t>
      </w:r>
    </w:p>
    <w:p>
      <w:pPr>
        <w:pStyle w:val="6"/>
        <w:ind w:firstLine="480"/>
      </w:pPr>
      <w:r>
        <w:rPr>
          <w:rFonts w:hint="eastAsia"/>
        </w:rPr>
        <w:t>分布于海拔</w:t>
      </w:r>
      <w:r>
        <w:t>4000~4800</w:t>
      </w:r>
      <w:r>
        <w:rPr>
          <w:rFonts w:hint="eastAsia"/>
        </w:rPr>
        <w:t>米之间，此带气候较寒冷湿润，无霜期约</w:t>
      </w:r>
      <w:r>
        <w:t>80</w:t>
      </w:r>
      <w:r>
        <w:rPr>
          <w:rFonts w:hint="eastAsia"/>
        </w:rPr>
        <w:t>天，积雪时间</w:t>
      </w:r>
      <w:r>
        <w:t xml:space="preserve">6 </w:t>
      </w:r>
      <w:r>
        <w:rPr>
          <w:rFonts w:hint="eastAsia"/>
        </w:rPr>
        <w:t>个月以上，生长期短，以雪层杜鹃、高山矮柳、木本萎陵菜、高山绣线菊、笮叶鲜卑花等灌木为主，多分布在阴坡、半阴坡、沟谷地段，带状连片分布，随海拔升高植株矮小，盖度</w:t>
      </w:r>
      <w:r>
        <w:t>40~80%</w:t>
      </w:r>
      <w:r>
        <w:rPr>
          <w:rFonts w:hint="eastAsia"/>
        </w:rPr>
        <w:t>。草本植物多为驴蹄草、鳞毛蕨、垂头菊、禾本草等，夏季生长茂盛。</w:t>
      </w:r>
      <w:r>
        <w:t xml:space="preserve"> </w:t>
      </w:r>
    </w:p>
    <w:p>
      <w:pPr>
        <w:pStyle w:val="6"/>
        <w:ind w:firstLine="480"/>
      </w:pPr>
      <w:r>
        <w:rPr>
          <w:rFonts w:hint="eastAsia"/>
        </w:rPr>
        <w:t>（</w:t>
      </w:r>
      <w:r>
        <w:t>5</w:t>
      </w:r>
      <w:r>
        <w:rPr>
          <w:rFonts w:hint="eastAsia"/>
        </w:rPr>
        <w:t>）高山寒冰带。</w:t>
      </w:r>
    </w:p>
    <w:p>
      <w:pPr>
        <w:pStyle w:val="6"/>
        <w:ind w:firstLine="480"/>
      </w:pPr>
      <w:r>
        <w:rPr>
          <w:rFonts w:hint="eastAsia"/>
        </w:rPr>
        <w:t>海拔</w:t>
      </w:r>
      <w:r>
        <w:t>4800</w:t>
      </w:r>
      <w:r>
        <w:rPr>
          <w:rFonts w:hint="eastAsia"/>
        </w:rPr>
        <w:t>米以上，气候条件严酷，年均气温在</w:t>
      </w:r>
      <w:r>
        <w:t>-2</w:t>
      </w:r>
      <w:r>
        <w:rPr>
          <w:rFonts w:hint="eastAsia"/>
        </w:rPr>
        <w:t>℃至</w:t>
      </w:r>
      <w:r>
        <w:t>-5</w:t>
      </w:r>
      <w:r>
        <w:rPr>
          <w:rFonts w:hint="eastAsia"/>
        </w:rPr>
        <w:t>℃，表土露出仅</w:t>
      </w:r>
      <w:r>
        <w:t xml:space="preserve">2-3 </w:t>
      </w:r>
      <w:r>
        <w:rPr>
          <w:rFonts w:hint="eastAsia"/>
        </w:rPr>
        <w:t>个月，寒冻风化强烈，崩塌流石与悬崖多，在小生境相对较好地段，见有矮小的蓼、菊、虎耳草等先锋植物和地衣苔藓，呈零星分布。</w:t>
      </w:r>
    </w:p>
    <w:p>
      <w:pPr>
        <w:pStyle w:val="27"/>
        <w:rPr>
          <w:rFonts w:hint="eastAsia"/>
          <w:color w:val="auto"/>
          <w:highlight w:val="none"/>
        </w:rPr>
      </w:pPr>
      <w:r>
        <w:rPr>
          <w:rFonts w:hint="eastAsia"/>
          <w:color w:val="auto"/>
          <w:highlight w:val="none"/>
        </w:rPr>
        <w:t>表3.4-1</w:t>
      </w:r>
      <w:r>
        <w:rPr>
          <w:color w:val="auto"/>
          <w:highlight w:val="none"/>
        </w:rPr>
        <w:t xml:space="preserve">  </w:t>
      </w:r>
      <w:r>
        <w:rPr>
          <w:rFonts w:hint="eastAsia"/>
          <w:color w:val="auto"/>
          <w:highlight w:val="none"/>
        </w:rPr>
        <w:t>林芝市树种组成及优势树种（组）及地类分类系统</w:t>
      </w:r>
    </w:p>
    <w:p>
      <w:pPr>
        <w:jc w:val="center"/>
      </w:pPr>
      <w:r>
        <w:drawing>
          <wp:inline distT="0" distB="0" distL="114300" distR="114300">
            <wp:extent cx="4509135" cy="5887085"/>
            <wp:effectExtent l="0" t="0" r="5715"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4509135" cy="5887085"/>
                    </a:xfrm>
                    <a:prstGeom prst="rect">
                      <a:avLst/>
                    </a:prstGeom>
                    <a:noFill/>
                    <a:ln>
                      <a:noFill/>
                    </a:ln>
                  </pic:spPr>
                </pic:pic>
              </a:graphicData>
            </a:graphic>
          </wp:inline>
        </w:drawing>
      </w:r>
    </w:p>
    <w:p>
      <w:pPr>
        <w:pStyle w:val="6"/>
        <w:ind w:firstLine="480"/>
        <w:rPr>
          <w:rFonts w:hint="eastAsia"/>
        </w:rPr>
      </w:pPr>
      <w:r>
        <w:rPr>
          <w:rFonts w:hint="eastAsia"/>
        </w:rPr>
        <w:t>根据林芝市植被分类结果得出，该区域中冷杉覆盖面积最广，是最主要的植被类型，分布范围主要在高海拔的亚高山地带，海拔集中在</w:t>
      </w:r>
      <w:r>
        <w:t>3200-4100</w:t>
      </w:r>
      <w:r>
        <w:rPr>
          <w:rFonts w:hint="eastAsia"/>
        </w:rPr>
        <w:t>米之间，多位于山的阴坡及山谷地带。其次云杉的分布状态主要以团状呈现，集中在雅鲁藏布江中游及其支流的山坡上，海拔集中在</w:t>
      </w:r>
      <w:r>
        <w:t>2800-3900</w:t>
      </w:r>
      <w:r>
        <w:rPr>
          <w:rFonts w:hint="eastAsia"/>
        </w:rPr>
        <w:t>米内。高山松属于典型的强阳性物种，在林芝市主要分布在海拔</w:t>
      </w:r>
      <w:r>
        <w:t>2200-3400</w:t>
      </w:r>
      <w:r>
        <w:rPr>
          <w:rFonts w:hint="eastAsia"/>
        </w:rPr>
        <w:t>米之间。栎类对环境和气候具有较强的适应力，所以在高海拔地区，如海拔</w:t>
      </w:r>
      <w:r>
        <w:t>2500-3900</w:t>
      </w:r>
      <w:r>
        <w:rPr>
          <w:rFonts w:hint="eastAsia"/>
        </w:rPr>
        <w:t>米范围内有较广泛的分布。云南松多生长于中低海拔地区，主要集中在海拔</w:t>
      </w:r>
      <w:r>
        <w:t>800-2900</w:t>
      </w:r>
      <w:r>
        <w:rPr>
          <w:rFonts w:hint="eastAsia"/>
        </w:rPr>
        <w:t>米范围内。而桦木主要分布在栎类和大果榕周围，与其交错分布。柏木、中平树大果榕以及覆盖面积最小的墨脱青冈加刺栲也主要分布于海拔较低的藏东南地区，多种海拔范围</w:t>
      </w:r>
      <w:r>
        <w:t>1000</w:t>
      </w:r>
      <w:r>
        <w:rPr>
          <w:rFonts w:hint="eastAsia"/>
        </w:rPr>
        <w:t>米至</w:t>
      </w:r>
      <w:r>
        <w:t>2000</w:t>
      </w:r>
      <w:r>
        <w:rPr>
          <w:rFonts w:hint="eastAsia"/>
        </w:rPr>
        <w:t>米的阔叶也集中于此。</w:t>
      </w:r>
    </w:p>
    <w:p>
      <w:pPr>
        <w:pStyle w:val="6"/>
        <w:ind w:firstLine="480"/>
        <w:rPr>
          <w:rFonts w:hint="eastAsia"/>
        </w:rPr>
      </w:pPr>
      <w:r>
        <w:rPr>
          <w:rFonts w:hint="eastAsia"/>
        </w:rPr>
        <w:t>林芝市森林植被以针叶林为主通过</w:t>
      </w:r>
      <w:r>
        <w:t>ArcGIS</w:t>
      </w:r>
      <w:r>
        <w:rPr>
          <w:rFonts w:hint="eastAsia"/>
        </w:rPr>
        <w:t>软件统计得出，整个林芝市森林的总面积为</w:t>
      </w:r>
      <w:r>
        <w:t>217.05</w:t>
      </w:r>
      <w:r>
        <w:rPr>
          <w:rFonts w:hint="eastAsia"/>
        </w:rPr>
        <w:t>万公顷，在针叶类树种中，冷杉是分布最为广泛的树种，占地面积达</w:t>
      </w:r>
      <w:r>
        <w:t>96.13</w:t>
      </w:r>
      <w:r>
        <w:rPr>
          <w:rFonts w:hint="eastAsia"/>
        </w:rPr>
        <w:t>万公顷约占整个森林面积的</w:t>
      </w:r>
      <w:r>
        <w:t>45%</w:t>
      </w:r>
      <w:r>
        <w:rPr>
          <w:rFonts w:hint="eastAsia"/>
        </w:rPr>
        <w:t>。其次分布面积较大的的是云南松林，但是分布较为集中，有</w:t>
      </w:r>
      <w:r>
        <w:t>32.57</w:t>
      </w:r>
      <w:r>
        <w:rPr>
          <w:rFonts w:hint="eastAsia"/>
        </w:rPr>
        <w:t>万公顷。高山松林次之，面积达</w:t>
      </w:r>
      <w:r>
        <w:t>27</w:t>
      </w:r>
      <w:r>
        <w:rPr>
          <w:rFonts w:hint="eastAsia"/>
        </w:rPr>
        <w:t>万公顷。分布最少的则是云杉林、桦木和柏木，其面积都只有</w:t>
      </w:r>
      <w:r>
        <w:t>10</w:t>
      </w:r>
      <w:r>
        <w:rPr>
          <w:rFonts w:hint="eastAsia"/>
        </w:rPr>
        <w:t>万公顷左右，中平树大果榕和墨脱青冈加刺栲系面积较少。而在阔叶混交林中，栎类占据着大部分比例，有</w:t>
      </w:r>
      <w:r>
        <w:t>10</w:t>
      </w:r>
      <w:r>
        <w:rPr>
          <w:rFonts w:hint="eastAsia"/>
        </w:rPr>
        <w:t>万公顷左右。在针阔混交林中较为突出的是高山松加其他阔叶林，占地</w:t>
      </w:r>
      <w:r>
        <w:t>10</w:t>
      </w:r>
      <w:r>
        <w:rPr>
          <w:rFonts w:hint="eastAsia"/>
        </w:rPr>
        <w:t>万公顷左右。</w:t>
      </w:r>
    </w:p>
    <w:p>
      <w:pPr>
        <w:pStyle w:val="6"/>
        <w:ind w:firstLine="480"/>
        <w:rPr>
          <w:rFonts w:hint="eastAsia"/>
        </w:rPr>
        <w:sectPr>
          <w:pgSz w:w="11906" w:h="16838"/>
          <w:pgMar w:top="1440" w:right="1800" w:bottom="1440" w:left="1800" w:header="851" w:footer="992" w:gutter="0"/>
          <w:pgNumType w:fmt="decimal"/>
          <w:cols w:space="720" w:num="1"/>
          <w:docGrid w:type="lines" w:linePitch="312" w:charSpace="0"/>
        </w:sectPr>
      </w:pPr>
      <w:r>
        <w:rPr>
          <w:rFonts w:hint="eastAsia"/>
        </w:rPr>
        <w:t>林芝市森林植被分布具有明显的地域特征冷杉林覆盖区域最广，是林芝市最主要的植被类型，工布江达，波密县，林芝县，察隅县和郎县是冷杉的主要分布区域；云杉主要呈团状分布于墨脱，林芝，波密及工布江达县；高山松集中分布于波密县，林芝县，郎县和工布江达县一带，而栎类在波密县，察隅县和墨脱县均有分布；云南松大面积集中于墨脱县及察隅县河谷地带，桦类主要分布于林芝县和墨脱县一带；柏木，中平树大果榕和覆盖面积最小的墨脱青冈加刺栲也主要分布于墨脱县境内。由于墨脱县独特的亚热带湿润气候，多种阔叶林也分布于此。</w:t>
      </w:r>
    </w:p>
    <w:p>
      <w:pPr>
        <w:jc w:val="center"/>
      </w:pPr>
      <w:r>
        <w:drawing>
          <wp:inline distT="0" distB="0" distL="114300" distR="114300">
            <wp:extent cx="7120890" cy="4836795"/>
            <wp:effectExtent l="0" t="0" r="3810" b="190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9"/>
                    <a:srcRect/>
                    <a:stretch>
                      <a:fillRect/>
                    </a:stretch>
                  </pic:blipFill>
                  <pic:spPr>
                    <a:xfrm>
                      <a:off x="0" y="0"/>
                      <a:ext cx="7120890" cy="4836795"/>
                    </a:xfrm>
                    <a:prstGeom prst="rect">
                      <a:avLst/>
                    </a:prstGeom>
                    <a:noFill/>
                    <a:ln>
                      <a:noFill/>
                    </a:ln>
                  </pic:spPr>
                </pic:pic>
              </a:graphicData>
            </a:graphic>
          </wp:inline>
        </w:drawing>
      </w:r>
    </w:p>
    <w:p>
      <w:pPr>
        <w:pStyle w:val="34"/>
      </w:pPr>
      <w:r>
        <w:rPr>
          <w:rFonts w:hint="eastAsia"/>
        </w:rPr>
        <w:t>图3.4-2  林芝市森林资源分布图</w:t>
      </w:r>
    </w:p>
    <w:p>
      <w:pPr>
        <w:jc w:val="center"/>
      </w:pPr>
      <w:r>
        <w:drawing>
          <wp:inline distT="0" distB="0" distL="114300" distR="114300">
            <wp:extent cx="7288530" cy="4831080"/>
            <wp:effectExtent l="0" t="0" r="7620" b="762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0"/>
                    <a:srcRect/>
                    <a:stretch>
                      <a:fillRect/>
                    </a:stretch>
                  </pic:blipFill>
                  <pic:spPr>
                    <a:xfrm>
                      <a:off x="0" y="0"/>
                      <a:ext cx="7288530" cy="4831080"/>
                    </a:xfrm>
                    <a:prstGeom prst="rect">
                      <a:avLst/>
                    </a:prstGeom>
                    <a:noFill/>
                    <a:ln>
                      <a:noFill/>
                    </a:ln>
                  </pic:spPr>
                </pic:pic>
              </a:graphicData>
            </a:graphic>
          </wp:inline>
        </w:drawing>
      </w:r>
    </w:p>
    <w:p>
      <w:pPr>
        <w:pStyle w:val="34"/>
        <w:rPr>
          <w:rFonts w:hint="eastAsia"/>
        </w:rPr>
      </w:pPr>
      <w:r>
        <w:rPr>
          <w:rFonts w:hint="eastAsia"/>
        </w:rPr>
        <w:t>图3.4-3  林芝市森林资源分布图</w:t>
      </w:r>
    </w:p>
    <w:p>
      <w:pPr>
        <w:pStyle w:val="6"/>
        <w:rPr>
          <w:rFonts w:hint="eastAsia"/>
        </w:rPr>
        <w:sectPr>
          <w:pgSz w:w="16838" w:h="11906" w:orient="landscape"/>
          <w:pgMar w:top="1800" w:right="1440" w:bottom="1800" w:left="1440" w:header="851" w:footer="992" w:gutter="0"/>
          <w:pgNumType w:fmt="decimal"/>
          <w:cols w:space="720" w:num="1"/>
          <w:docGrid w:type="lines" w:linePitch="312" w:charSpace="0"/>
        </w:sectPr>
      </w:pPr>
    </w:p>
    <w:p>
      <w:pPr>
        <w:pStyle w:val="6"/>
        <w:ind w:firstLine="482"/>
        <w:rPr>
          <w:rFonts w:hint="eastAsia"/>
          <w:b/>
          <w:bCs/>
        </w:rPr>
      </w:pPr>
      <w:r>
        <w:rPr>
          <w:rFonts w:hint="eastAsia"/>
          <w:b/>
          <w:bCs/>
        </w:rPr>
        <w:t>四、草地</w:t>
      </w:r>
    </w:p>
    <w:p>
      <w:pPr>
        <w:pStyle w:val="6"/>
        <w:ind w:firstLine="480"/>
        <w:rPr>
          <w:rFonts w:hint="eastAsia"/>
        </w:rPr>
      </w:pPr>
      <w:r>
        <w:rPr>
          <w:rFonts w:hint="eastAsia"/>
        </w:rPr>
        <w:t>林芝市草地总面积3935.74万亩，占土地总面积22.91%，常见的草地植物有63科，240属，503种，其中可饲用植物有204属，411种。</w:t>
      </w:r>
    </w:p>
    <w:p>
      <w:pPr>
        <w:pStyle w:val="6"/>
        <w:ind w:firstLine="480"/>
        <w:rPr>
          <w:rFonts w:hint="eastAsia"/>
        </w:rPr>
      </w:pPr>
      <w:r>
        <w:rPr>
          <w:rFonts w:hint="eastAsia"/>
        </w:rPr>
        <w:t>（一）草地类型资源</w:t>
      </w:r>
    </w:p>
    <w:p>
      <w:pPr>
        <w:pStyle w:val="6"/>
        <w:ind w:firstLine="480"/>
        <w:rPr>
          <w:rFonts w:hint="eastAsia"/>
        </w:rPr>
      </w:pPr>
      <w:r>
        <w:rPr>
          <w:rFonts w:hint="eastAsia"/>
        </w:rPr>
        <w:t>境内草地类型较齐全，依照草地分类标准，天然草地可划分为8个草地类，11个亚类，32个草地组，62个草地型。另有林下草地、撂荒地和农田隙地三种附属草地，从资源和土地利用划分标准衡量，不属于草地范畴，但具有放牧、割草利用价值，具有较大载畜能力。</w:t>
      </w:r>
    </w:p>
    <w:p>
      <w:pPr>
        <w:pStyle w:val="6"/>
        <w:ind w:firstLine="480"/>
        <w:rPr>
          <w:rFonts w:hint="eastAsia"/>
        </w:rPr>
      </w:pPr>
      <w:r>
        <w:rPr>
          <w:rFonts w:hint="eastAsia"/>
        </w:rPr>
        <w:t>1、温性草原类</w:t>
      </w:r>
    </w:p>
    <w:p>
      <w:pPr>
        <w:pStyle w:val="6"/>
        <w:ind w:firstLine="480"/>
        <w:rPr>
          <w:rFonts w:hint="eastAsia"/>
        </w:rPr>
      </w:pPr>
      <w:r>
        <w:rPr>
          <w:rFonts w:hint="eastAsia"/>
        </w:rPr>
        <w:t>面积61.8万亩，可利用面积53.7万亩，分别占全地区草地总面积、可利用面积的2.09%和1.90%，主要分布于雅鲁藏布江中游米林县域以西(包括米林县西部及朗县全部)及尼洋河中上游工布江达西部的河谷两岸阶地、山麓和山坡地带，波密县东部也有少量分布。分布海拔因地而异，大致在3000～4100米范围，雅鲁藏布江中游在3000～3800米，尼洋河中上游在3400～4100米，帕隆藏布上游在3000～3600米。上与山地草甸类相接，下与暖性草丛类相连。分布地域常是森林破坏后的次生草地，涵养水分能力弱，水土流失严重，草地植被稀疏，呈灰绿色景观。生长期6～7个月，常作冷季草场。该草地类分1个亚类，6个草地组，11个草地型。</w:t>
      </w:r>
    </w:p>
    <w:p>
      <w:pPr>
        <w:pStyle w:val="6"/>
        <w:ind w:firstLine="480"/>
        <w:rPr>
          <w:rFonts w:hint="eastAsia"/>
        </w:rPr>
      </w:pPr>
      <w:r>
        <w:rPr>
          <w:rFonts w:hint="eastAsia"/>
        </w:rPr>
        <w:t>2、暖性草丛类</w:t>
      </w:r>
    </w:p>
    <w:p>
      <w:pPr>
        <w:pStyle w:val="6"/>
        <w:ind w:firstLine="480"/>
        <w:rPr>
          <w:rFonts w:hint="eastAsia"/>
        </w:rPr>
      </w:pPr>
      <w:r>
        <w:rPr>
          <w:rFonts w:hint="eastAsia"/>
        </w:rPr>
        <w:t>是地带性草地类型，下与热性草丛类相接，上与温性草原类或山地草甸类相连。面积22.68万亩，可利用面积20.64万亩，分别为全地区草地总面积，可利用面积的0.77%和0.73%。主要分布在林芝县境内的尼洋河下游两岸，察隅河上游、怒江流域及其支流谷地有少量分布，海拔2500～3400米，最高3600米，多在阳坡山麓、洪积——冲积扇、高阶地以及低海拔山坡出现。草地植被以中生植物为主，多为草本层，且以禾木科为主。该草地类分1个亚类，2个草地组，3个草地型。</w:t>
      </w:r>
    </w:p>
    <w:p>
      <w:pPr>
        <w:pStyle w:val="6"/>
        <w:ind w:firstLine="480"/>
        <w:rPr>
          <w:rFonts w:hint="eastAsia"/>
        </w:rPr>
      </w:pPr>
      <w:r>
        <w:rPr>
          <w:rFonts w:hint="eastAsia"/>
        </w:rPr>
        <w:t>3、暖性灌草丛类</w:t>
      </w:r>
    </w:p>
    <w:p>
      <w:pPr>
        <w:pStyle w:val="6"/>
        <w:ind w:firstLine="480"/>
        <w:rPr>
          <w:rFonts w:hint="eastAsia"/>
        </w:rPr>
      </w:pPr>
      <w:r>
        <w:rPr>
          <w:rFonts w:hint="eastAsia"/>
        </w:rPr>
        <w:t>是地带性草地类型，与暖性草丛类分布在同一地带。面积57.70万亩，可利用面积53.16万亩，分别占全地区草地总面积、可利用面积的1.95%和1.89%。多出现在阳坡的山麓部位。主要分布在米林县系境内雅鲁藏布江两岸，其次是察隅县怒江流域两岸，林芝、工布江达与波密县境内亦有少量分布。草地植物以中生的灌木为主体。由于该类草地接近村庄的山麓较多，冬春放牧强度较大，草地日趋退化，草质较差，产草量不高。该草地类下分1个亚类，2个草地组，6个草地型。</w:t>
      </w:r>
    </w:p>
    <w:p>
      <w:pPr>
        <w:pStyle w:val="6"/>
        <w:ind w:firstLine="480"/>
        <w:rPr>
          <w:rFonts w:hint="eastAsia"/>
        </w:rPr>
      </w:pPr>
      <w:r>
        <w:rPr>
          <w:rFonts w:hint="eastAsia"/>
        </w:rPr>
        <w:t>4、热性草丛类</w:t>
      </w:r>
    </w:p>
    <w:p>
      <w:pPr>
        <w:pStyle w:val="6"/>
        <w:ind w:firstLine="480"/>
        <w:rPr>
          <w:rFonts w:hint="eastAsia"/>
        </w:rPr>
      </w:pPr>
      <w:r>
        <w:rPr>
          <w:rFonts w:hint="eastAsia"/>
        </w:rPr>
        <w:t>面积13.99万亩，可利用面积13.64万亩，分别为全地区草地总面积、可利用面积的0.47%和0.48%。主要分布在墨脱、察隅县境内低海拔河谷，波密县易贡以下河谷亦有少量分布，海拔一般在2300米以下。上结暖性草丛类，属小决，零散次生草地，与农田、林地插花分布。草地生长期10个月以上，海拔低的地方，几乎无枯草期，四季均可放牧。常见牧草以禾本科为主，草层高于其他类，产草量高。该草地类下划1个亚类，3个草地组，7个草地型。</w:t>
      </w:r>
    </w:p>
    <w:p>
      <w:pPr>
        <w:pStyle w:val="6"/>
        <w:ind w:firstLine="480"/>
        <w:rPr>
          <w:rFonts w:hint="eastAsia"/>
        </w:rPr>
      </w:pPr>
      <w:r>
        <w:rPr>
          <w:rFonts w:hint="eastAsia"/>
        </w:rPr>
        <w:t>5、热性灌草丛类</w:t>
      </w:r>
    </w:p>
    <w:p>
      <w:pPr>
        <w:pStyle w:val="6"/>
        <w:ind w:firstLine="480"/>
        <w:rPr>
          <w:rFonts w:hint="eastAsia"/>
        </w:rPr>
      </w:pPr>
      <w:r>
        <w:rPr>
          <w:rFonts w:hint="eastAsia"/>
        </w:rPr>
        <w:t>系地带性草地，与热性草丛类分布在同一地带。面积41.78万亩，可利用面积39.73万亩，分别为全地区草地总面积、可利用面积的1.41％和1.40％。主要分布在察隅县怒江干热河谷，墨脱县境内亦有少量分布。前者气候干热，土壤为石灰性褐土；后者气候温暖湿润，多雨，土壤为黄壤。为热性草丛类，产草量最低的草地型。草地退化程度高。该草地类下划1个亚类，3个草地型。</w:t>
      </w:r>
    </w:p>
    <w:p>
      <w:pPr>
        <w:pStyle w:val="6"/>
        <w:ind w:firstLine="480"/>
        <w:rPr>
          <w:rFonts w:hint="eastAsia"/>
        </w:rPr>
      </w:pPr>
      <w:r>
        <w:rPr>
          <w:rFonts w:hint="eastAsia"/>
        </w:rPr>
        <w:t>6、低平地草甸类</w:t>
      </w:r>
    </w:p>
    <w:p>
      <w:pPr>
        <w:pStyle w:val="6"/>
        <w:ind w:firstLine="480"/>
        <w:rPr>
          <w:rFonts w:hint="eastAsia"/>
        </w:rPr>
      </w:pPr>
      <w:r>
        <w:rPr>
          <w:rFonts w:hint="eastAsia"/>
        </w:rPr>
        <w:t>属隐域性草甸类型，面积16.9万亩，可利用面积15.7万亩，只占全地区草地总面积、可利用面积的0.57％和0.56％。分布在米林、林芝、工布江达、波密县境内4200米以下较开阔的河谷地带和河谷两岸阶地低洼处。草地水分条件好，地下水位高，土壤属草甸土，沼泽化草甸土。平均亩产可食鲜草346.1千克，为各类草地之冠。此类草地划分为2个亚类，3个草地组，4个草地型。</w:t>
      </w:r>
    </w:p>
    <w:p>
      <w:pPr>
        <w:pStyle w:val="6"/>
        <w:ind w:firstLine="480"/>
        <w:rPr>
          <w:rFonts w:hint="eastAsia"/>
        </w:rPr>
      </w:pPr>
      <w:r>
        <w:rPr>
          <w:rFonts w:hint="eastAsia"/>
        </w:rPr>
        <w:t>7、山地草甸型</w:t>
      </w:r>
    </w:p>
    <w:p>
      <w:pPr>
        <w:pStyle w:val="6"/>
        <w:ind w:firstLine="480"/>
        <w:rPr>
          <w:rFonts w:hint="eastAsia"/>
        </w:rPr>
      </w:pPr>
      <w:r>
        <w:rPr>
          <w:rFonts w:hint="eastAsia"/>
        </w:rPr>
        <w:t>面积151.3万亩，可利用面积146.3万亩，分别占全地区草地总面积、可利用面积的5.12％和5.19％，为第二大草地类。分布在各县系中山及亚高山海拔3500—4400米地带，分布上限东南部较西部的低100～200米。上毗高寒草甸类，下邻暖性草丛类或温性草原类。其垂直分布范围与高山针叶林分布基本一致。境内多为温带向亚寒带过渡的湿润气候，土壤为棕壤和亚高山灌丛草甸上，牧草生长期5～7个月。植物种饱和度较大，层次明显，以中生植物为多。该类草地分为2个亚类，10个草地组，14个草地型。 </w:t>
      </w:r>
    </w:p>
    <w:p>
      <w:pPr>
        <w:pStyle w:val="6"/>
        <w:ind w:firstLine="480"/>
        <w:rPr>
          <w:rFonts w:hint="eastAsia"/>
        </w:rPr>
      </w:pPr>
      <w:r>
        <w:rPr>
          <w:rFonts w:hint="eastAsia"/>
        </w:rPr>
        <w:t>8、高寒草甸类</w:t>
      </w:r>
    </w:p>
    <w:p>
      <w:pPr>
        <w:pStyle w:val="6"/>
        <w:ind w:firstLine="480"/>
      </w:pPr>
      <w:r>
        <w:rPr>
          <w:rFonts w:hint="eastAsia"/>
        </w:rPr>
        <w:t>分布广，面积大，是林芝市主要草地类型。面积2587.7万亩，可利用面积2475.6万亩，分别占全地区草地良总面积、可利用面积的87.6％和87.8％。草地分布在林线以上，海拔4200～5300米上下的高山地带，上与高山垫状稀疏植被或冰雪相衔，下与山地草甸类相接。西部气候较为干燥，分布上限可到海拔5300米，部分可达5600米；草地处于山地亚寒带湿润气候区，适宜寒冷湿润的自然条件，植被低矮。土壤含水量30％以上，表层根系密集，耐牧性强，土层因此受到保护而不受侵蚀，且冬春寒冷、夏秋湿凉，牧草生长期90～120天，放牧期5个月左右。植被以嵩草分布广泛，植物种的饱和度不大，层次不明显。该草地下划2个亚类，5个草地组，14个草地型。</w:t>
      </w:r>
    </w:p>
    <w:p>
      <w:pPr>
        <w:pStyle w:val="6"/>
        <w:ind w:firstLine="482"/>
        <w:rPr>
          <w:rFonts w:hint="eastAsia"/>
          <w:b/>
          <w:bCs/>
        </w:rPr>
      </w:pPr>
      <w:r>
        <w:rPr>
          <w:rFonts w:hint="eastAsia"/>
          <w:b/>
          <w:bCs/>
        </w:rPr>
        <w:t>（二）草地类型分布</w:t>
      </w:r>
    </w:p>
    <w:p>
      <w:pPr>
        <w:pStyle w:val="6"/>
        <w:ind w:firstLine="480"/>
        <w:rPr>
          <w:rFonts w:hint="eastAsia"/>
        </w:rPr>
      </w:pPr>
      <w:r>
        <w:rPr>
          <w:rFonts w:hint="eastAsia"/>
        </w:rPr>
        <w:t>1、草地类型水平分布</w:t>
      </w:r>
    </w:p>
    <w:p>
      <w:pPr>
        <w:pStyle w:val="6"/>
        <w:ind w:firstLine="480"/>
        <w:rPr>
          <w:rFonts w:hint="eastAsia"/>
        </w:rPr>
      </w:pPr>
      <w:r>
        <w:rPr>
          <w:rFonts w:hint="eastAsia"/>
        </w:rPr>
        <w:t>地区南北纬度差3°7'24″，东西经度差6°35'25″，表现为南北水热条件差异大，水平气候具有一定差异，草地类型随纬度的水平分异较为明显；相比之下，同一纬度上的气候差异不大，湿润状况相似，东西草地类型相同。</w:t>
      </w:r>
    </w:p>
    <w:p>
      <w:pPr>
        <w:pStyle w:val="6"/>
        <w:ind w:firstLine="480"/>
        <w:rPr>
          <w:rFonts w:hint="eastAsia"/>
        </w:rPr>
      </w:pPr>
      <w:r>
        <w:rPr>
          <w:rFonts w:hint="eastAsia"/>
        </w:rPr>
        <w:t>2、草地类型垂直分布</w:t>
      </w:r>
    </w:p>
    <w:p>
      <w:pPr>
        <w:pStyle w:val="6"/>
        <w:ind w:firstLine="480"/>
        <w:rPr>
          <w:rFonts w:hint="eastAsia"/>
        </w:rPr>
      </w:pPr>
      <w:r>
        <w:rPr>
          <w:rFonts w:hint="eastAsia"/>
        </w:rPr>
        <w:t>地区境内高山遍布，气候垂直变化明显，植被具有相应的明显垂直差异，草地类型的垂直分异有三种不同表现。</w:t>
      </w:r>
    </w:p>
    <w:p>
      <w:pPr>
        <w:pStyle w:val="6"/>
        <w:ind w:firstLine="480"/>
        <w:rPr>
          <w:rFonts w:hint="eastAsia"/>
        </w:rPr>
      </w:pPr>
      <w:r>
        <w:rPr>
          <w:rFonts w:hint="eastAsia"/>
        </w:rPr>
        <w:t>（1）东南部垂直带谱</w:t>
      </w:r>
    </w:p>
    <w:p>
      <w:pPr>
        <w:pStyle w:val="6"/>
        <w:ind w:firstLine="480"/>
        <w:rPr>
          <w:rFonts w:hint="eastAsia"/>
        </w:rPr>
      </w:pPr>
      <w:r>
        <w:rPr>
          <w:rFonts w:hint="eastAsia"/>
        </w:rPr>
        <w:t>指察隅、墨脱两县，海拔150～2500米河谷地带为次生热性草丛类，水热条件好，土壤为砖红壤，赤红壤，黄壤和黄棕壤，牧草以白茅，蕨等8种植物为主；海拔2500～3700林下草地、撂荒地和农田隙地三种的河谷、山坡地带为次生暖性草丛类，常见植物有白刺花，画眉草等6种，降水相对减少，土壤为褐土，棕壤；海拔3700～4200米林间空地、荒山和河谷为次生山地草甸类，属森林砍伐后演替而成，与云冷杉针叶林处于同一垂直地带，水热条件好，土壤为棕壤，暗棕壤，牧草以林芝苔草等8种为主；海拔4100～4700米的高山为原生植被的高寒草甸类，气候寒湿，土壤为高山草甸土和高山灌丛草甸土，常见植物有高山嵩草等3种。</w:t>
      </w:r>
    </w:p>
    <w:p>
      <w:pPr>
        <w:pStyle w:val="6"/>
        <w:ind w:firstLine="480"/>
        <w:rPr>
          <w:rFonts w:hint="eastAsia"/>
        </w:rPr>
      </w:pPr>
      <w:r>
        <w:rPr>
          <w:rFonts w:hint="eastAsia"/>
        </w:rPr>
        <w:t>（2）西部垂直带谱</w:t>
      </w:r>
    </w:p>
    <w:p>
      <w:pPr>
        <w:pStyle w:val="6"/>
        <w:ind w:firstLine="480"/>
        <w:rPr>
          <w:rFonts w:hint="eastAsia"/>
        </w:rPr>
      </w:pPr>
      <w:r>
        <w:rPr>
          <w:rFonts w:hint="eastAsia"/>
        </w:rPr>
        <w:t>指朗县、米林县城以西和工布江达县城以西。海拔3600米以下为温性草原类，气候干旱，土壤灰褐土，植被为森林破坏后次生演替而成，常见植物有白草等9种；海拔3600～4400米为山地草甸类，为次生植被，土壤为棕壤或暗棕壤，部分已转化为草甸土，气候温凉湿润，常见植物有早熟禾等4种；海拔4000～4400米分布有亚高山草甸，草甸因中生杂类草多，开花期外貌华丽，俗称“王花草塘”；海拔4400～5300米为高寒草甸类，气候、土壤、植被均与其他垂直带谱同一高度带相同，不同的是山顶冰雪较少，草地分布上限较东南部高，顶部多浑圆，利于牲畜放牧。</w:t>
      </w:r>
    </w:p>
    <w:p>
      <w:pPr>
        <w:pStyle w:val="6"/>
        <w:ind w:firstLine="480"/>
        <w:rPr>
          <w:rFonts w:hint="eastAsia"/>
        </w:rPr>
      </w:pPr>
      <w:r>
        <w:rPr>
          <w:rFonts w:hint="eastAsia"/>
        </w:rPr>
        <w:t>（3）北部垂直带谱</w:t>
      </w:r>
    </w:p>
    <w:p>
      <w:pPr>
        <w:pStyle w:val="6"/>
        <w:ind w:firstLine="480"/>
        <w:rPr>
          <w:rFonts w:hint="eastAsia"/>
        </w:rPr>
      </w:pPr>
      <w:r>
        <w:rPr>
          <w:rFonts w:hint="eastAsia"/>
        </w:rPr>
        <w:t>指林芝、波密及米林县系和工布江达县系东部地区，海拔3600米以下以画眉草等4种草为主的暖性草丛类,海拔3600～4200米为山地草甸类,海拔4200～4900米为高寒草甸类。在暖性草丛类下限（海拔2500米）以下河谷有小面积热性草丛类分布，在暖性草丛类上限（海拔3600米）以上的东部有温性草原类分布。</w:t>
      </w:r>
    </w:p>
    <w:p>
      <w:pPr>
        <w:pStyle w:val="6"/>
        <w:ind w:firstLine="480"/>
      </w:pPr>
      <w:r>
        <w:rPr>
          <w:rFonts w:hint="eastAsia"/>
        </w:rPr>
        <w:t>总之，高寒草甸类在西部分布上限最高海拔5300米，较北部高400米，较南部高500米，是由于海洋性冰川在东南部及北部十分发育的影响，冰雪线一般在海拔5000米左右，同时由于水热条件优越，原始森林密布，林线一般在海拔4200米左右，紧连高寒草甸类草地。因此亚高山草甸仅出现在西部垂直带谱上，表现为气候较干旱，坡度平缓，地势浑圆，森林稀小。 </w:t>
      </w:r>
    </w:p>
    <w:p>
      <w:pPr>
        <w:pStyle w:val="6"/>
        <w:ind w:firstLine="480"/>
        <w:rPr>
          <w:rFonts w:hint="eastAsia"/>
        </w:rPr>
      </w:pPr>
      <w:r>
        <w:rPr>
          <w:rFonts w:hint="eastAsia"/>
        </w:rPr>
        <w:t>五、区域生物多样性</w:t>
      </w:r>
    </w:p>
    <w:p>
      <w:pPr>
        <w:pStyle w:val="6"/>
        <w:ind w:firstLine="480"/>
        <w:rPr>
          <w:rFonts w:hint="eastAsia"/>
        </w:rPr>
      </w:pPr>
      <w:r>
        <w:rPr>
          <w:rFonts w:hint="eastAsia"/>
        </w:rPr>
        <w:t>林芝被誉为“西藏江南”，生物多样性非常丰富，保存有许多珍稀、特有和古老的野生动植物类群，是全球生物多样性热点地区之一。特别是雅鲁藏布大峡谷区域素有“植被类型的天然博物馆”、“生物资源的基因宝库”和“动植物王国”等诸多美誉。林芝市分布有哺乳类动物63种，鸟类动物232种，爬行类动物25种，两栖类动物20种，昆虫已知种数超过2300种，其中，滇金丝猴、云豹、蟒、黑颈鹤等国家重点保护动物96种。</w:t>
      </w:r>
    </w:p>
    <w:p>
      <w:pPr>
        <w:pStyle w:val="6"/>
        <w:ind w:firstLine="480"/>
        <w:rPr>
          <w:rFonts w:hint="eastAsia"/>
        </w:rPr>
      </w:pPr>
      <w:r>
        <w:rPr>
          <w:rFonts w:hint="eastAsia"/>
        </w:rPr>
        <w:t>1、植物多样性</w:t>
      </w:r>
    </w:p>
    <w:p>
      <w:pPr>
        <w:pStyle w:val="6"/>
        <w:ind w:firstLine="480"/>
        <w:rPr>
          <w:rFonts w:hint="eastAsia"/>
        </w:rPr>
      </w:pPr>
      <w:r>
        <w:rPr>
          <w:rFonts w:hint="eastAsia"/>
        </w:rPr>
        <w:t>林芝已知高等植物有261科、1327属、4817种（含变种），其中苔藓类植物52科、181属、480种，蕨类植物40科、107属、429种，裸子植物7科、15属、36种，被子植物162科、1024属、3872种。此外，大型真菌植物43科、169属、686种，其中食用菌240种，药用菌180种，毒菌80种，木腐菌70种，外生菌根菌180种。</w:t>
      </w:r>
    </w:p>
    <w:p>
      <w:pPr>
        <w:pStyle w:val="6"/>
        <w:ind w:firstLine="480"/>
        <w:rPr>
          <w:rFonts w:hint="eastAsia"/>
        </w:rPr>
      </w:pPr>
      <w:r>
        <w:rPr>
          <w:rFonts w:hint="eastAsia"/>
        </w:rPr>
        <w:t>杪椤(杪椤科)、巨柏(柏科)、云南红豆杉(红豆杉科)、穗花杉(红豆杉科)、长蕊木兰(木兰科)属国家一级保护植物，海南粗榧(三尖杉科)、澜沧黄杉(松科)、油麦吊云杉(松科)、水青树(木兰 科)、星叶草(毛莨科)、云南黄莲(毛莨科)、婆罗双(龙脑香科)、四数木(四数木科)、西藏延龄草(百合科)、心叶瓶尔小草(瓶尔小草科)、瓶尔小草(瓶尔小草科)、楠木(樟科)、樟树(樟科)、松口蘑(口蘑科)、虫草(麦角菌科)、红棒(楝科)、长喙厚朴(木兰科)、千果榄仁(使君子科)属国家二级保护植物。</w:t>
      </w:r>
    </w:p>
    <w:p>
      <w:pPr>
        <w:pStyle w:val="6"/>
        <w:ind w:firstLine="480"/>
        <w:rPr>
          <w:rFonts w:hint="eastAsia"/>
        </w:rPr>
      </w:pPr>
      <w:r>
        <w:rPr>
          <w:rFonts w:hint="eastAsia"/>
        </w:rPr>
        <w:t>林芝是自治区重要药材产区之一，有药用植物1000余种，常见药用植物有贝母、大黄、雪莲花、雪山一枝蒿、黄芪、党参、小檗、当归、天麻、丹皮、防风、柴胡、冬虫夏草等，常年收购量平均在2万公斤左右。</w:t>
      </w:r>
    </w:p>
    <w:p>
      <w:pPr>
        <w:pStyle w:val="6"/>
        <w:ind w:firstLine="480"/>
        <w:rPr>
          <w:rFonts w:hint="eastAsia"/>
        </w:rPr>
      </w:pPr>
      <w:r>
        <w:rPr>
          <w:rFonts w:hint="eastAsia"/>
        </w:rPr>
        <w:t>林芝是野生花卉主要产区之一，有杜鹃、海棠、桃、木兰、绣线菊、蔷薇、金露梅、百合、丁香、报春、龙胆、绿绒蒿、兰花、 景天、鸢尾、石榴、木瓜等几百种花卉植物。</w:t>
      </w:r>
    </w:p>
    <w:p>
      <w:pPr>
        <w:pStyle w:val="6"/>
        <w:ind w:firstLine="480"/>
        <w:rPr>
          <w:rFonts w:hint="eastAsia"/>
        </w:rPr>
      </w:pPr>
      <w:r>
        <w:rPr>
          <w:rFonts w:hint="eastAsia"/>
        </w:rPr>
        <w:t>林芝也是自治区重要食用菌产区之一，食用菌种类有猴头、木耳、金耳、松茸、牛肝菌、肉齿菌、红菌等，其中松茸分布广，产量大，产品远销东亚和沿海地区。</w:t>
      </w:r>
    </w:p>
    <w:p>
      <w:pPr>
        <w:pStyle w:val="6"/>
        <w:ind w:firstLine="480"/>
        <w:rPr>
          <w:rFonts w:hint="eastAsia"/>
        </w:rPr>
      </w:pPr>
      <w:r>
        <w:rPr>
          <w:rFonts w:hint="eastAsia"/>
        </w:rPr>
        <w:t>2、动物多样性</w:t>
      </w:r>
    </w:p>
    <w:p>
      <w:pPr>
        <w:pStyle w:val="6"/>
        <w:ind w:firstLine="480"/>
        <w:rPr>
          <w:rFonts w:hint="eastAsia"/>
        </w:rPr>
      </w:pPr>
      <w:r>
        <w:rPr>
          <w:rFonts w:hint="eastAsia"/>
        </w:rPr>
        <w:t>林芝已知哺乳类动物有7目、20科、60属、94种；鸟类动物有18目、47科、174属、315种；爬行类动物有43种，两栖类动物有32种；鱼类4科15属24种；昆虫有2322种。各种野生动物依其自身生态习性分布于各地不同的生境。</w:t>
      </w:r>
    </w:p>
    <w:p>
      <w:pPr>
        <w:pStyle w:val="6"/>
        <w:ind w:firstLine="480"/>
        <w:rPr>
          <w:rFonts w:hint="eastAsia"/>
        </w:rPr>
      </w:pPr>
      <w:r>
        <w:rPr>
          <w:rFonts w:hint="eastAsia"/>
        </w:rPr>
        <w:t>一、鸟类</w:t>
      </w:r>
    </w:p>
    <w:p>
      <w:pPr>
        <w:pStyle w:val="6"/>
        <w:ind w:firstLine="480"/>
        <w:rPr>
          <w:rFonts w:hint="eastAsia"/>
        </w:rPr>
      </w:pPr>
      <w:r>
        <w:rPr>
          <w:rFonts w:hint="eastAsia"/>
        </w:rPr>
        <w:t>黑鹳：国家一级保护动物，多见于察隅境内海拔3800～4000米的河湖边。</w:t>
      </w:r>
    </w:p>
    <w:p>
      <w:pPr>
        <w:pStyle w:val="6"/>
        <w:ind w:firstLine="480"/>
        <w:rPr>
          <w:rFonts w:hint="eastAsia"/>
        </w:rPr>
      </w:pPr>
      <w:r>
        <w:rPr>
          <w:rFonts w:hint="eastAsia"/>
        </w:rPr>
        <w:t>赤麻鸭：国家二级保护动物，生活在湖泊、江河等水域，栖息地海拔2600～5000米。</w:t>
      </w:r>
    </w:p>
    <w:p>
      <w:pPr>
        <w:pStyle w:val="6"/>
        <w:ind w:firstLine="480"/>
        <w:rPr>
          <w:rFonts w:hint="eastAsia"/>
        </w:rPr>
      </w:pPr>
      <w:r>
        <w:rPr>
          <w:rFonts w:hint="eastAsia"/>
        </w:rPr>
        <w:t>鸢：国家二级保护动物，栖息地海拔3000～5200米，多成对翱翔或集小群飞行，活动在旷野及偏远河谷地。</w:t>
      </w:r>
    </w:p>
    <w:p>
      <w:pPr>
        <w:pStyle w:val="6"/>
        <w:ind w:firstLine="480"/>
        <w:rPr>
          <w:rFonts w:hint="eastAsia"/>
        </w:rPr>
      </w:pPr>
      <w:r>
        <w:rPr>
          <w:rFonts w:hint="eastAsia"/>
        </w:rPr>
        <w:t>栗鸢：国家二级保护动物，多活动于湖泊、江河及湿地。</w:t>
      </w:r>
    </w:p>
    <w:p>
      <w:pPr>
        <w:pStyle w:val="6"/>
        <w:ind w:firstLine="480"/>
        <w:rPr>
          <w:rFonts w:hint="eastAsia"/>
        </w:rPr>
      </w:pPr>
      <w:r>
        <w:rPr>
          <w:rFonts w:hint="eastAsia"/>
        </w:rPr>
        <w:t>苍鹰：国家二级保护动物，多活动于针叶林或针阔混交林上空翱翔，栖息地海拔2400米以上。</w:t>
      </w:r>
    </w:p>
    <w:p>
      <w:pPr>
        <w:pStyle w:val="6"/>
        <w:ind w:firstLine="480"/>
        <w:rPr>
          <w:rFonts w:hint="eastAsia"/>
        </w:rPr>
      </w:pPr>
      <w:r>
        <w:rPr>
          <w:rFonts w:hint="eastAsia"/>
        </w:rPr>
        <w:t>雀鹰：国家二级保护动物，多见于工布江达、林芝、易贡、朗县一带，喜生活在森林地带，栖息地海拔2500～4400米。</w:t>
      </w:r>
    </w:p>
    <w:p>
      <w:pPr>
        <w:pStyle w:val="6"/>
        <w:ind w:firstLine="480"/>
        <w:rPr>
          <w:rFonts w:hint="eastAsia"/>
        </w:rPr>
      </w:pPr>
      <w:r>
        <w:rPr>
          <w:rFonts w:hint="eastAsia"/>
        </w:rPr>
        <w:t>松雀鹰：国家二级保护动物，栖息地海拔2500～4500米，喜生活于森林及稀树草原地带。</w:t>
      </w:r>
    </w:p>
    <w:p>
      <w:pPr>
        <w:pStyle w:val="6"/>
        <w:ind w:firstLine="480"/>
        <w:rPr>
          <w:rFonts w:hint="eastAsia"/>
        </w:rPr>
      </w:pPr>
      <w:r>
        <w:rPr>
          <w:rFonts w:hint="eastAsia"/>
        </w:rPr>
        <w:t>普通鵟：国家二级保护动物，喜生活于高山森林地带，常落在大树、巨石上休息。</w:t>
      </w:r>
    </w:p>
    <w:p>
      <w:pPr>
        <w:pStyle w:val="6"/>
        <w:ind w:firstLine="480"/>
        <w:rPr>
          <w:rFonts w:hint="eastAsia"/>
        </w:rPr>
      </w:pPr>
      <w:r>
        <w:rPr>
          <w:rFonts w:hint="eastAsia"/>
        </w:rPr>
        <w:t>白眼鹰：国家二级保护动物，栖息地海拔2000～4500米，常在开阔的落叶林、稀林草原地带单独活动，墨脱、察隅、林芝、波密、米林、朗县有分胡兀鹫：国家一级保护动物，栖息地海拔3000～5200米，喜栖于高山裸岩地带。</w:t>
      </w:r>
    </w:p>
    <w:p>
      <w:pPr>
        <w:pStyle w:val="6"/>
        <w:ind w:firstLine="480"/>
        <w:rPr>
          <w:rFonts w:hint="eastAsia"/>
        </w:rPr>
      </w:pPr>
      <w:r>
        <w:rPr>
          <w:rFonts w:hint="eastAsia"/>
        </w:rPr>
        <w:t>蛇雕：国家二级保护动物，栖息地海拔1000～3200米，栖于林木葱郁的沟壑、河谷地带。察隅、波密、林芝、墨脱有分布。</w:t>
      </w:r>
    </w:p>
    <w:p>
      <w:pPr>
        <w:pStyle w:val="6"/>
        <w:ind w:firstLine="480"/>
        <w:rPr>
          <w:rFonts w:hint="eastAsia"/>
        </w:rPr>
      </w:pPr>
      <w:r>
        <w:rPr>
          <w:rFonts w:hint="eastAsia"/>
        </w:rPr>
        <w:t>隼：国家二级保护动物，栖息地海拔2000～4000米，冬候鸟，活动于开阔农田、草甸地带。</w:t>
      </w:r>
    </w:p>
    <w:p>
      <w:pPr>
        <w:pStyle w:val="6"/>
        <w:ind w:firstLine="480"/>
        <w:rPr>
          <w:rFonts w:hint="eastAsia"/>
        </w:rPr>
      </w:pPr>
      <w:r>
        <w:rPr>
          <w:rFonts w:hint="eastAsia"/>
        </w:rPr>
        <w:t>斑尾榛鸡：国家一级保护动物，栖息地海拔3000～4200米，栖于山地森林及阔叶林灌丛地带。</w:t>
      </w:r>
    </w:p>
    <w:p>
      <w:pPr>
        <w:pStyle w:val="6"/>
        <w:ind w:firstLine="480"/>
        <w:rPr>
          <w:rFonts w:hint="eastAsia"/>
        </w:rPr>
      </w:pPr>
      <w:r>
        <w:rPr>
          <w:rFonts w:hint="eastAsia"/>
        </w:rPr>
        <w:t>藏雪鸡：国家二级保护动物，栖息地海拔3500～5500米，栖于高山裸岩、灌丛、草甸地带。</w:t>
      </w:r>
    </w:p>
    <w:p>
      <w:pPr>
        <w:pStyle w:val="6"/>
        <w:ind w:firstLine="480"/>
        <w:rPr>
          <w:rFonts w:hint="eastAsia"/>
        </w:rPr>
      </w:pPr>
      <w:r>
        <w:rPr>
          <w:rFonts w:hint="eastAsia"/>
        </w:rPr>
        <w:t>雉鹑：国家一级保护动物，栖息地海拔2800～4500米，栖于针阔混交林、杜鹃灌丛、林缘上限。波密、林芝、米林、朗县有分布。</w:t>
      </w:r>
    </w:p>
    <w:p>
      <w:pPr>
        <w:pStyle w:val="6"/>
        <w:ind w:firstLine="480"/>
        <w:rPr>
          <w:rFonts w:hint="eastAsia"/>
        </w:rPr>
      </w:pPr>
      <w:r>
        <w:rPr>
          <w:rFonts w:hint="eastAsia"/>
        </w:rPr>
        <w:t>血雉：国家二级保护动物，栖息地海拔2300～4200米，栖于针阔混交林、针叶林、杜鹃灌丛地带。</w:t>
      </w:r>
    </w:p>
    <w:p>
      <w:pPr>
        <w:pStyle w:val="6"/>
        <w:ind w:firstLine="480"/>
        <w:rPr>
          <w:rFonts w:hint="eastAsia"/>
        </w:rPr>
      </w:pPr>
      <w:r>
        <w:rPr>
          <w:rFonts w:hint="eastAsia"/>
        </w:rPr>
        <w:t>灰腹角雉：国家一级保护动物，栖息地海拔1800～3300米，栖于亚热带常绿阔叶林、针阔混交林。察隅、墨脱有分布。</w:t>
      </w:r>
    </w:p>
    <w:p>
      <w:pPr>
        <w:pStyle w:val="6"/>
        <w:ind w:firstLine="480"/>
        <w:rPr>
          <w:rFonts w:hint="eastAsia"/>
        </w:rPr>
      </w:pPr>
      <w:r>
        <w:rPr>
          <w:rFonts w:hint="eastAsia"/>
        </w:rPr>
        <w:t>红腹角雉：国家二级保护动物，栖息地海拔2200～3200米，栖于常绿阔叶林上缘至针阔混交林地带。察隅、墨脱、波密、林芝有分布。</w:t>
      </w:r>
    </w:p>
    <w:p>
      <w:pPr>
        <w:pStyle w:val="6"/>
        <w:ind w:firstLine="480"/>
        <w:rPr>
          <w:rFonts w:hint="eastAsia"/>
        </w:rPr>
      </w:pPr>
      <w:r>
        <w:rPr>
          <w:rFonts w:hint="eastAsia"/>
        </w:rPr>
        <w:t>棕尾虹雉：国家一级保护动物，栖息地海拔2500～4600米，栖于针阔混交林、针叶林、灌从地带。林芝、波密、察隅、墨脱有分布。另有绿尾虹雉、白尾梢虹雉也是国家二级保护动物。</w:t>
      </w:r>
    </w:p>
    <w:p>
      <w:pPr>
        <w:pStyle w:val="6"/>
        <w:ind w:firstLine="480"/>
        <w:rPr>
          <w:rFonts w:hint="eastAsia"/>
        </w:rPr>
      </w:pPr>
      <w:r>
        <w:rPr>
          <w:rFonts w:hint="eastAsia"/>
        </w:rPr>
        <w:t>藏马鸡：国家二级保护动物，栖息地海拔3000～4500米，栖于灌丛地带。</w:t>
      </w:r>
    </w:p>
    <w:p>
      <w:pPr>
        <w:pStyle w:val="6"/>
        <w:ind w:firstLine="480"/>
        <w:rPr>
          <w:rFonts w:hint="eastAsia"/>
        </w:rPr>
      </w:pPr>
      <w:r>
        <w:rPr>
          <w:rFonts w:hint="eastAsia"/>
        </w:rPr>
        <w:t>黑鹇：国家二级保护动物，栖息地海拔2000～3200米，栖于阔叶林、林间灌丛。察隅、波密、墨脱有分布。</w:t>
      </w:r>
    </w:p>
    <w:p>
      <w:pPr>
        <w:pStyle w:val="6"/>
        <w:ind w:firstLine="480"/>
        <w:rPr>
          <w:rFonts w:hint="eastAsia"/>
        </w:rPr>
      </w:pPr>
      <w:r>
        <w:rPr>
          <w:rFonts w:hint="eastAsia"/>
        </w:rPr>
        <w:t>勺鸡：国家二级保护动物，栖息地海拔2000～3500米，栖于山地针阔混交林、灌丛地带。察隅、墨脱有分布。</w:t>
      </w:r>
    </w:p>
    <w:p>
      <w:pPr>
        <w:pStyle w:val="6"/>
        <w:ind w:firstLine="480"/>
        <w:rPr>
          <w:rFonts w:hint="eastAsia"/>
        </w:rPr>
      </w:pPr>
      <w:r>
        <w:rPr>
          <w:rFonts w:hint="eastAsia"/>
        </w:rPr>
        <w:t>雉鸡：国家二级保护动物，栖息地海拔2500～3800米，栖于山地灌丛、林缘、河谷滩涂地带。察隅、黑脱有分布。</w:t>
      </w:r>
    </w:p>
    <w:p>
      <w:pPr>
        <w:pStyle w:val="6"/>
        <w:ind w:firstLine="480"/>
        <w:rPr>
          <w:rFonts w:hint="eastAsia"/>
        </w:rPr>
      </w:pPr>
      <w:r>
        <w:rPr>
          <w:rFonts w:hint="eastAsia"/>
        </w:rPr>
        <w:t>白腹锦鸡：国家二级保护动物，栖于灌丛、箭竹丛阔叶林地带。波密、察隅有分布。另有红腹锦鸡也是国家二级保护动物。</w:t>
      </w:r>
    </w:p>
    <w:p>
      <w:pPr>
        <w:pStyle w:val="6"/>
        <w:ind w:firstLine="480"/>
        <w:rPr>
          <w:rFonts w:hint="eastAsia"/>
        </w:rPr>
      </w:pPr>
      <w:r>
        <w:rPr>
          <w:rFonts w:hint="eastAsia"/>
        </w:rPr>
        <w:t>孔雀雉：国家一级保护动物，栖于2200米以下亚热带山地森林。墨脱、察隅有分布。  </w:t>
      </w:r>
    </w:p>
    <w:p>
      <w:pPr>
        <w:pStyle w:val="6"/>
        <w:ind w:firstLine="480"/>
        <w:rPr>
          <w:rFonts w:hint="eastAsia"/>
        </w:rPr>
      </w:pPr>
      <w:r>
        <w:rPr>
          <w:rFonts w:hint="eastAsia"/>
        </w:rPr>
        <w:t>黑颈鹤：国家一级保护动物，栖息地海拔3500～5200米，栖于高原湖泊、沼泽。</w:t>
      </w:r>
    </w:p>
    <w:p>
      <w:pPr>
        <w:pStyle w:val="6"/>
        <w:ind w:firstLine="480"/>
        <w:rPr>
          <w:rFonts w:hint="eastAsia"/>
        </w:rPr>
      </w:pPr>
      <w:r>
        <w:rPr>
          <w:rFonts w:hint="eastAsia"/>
        </w:rPr>
        <w:t>棕背田鸡：国家二级保护动物，栖于2500米以下的林中湿地、小溪、稻田旁。</w:t>
      </w:r>
    </w:p>
    <w:p>
      <w:pPr>
        <w:pStyle w:val="6"/>
        <w:ind w:firstLine="480"/>
        <w:rPr>
          <w:rFonts w:hint="eastAsia"/>
        </w:rPr>
      </w:pPr>
      <w:r>
        <w:rPr>
          <w:rFonts w:hint="eastAsia"/>
        </w:rPr>
        <w:t>绯胸鹦鹉：国家二级保护动物，栖于2000～3600米的针叶林、针阔混交林内。林芝、波密、米林、察隅、墨脱有分布。有2个种。</w:t>
      </w:r>
    </w:p>
    <w:p>
      <w:pPr>
        <w:pStyle w:val="6"/>
        <w:ind w:firstLine="480"/>
        <w:rPr>
          <w:rFonts w:hint="eastAsia"/>
        </w:rPr>
      </w:pPr>
      <w:r>
        <w:rPr>
          <w:rFonts w:hint="eastAsia"/>
        </w:rPr>
        <w:t>斑头鸺鹃：国家二级保护动物，栖于热带常绿阔叶林中，墨脱、察隅有分布。</w:t>
      </w:r>
    </w:p>
    <w:p>
      <w:pPr>
        <w:pStyle w:val="6"/>
        <w:ind w:firstLine="480"/>
        <w:rPr>
          <w:rFonts w:hint="eastAsia"/>
        </w:rPr>
      </w:pPr>
      <w:r>
        <w:rPr>
          <w:rFonts w:hint="eastAsia"/>
        </w:rPr>
        <w:t>灰林鹄：国家二级保护动物，栖于3000～3500米的阔叶林、针阔混交林中。</w:t>
      </w:r>
    </w:p>
    <w:p>
      <w:pPr>
        <w:pStyle w:val="6"/>
        <w:ind w:firstLine="480"/>
        <w:rPr>
          <w:rFonts w:hint="eastAsia"/>
        </w:rPr>
      </w:pPr>
      <w:r>
        <w:rPr>
          <w:rFonts w:hint="eastAsia"/>
        </w:rPr>
        <w:t>短耳鹄：国家二级保护动物，栖于800～2500米的低山稀疏林内，察隅、墨脱有分布。</w:t>
      </w:r>
    </w:p>
    <w:p>
      <w:pPr>
        <w:pStyle w:val="6"/>
        <w:ind w:firstLine="480"/>
        <w:rPr>
          <w:rFonts w:hint="eastAsia"/>
        </w:rPr>
      </w:pPr>
      <w:r>
        <w:rPr>
          <w:rFonts w:hint="eastAsia"/>
        </w:rPr>
        <w:t>棕颈犀鸟：国家二级保护动物，栖于1500米以下的热带、亚热带常绿阔叶林，墨脱有分布。</w:t>
      </w:r>
    </w:p>
    <w:p>
      <w:pPr>
        <w:pStyle w:val="6"/>
        <w:ind w:firstLine="480"/>
        <w:rPr>
          <w:rFonts w:hint="eastAsia"/>
        </w:rPr>
      </w:pPr>
      <w:r>
        <w:rPr>
          <w:rFonts w:hint="eastAsia"/>
        </w:rPr>
        <w:t>双角犀鸟：国家二级保护动物，栖于1200米以下的热带、亚热带常绿阔叶林，墨脱有分布。</w:t>
      </w:r>
    </w:p>
    <w:p>
      <w:pPr>
        <w:pStyle w:val="6"/>
        <w:ind w:firstLine="480"/>
        <w:rPr>
          <w:rFonts w:hint="eastAsia"/>
        </w:rPr>
      </w:pPr>
      <w:r>
        <w:rPr>
          <w:rFonts w:hint="eastAsia"/>
        </w:rPr>
        <w:t>二、兽类</w:t>
      </w:r>
    </w:p>
    <w:p>
      <w:pPr>
        <w:pStyle w:val="6"/>
        <w:ind w:firstLine="480"/>
        <w:rPr>
          <w:rFonts w:hint="eastAsia"/>
        </w:rPr>
      </w:pPr>
      <w:r>
        <w:rPr>
          <w:rFonts w:hint="eastAsia"/>
        </w:rPr>
        <w:t>熊猴：国家一级保护动物，栖于900～3500米的亚热带常绿阔叶林、针阔混交林，林芝、波密、墨脱有分布。</w:t>
      </w:r>
    </w:p>
    <w:p>
      <w:pPr>
        <w:pStyle w:val="6"/>
        <w:ind w:firstLine="480"/>
        <w:rPr>
          <w:rFonts w:hint="eastAsia"/>
        </w:rPr>
      </w:pPr>
      <w:r>
        <w:rPr>
          <w:rFonts w:hint="eastAsia"/>
        </w:rPr>
        <w:t>猕猴：国家二级保护动物，栖于2000～4200米的阔叶林、针阔混交林。</w:t>
      </w:r>
    </w:p>
    <w:p>
      <w:pPr>
        <w:pStyle w:val="6"/>
        <w:ind w:firstLine="480"/>
        <w:rPr>
          <w:rFonts w:hint="eastAsia"/>
        </w:rPr>
      </w:pPr>
      <w:r>
        <w:rPr>
          <w:rFonts w:hint="eastAsia"/>
        </w:rPr>
        <w:t>豚尾猴：国家二级保护动物，栖于1300米以下茂密林内。墨脱有分布。</w:t>
      </w:r>
    </w:p>
    <w:p>
      <w:pPr>
        <w:pStyle w:val="6"/>
        <w:ind w:firstLine="480"/>
        <w:rPr>
          <w:rFonts w:hint="eastAsia"/>
        </w:rPr>
      </w:pPr>
      <w:r>
        <w:rPr>
          <w:rFonts w:hint="eastAsia"/>
        </w:rPr>
        <w:t>长尾叶猴：国家一级保护动物，栖于2800米以下的雨林、常绿阔叶林，墨脱有分布。</w:t>
      </w:r>
    </w:p>
    <w:p>
      <w:pPr>
        <w:pStyle w:val="6"/>
        <w:ind w:firstLine="480"/>
        <w:rPr>
          <w:rFonts w:hint="eastAsia"/>
        </w:rPr>
      </w:pPr>
      <w:r>
        <w:rPr>
          <w:rFonts w:hint="eastAsia"/>
        </w:rPr>
        <w:t>白眉长臂猿：国家一级保护动物，栖息于1200米左右的雨林、常绿阔叶林，墨脱、下察隅有分布。</w:t>
      </w:r>
    </w:p>
    <w:p>
      <w:pPr>
        <w:pStyle w:val="6"/>
        <w:ind w:firstLine="480"/>
        <w:rPr>
          <w:rFonts w:hint="eastAsia"/>
        </w:rPr>
      </w:pPr>
      <w:r>
        <w:rPr>
          <w:rFonts w:hint="eastAsia"/>
        </w:rPr>
        <w:t>穿山甲：国家二级保护动物，栖息于1500米以下的热带、亚热带森林中，墨脱、下察隅有分布。</w:t>
      </w:r>
    </w:p>
    <w:p>
      <w:pPr>
        <w:pStyle w:val="6"/>
        <w:ind w:firstLine="480"/>
        <w:rPr>
          <w:rFonts w:hint="eastAsia"/>
        </w:rPr>
      </w:pPr>
      <w:r>
        <w:rPr>
          <w:rFonts w:hint="eastAsia"/>
        </w:rPr>
        <w:t>豺：国家二级保护动物，栖息于2500～3200米有林地中。</w:t>
      </w:r>
    </w:p>
    <w:p>
      <w:pPr>
        <w:pStyle w:val="6"/>
        <w:ind w:firstLine="480"/>
        <w:rPr>
          <w:rFonts w:hint="eastAsia"/>
        </w:rPr>
      </w:pPr>
      <w:r>
        <w:rPr>
          <w:rFonts w:hint="eastAsia"/>
        </w:rPr>
        <w:t>赤狐：国家二级保护动物，栖息于2000～5000米的森林、灌从、草甸地带。</w:t>
      </w:r>
    </w:p>
    <w:p>
      <w:pPr>
        <w:pStyle w:val="6"/>
        <w:ind w:firstLine="480"/>
        <w:rPr>
          <w:rFonts w:hint="eastAsia"/>
        </w:rPr>
      </w:pPr>
      <w:r>
        <w:rPr>
          <w:rFonts w:hint="eastAsia"/>
        </w:rPr>
        <w:t>藏狐：国家二级保护动物，栖息于3100～5200米的灌从草原、高寒草甸草原。</w:t>
      </w:r>
    </w:p>
    <w:p>
      <w:pPr>
        <w:pStyle w:val="6"/>
        <w:ind w:firstLine="480"/>
        <w:rPr>
          <w:rFonts w:hint="eastAsia"/>
        </w:rPr>
      </w:pPr>
      <w:r>
        <w:rPr>
          <w:rFonts w:hint="eastAsia"/>
        </w:rPr>
        <w:t>黑熊：国家二级保护动物，栖息于1000～4400米的针阔混交林、箭竹林内。</w:t>
      </w:r>
    </w:p>
    <w:p>
      <w:pPr>
        <w:pStyle w:val="6"/>
        <w:ind w:firstLine="480"/>
        <w:rPr>
          <w:rFonts w:hint="eastAsia"/>
        </w:rPr>
      </w:pPr>
      <w:r>
        <w:rPr>
          <w:rFonts w:hint="eastAsia"/>
        </w:rPr>
        <w:t>棕熊：国家二级保护动物，栖息于3500～5000米的针阔混交林、灌从草原、高寒草甸草原。</w:t>
      </w:r>
    </w:p>
    <w:p>
      <w:pPr>
        <w:pStyle w:val="6"/>
        <w:ind w:firstLine="480"/>
        <w:rPr>
          <w:rFonts w:hint="eastAsia"/>
        </w:rPr>
      </w:pPr>
      <w:r>
        <w:rPr>
          <w:rFonts w:hint="eastAsia"/>
        </w:rPr>
        <w:t>小熊猫：国家二级保护动物，栖息于1000～3800米的针阔混交林，箭竹林内。林芝、米林、波密、墨脱、察隅有分布。</w:t>
      </w:r>
    </w:p>
    <w:p>
      <w:pPr>
        <w:pStyle w:val="6"/>
        <w:ind w:firstLine="480"/>
        <w:rPr>
          <w:rFonts w:hint="eastAsia"/>
        </w:rPr>
      </w:pPr>
      <w:r>
        <w:rPr>
          <w:rFonts w:hint="eastAsia"/>
        </w:rPr>
        <w:t>石貂：国家二级保护动物，栖息于4000米左右的林区山地、多石沟壑地带。</w:t>
      </w:r>
    </w:p>
    <w:p>
      <w:pPr>
        <w:pStyle w:val="6"/>
        <w:ind w:firstLine="480"/>
        <w:rPr>
          <w:rFonts w:hint="eastAsia"/>
        </w:rPr>
      </w:pPr>
      <w:r>
        <w:rPr>
          <w:rFonts w:hint="eastAsia"/>
        </w:rPr>
        <w:t>黄喉貂：国家二级保护动物，栖息于3000米以下的常绿阔叶林、针阔混交林。</w:t>
      </w:r>
    </w:p>
    <w:p>
      <w:pPr>
        <w:pStyle w:val="6"/>
        <w:ind w:firstLine="480"/>
        <w:rPr>
          <w:rFonts w:hint="eastAsia"/>
        </w:rPr>
      </w:pPr>
      <w:r>
        <w:rPr>
          <w:rFonts w:hint="eastAsia"/>
        </w:rPr>
        <w:t>水獭：国家二级保护动物，栖息于河岸缘林木繁茂、水流缓慢、清澈的水域中。</w:t>
      </w:r>
    </w:p>
    <w:p>
      <w:pPr>
        <w:pStyle w:val="6"/>
        <w:ind w:firstLine="480"/>
        <w:rPr>
          <w:rFonts w:hint="eastAsia"/>
        </w:rPr>
      </w:pPr>
      <w:r>
        <w:rPr>
          <w:rFonts w:hint="eastAsia"/>
        </w:rPr>
        <w:t>大灵猫：国家二级保护动物，栖息于3000米以下森林中，察隅、波密、墨脱、林芝、米林有分布。</w:t>
      </w:r>
    </w:p>
    <w:p>
      <w:pPr>
        <w:pStyle w:val="6"/>
        <w:ind w:firstLine="480"/>
        <w:rPr>
          <w:rFonts w:hint="eastAsia"/>
        </w:rPr>
      </w:pPr>
      <w:r>
        <w:rPr>
          <w:rFonts w:hint="eastAsia"/>
        </w:rPr>
        <w:t>猞猁：国家二级保护动物，栖息于3500～5000米以下森林草原地带。</w:t>
      </w:r>
    </w:p>
    <w:p>
      <w:pPr>
        <w:pStyle w:val="6"/>
        <w:ind w:firstLine="480"/>
        <w:rPr>
          <w:rFonts w:hint="eastAsia"/>
        </w:rPr>
      </w:pPr>
      <w:r>
        <w:rPr>
          <w:rFonts w:hint="eastAsia"/>
        </w:rPr>
        <w:t>丛林猫：国家二级保护动物，栖息于2500以下的常绿阔叶林、灌丛、林缘，墨脱有分布。</w:t>
      </w:r>
    </w:p>
    <w:p>
      <w:pPr>
        <w:pStyle w:val="6"/>
        <w:ind w:firstLine="480"/>
        <w:rPr>
          <w:rFonts w:hint="eastAsia"/>
        </w:rPr>
      </w:pPr>
      <w:r>
        <w:rPr>
          <w:rFonts w:hint="eastAsia"/>
        </w:rPr>
        <w:t>金猫：国家二级保护动物，栖息于3100米左右的森林地带，林芝、米林、察隅、朗县有分布。</w:t>
      </w:r>
    </w:p>
    <w:p>
      <w:pPr>
        <w:pStyle w:val="6"/>
        <w:ind w:firstLine="480"/>
        <w:rPr>
          <w:rFonts w:hint="eastAsia"/>
        </w:rPr>
      </w:pPr>
      <w:r>
        <w:rPr>
          <w:rFonts w:hint="eastAsia"/>
        </w:rPr>
        <w:t>豹猫：国家二级保护动物，栖息于3600米以下的林区、灌丛、草原。波密、察隅、墨脱、林芝有分布。</w:t>
      </w:r>
    </w:p>
    <w:p>
      <w:pPr>
        <w:pStyle w:val="6"/>
        <w:ind w:firstLine="480"/>
        <w:rPr>
          <w:rFonts w:hint="eastAsia"/>
        </w:rPr>
      </w:pPr>
      <w:r>
        <w:rPr>
          <w:rFonts w:hint="eastAsia"/>
        </w:rPr>
        <w:t>云豹：国家一级保护动物，栖息于1600～3000米的常绿林中，察隅、墨脱有分布。</w:t>
      </w:r>
    </w:p>
    <w:p>
      <w:pPr>
        <w:pStyle w:val="6"/>
        <w:ind w:firstLine="480"/>
        <w:rPr>
          <w:rFonts w:hint="eastAsia"/>
        </w:rPr>
      </w:pPr>
      <w:r>
        <w:rPr>
          <w:rFonts w:hint="eastAsia"/>
        </w:rPr>
        <w:t>豹：国家一级保护动物，栖息于2000～3500米的森林地带，察隅、墨脱、波密有分布。</w:t>
      </w:r>
    </w:p>
    <w:p>
      <w:pPr>
        <w:pStyle w:val="6"/>
        <w:ind w:firstLine="480"/>
        <w:rPr>
          <w:rFonts w:hint="eastAsia"/>
        </w:rPr>
      </w:pPr>
      <w:r>
        <w:rPr>
          <w:rFonts w:hint="eastAsia"/>
        </w:rPr>
        <w:t>虎：国家一级保护动物，栖息于2000米左右的阔叶林、针阔混交林、灌丛、蒿草丛中，墨脱、察隅有分布。</w:t>
      </w:r>
    </w:p>
    <w:p>
      <w:pPr>
        <w:pStyle w:val="6"/>
        <w:ind w:firstLine="480"/>
        <w:rPr>
          <w:rFonts w:hint="eastAsia"/>
        </w:rPr>
      </w:pPr>
      <w:r>
        <w:rPr>
          <w:rFonts w:hint="eastAsia"/>
        </w:rPr>
        <w:t>雪豹：国家一级保护动物，栖息于3000～5300米的高山草甸、灌从、林缘。</w:t>
      </w:r>
    </w:p>
    <w:p>
      <w:pPr>
        <w:pStyle w:val="6"/>
        <w:ind w:firstLine="480"/>
        <w:rPr>
          <w:rFonts w:hint="eastAsia"/>
        </w:rPr>
      </w:pPr>
      <w:r>
        <w:rPr>
          <w:rFonts w:hint="eastAsia"/>
        </w:rPr>
        <w:t>林麝：国家二级保护动物，栖息于1600～3900米的森林地带。</w:t>
      </w:r>
    </w:p>
    <w:p>
      <w:pPr>
        <w:pStyle w:val="6"/>
        <w:ind w:firstLine="480"/>
        <w:rPr>
          <w:rFonts w:hint="eastAsia"/>
        </w:rPr>
      </w:pPr>
      <w:r>
        <w:rPr>
          <w:rFonts w:hint="eastAsia"/>
        </w:rPr>
        <w:t>马麝：国家二级保护动物，栖息于3000～5200米林线以上的灌丛中。</w:t>
      </w:r>
    </w:p>
    <w:p>
      <w:pPr>
        <w:pStyle w:val="6"/>
        <w:ind w:firstLine="480"/>
        <w:rPr>
          <w:rFonts w:hint="eastAsia"/>
        </w:rPr>
      </w:pPr>
      <w:r>
        <w:rPr>
          <w:rFonts w:hint="eastAsia"/>
        </w:rPr>
        <w:t>白唇鹿：国家一级保护动物，栖息于3500～5200米林线以上的灌丛和高山草原中。</w:t>
      </w:r>
    </w:p>
    <w:p>
      <w:pPr>
        <w:pStyle w:val="6"/>
        <w:ind w:firstLine="480"/>
        <w:rPr>
          <w:rFonts w:hint="eastAsia"/>
        </w:rPr>
      </w:pPr>
      <w:r>
        <w:rPr>
          <w:rFonts w:hint="eastAsia"/>
        </w:rPr>
        <w:t>毛冠鹿：国家二级保护动物，栖息于1000～3600米的常绿阔叶林、针阔叶林中。</w:t>
      </w:r>
    </w:p>
    <w:p>
      <w:pPr>
        <w:pStyle w:val="6"/>
        <w:ind w:firstLine="480"/>
        <w:rPr>
          <w:rFonts w:hint="eastAsia"/>
        </w:rPr>
      </w:pPr>
      <w:r>
        <w:rPr>
          <w:rFonts w:hint="eastAsia"/>
        </w:rPr>
        <w:t>赤鹿：国家二级保护动物，栖息于2600米以下的针阔叶林、林缘灌丛中。</w:t>
      </w:r>
    </w:p>
    <w:p>
      <w:pPr>
        <w:pStyle w:val="6"/>
        <w:ind w:firstLine="480"/>
        <w:rPr>
          <w:rFonts w:hint="eastAsia"/>
        </w:rPr>
      </w:pPr>
      <w:r>
        <w:rPr>
          <w:rFonts w:hint="eastAsia"/>
        </w:rPr>
        <w:t>扭角羚：国家一级保护动物，栖息于2000～4500米的亚热带森林中。</w:t>
      </w:r>
    </w:p>
    <w:p>
      <w:pPr>
        <w:pStyle w:val="6"/>
        <w:ind w:firstLine="480"/>
        <w:rPr>
          <w:rFonts w:hint="eastAsia"/>
        </w:rPr>
      </w:pPr>
      <w:r>
        <w:rPr>
          <w:rFonts w:hint="eastAsia"/>
        </w:rPr>
        <w:t>鬣羚：国家二级保护动物，栖息于4200以下的亚热带、温带森林中。</w:t>
      </w:r>
    </w:p>
    <w:p>
      <w:pPr>
        <w:pStyle w:val="6"/>
        <w:ind w:firstLine="480"/>
        <w:rPr>
          <w:rFonts w:hint="eastAsia"/>
        </w:rPr>
      </w:pPr>
      <w:r>
        <w:rPr>
          <w:rFonts w:hint="eastAsia"/>
        </w:rPr>
        <w:t>赤斑羚：国家一级保护动物，栖息于1500～4000米的森林地带。</w:t>
      </w:r>
    </w:p>
    <w:p>
      <w:pPr>
        <w:pStyle w:val="6"/>
        <w:ind w:firstLine="480"/>
        <w:rPr>
          <w:rFonts w:hint="eastAsia"/>
        </w:rPr>
      </w:pPr>
      <w:r>
        <w:rPr>
          <w:rFonts w:hint="eastAsia"/>
        </w:rPr>
        <w:t>岩羊：国家二级保护动物，栖息于3000～6000米的高山草地、多裸岩地带。</w:t>
      </w:r>
    </w:p>
    <w:p>
      <w:pPr>
        <w:pStyle w:val="6"/>
        <w:ind w:firstLine="480"/>
        <w:rPr>
          <w:rFonts w:hint="eastAsia"/>
        </w:rPr>
      </w:pPr>
      <w:r>
        <w:rPr>
          <w:rFonts w:hint="eastAsia"/>
        </w:rPr>
        <w:t>高原兔：国家三级保护动物，栖息于2000～5200米的草原、灌丛地带。</w:t>
      </w:r>
    </w:p>
    <w:p>
      <w:pPr>
        <w:pStyle w:val="6"/>
        <w:ind w:firstLine="480"/>
        <w:rPr>
          <w:rFonts w:hint="eastAsia"/>
        </w:rPr>
      </w:pPr>
      <w:r>
        <w:rPr>
          <w:rFonts w:hint="eastAsia"/>
        </w:rPr>
        <w:t>三、爬行类</w:t>
      </w:r>
    </w:p>
    <w:p>
      <w:pPr>
        <w:pStyle w:val="6"/>
        <w:ind w:firstLine="480"/>
        <w:rPr>
          <w:rFonts w:hint="eastAsia"/>
        </w:rPr>
      </w:pPr>
      <w:r>
        <w:rPr>
          <w:rFonts w:hint="eastAsia"/>
        </w:rPr>
        <w:t>蟒：国家一级保护动物，栖息于1500米以下的热带、亚热带森林中，下察隅、墨脱分布。</w:t>
      </w:r>
    </w:p>
    <w:p>
      <w:pPr>
        <w:pStyle w:val="6"/>
        <w:ind w:firstLine="480"/>
        <w:rPr>
          <w:rFonts w:hint="eastAsia"/>
        </w:rPr>
      </w:pPr>
      <w:r>
        <w:rPr>
          <w:rFonts w:hint="eastAsia"/>
        </w:rPr>
        <w:t>林芝哺乳类动物有7目20科60属94种。</w:t>
      </w:r>
    </w:p>
    <w:p>
      <w:pPr>
        <w:pStyle w:val="6"/>
        <w:ind w:firstLine="480"/>
        <w:rPr>
          <w:rFonts w:hint="eastAsia"/>
        </w:rPr>
      </w:pPr>
      <w:r>
        <w:rPr>
          <w:rFonts w:hint="eastAsia"/>
        </w:rPr>
        <w:t>林芝鸟类有18目、47科、174属、315种。</w:t>
      </w:r>
    </w:p>
    <w:p>
      <w:pPr>
        <w:pStyle w:val="6"/>
        <w:ind w:firstLine="480"/>
        <w:rPr>
          <w:rFonts w:hint="eastAsia"/>
        </w:rPr>
      </w:pPr>
      <w:r>
        <w:rPr>
          <w:rFonts w:hint="eastAsia"/>
        </w:rPr>
        <w:t>林芝两栖类动物有32种。</w:t>
      </w:r>
    </w:p>
    <w:p>
      <w:pPr>
        <w:pStyle w:val="6"/>
        <w:ind w:firstLine="480"/>
        <w:rPr>
          <w:rFonts w:hint="eastAsia"/>
        </w:rPr>
      </w:pPr>
      <w:r>
        <w:rPr>
          <w:rFonts w:hint="eastAsia"/>
        </w:rPr>
        <w:t>林芝爬行类动物有43种。</w:t>
      </w:r>
    </w:p>
    <w:p>
      <w:pPr>
        <w:pStyle w:val="6"/>
        <w:ind w:firstLine="480"/>
        <w:rPr>
          <w:rFonts w:hint="eastAsia"/>
        </w:rPr>
      </w:pPr>
      <w:r>
        <w:rPr>
          <w:rFonts w:hint="eastAsia"/>
        </w:rPr>
        <w:t>林芝鱼类4科、15属、24种。</w:t>
      </w:r>
    </w:p>
    <w:p>
      <w:pPr>
        <w:pStyle w:val="4"/>
        <w:rPr>
          <w:rFonts w:hint="eastAsia"/>
        </w:rPr>
      </w:pPr>
      <w:bookmarkStart w:id="108" w:name="_Toc13693"/>
      <w:bookmarkStart w:id="109" w:name="_Toc17553"/>
      <w:r>
        <w:rPr>
          <w:rFonts w:hint="eastAsia"/>
        </w:rPr>
        <w:t>3.5林芝市旅游业开发现状及回顾性分析</w:t>
      </w:r>
      <w:bookmarkEnd w:id="108"/>
      <w:bookmarkEnd w:id="109"/>
    </w:p>
    <w:p>
      <w:pPr>
        <w:pStyle w:val="5"/>
      </w:pPr>
      <w:bookmarkStart w:id="110" w:name="_Toc4074"/>
      <w:bookmarkStart w:id="111" w:name="_Toc857"/>
      <w:r>
        <w:rPr>
          <w:rFonts w:hint="eastAsia"/>
        </w:rPr>
        <w:t>3.5.1林芝市旅游业基本情况</w:t>
      </w:r>
      <w:bookmarkEnd w:id="110"/>
      <w:bookmarkEnd w:id="111"/>
    </w:p>
    <w:p>
      <w:pPr>
        <w:pStyle w:val="6"/>
        <w:ind w:firstLine="482"/>
        <w:rPr>
          <w:rFonts w:hint="eastAsia"/>
          <w:b/>
          <w:bCs/>
        </w:rPr>
      </w:pPr>
      <w:r>
        <w:rPr>
          <w:rFonts w:hint="eastAsia"/>
          <w:b/>
          <w:bCs/>
        </w:rPr>
        <w:t>1、林芝市旅游业发展规模</w:t>
      </w:r>
    </w:p>
    <w:p>
      <w:pPr>
        <w:pStyle w:val="6"/>
        <w:ind w:firstLine="480"/>
        <w:rPr>
          <w:rFonts w:hint="eastAsia"/>
        </w:rPr>
      </w:pPr>
      <w:r>
        <w:rPr>
          <w:rFonts w:hint="eastAsia"/>
        </w:rPr>
        <w:t>林芝市旅游人数从2016年402.35万人次，到2019年增加至824.65万人次，2020年受新冠疫情影响，降至604.74万人次。旅游人数主要集中在巴宜区，巴宜区旅游人数从2016年158.8万人次，到2019年增加至220万人次，2020年受新冠疫情影响，降至184.11万人次，占全州旅游人数比例约在32%左右；具体见表3.5-1。</w:t>
      </w:r>
    </w:p>
    <w:p>
      <w:pPr>
        <w:pStyle w:val="27"/>
      </w:pPr>
      <w:r>
        <w:rPr>
          <w:rFonts w:hint="eastAsia"/>
        </w:rPr>
        <w:t>表3.5-1  2016-2020年旅游接待人数统计    单位：万人</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33" w:type="pct"/>
            <w:tcBorders>
              <w:tl2br w:val="single" w:color="auto" w:sz="4" w:space="0"/>
            </w:tcBorders>
            <w:noWrap w:val="0"/>
            <w:vAlign w:val="center"/>
          </w:tcPr>
          <w:p>
            <w:pPr>
              <w:pStyle w:val="29"/>
              <w:keepNext w:val="0"/>
              <w:keepLines w:val="0"/>
              <w:suppressLineNumbers w:val="0"/>
              <w:spacing w:before="0" w:beforeAutospacing="0" w:after="0" w:afterAutospacing="0"/>
              <w:ind w:left="0" w:right="0"/>
              <w:jc w:val="right"/>
              <w:rPr>
                <w:rFonts w:hint="default"/>
              </w:rPr>
            </w:pPr>
            <w:r>
              <w:rPr>
                <w:rFonts w:hint="eastAsia"/>
              </w:rPr>
              <w:t>年份</w:t>
            </w:r>
          </w:p>
          <w:p>
            <w:pPr>
              <w:pStyle w:val="29"/>
              <w:keepNext w:val="0"/>
              <w:keepLines w:val="0"/>
              <w:suppressLineNumbers w:val="0"/>
              <w:spacing w:before="0" w:beforeAutospacing="0" w:after="0" w:afterAutospacing="0"/>
              <w:ind w:left="0" w:right="0"/>
              <w:jc w:val="both"/>
              <w:rPr>
                <w:rFonts w:hint="eastAsia"/>
              </w:rPr>
            </w:pPr>
            <w:r>
              <w:rPr>
                <w:rFonts w:hint="eastAsia"/>
              </w:rPr>
              <w:t>人数</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016</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017</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018</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019</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巴宜区</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58.8</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76.1</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51.2</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20</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84.11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波密县</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5</w:t>
            </w:r>
            <w:r>
              <w:rPr>
                <w:rFonts w:hint="default"/>
              </w:rPr>
              <w:t>6.2</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7</w:t>
            </w:r>
            <w:r>
              <w:rPr>
                <w:rFonts w:hint="default"/>
              </w:rPr>
              <w:t>6.16</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32.38</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77.42</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20.64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米林县</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7</w:t>
            </w:r>
            <w:r>
              <w:rPr>
                <w:rFonts w:hint="default"/>
              </w:rPr>
              <w:t>5.2</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8</w:t>
            </w:r>
            <w:r>
              <w:rPr>
                <w:rFonts w:hint="default"/>
              </w:rPr>
              <w:t>6.4</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30.03</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60</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20.88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察隅县</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0.11</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2.36</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4.38</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3</w:t>
            </w:r>
            <w:r>
              <w:rPr>
                <w:rFonts w:hint="default"/>
              </w:rPr>
              <w:t>0.71</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墨脱县</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7</w:t>
            </w:r>
            <w:r>
              <w:rPr>
                <w:rFonts w:hint="default"/>
              </w:rPr>
              <w:t>.59</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1.14</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2.75</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0.98</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工布江达县</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8</w:t>
            </w:r>
            <w:r>
              <w:rPr>
                <w:rFonts w:hint="default"/>
              </w:rPr>
              <w:t>4.35</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08</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52.3</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89.6</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朗县</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0.1</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0.00</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6.37</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3</w:t>
            </w:r>
            <w:r>
              <w:rPr>
                <w:rFonts w:hint="default"/>
              </w:rPr>
              <w:t>5.94</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林芝市</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4</w:t>
            </w:r>
            <w:r>
              <w:rPr>
                <w:rFonts w:hint="default"/>
              </w:rPr>
              <w:t>02.35</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5</w:t>
            </w:r>
            <w:r>
              <w:rPr>
                <w:rFonts w:hint="default"/>
              </w:rPr>
              <w:t>00.16</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7</w:t>
            </w:r>
            <w:r>
              <w:rPr>
                <w:rFonts w:hint="default"/>
              </w:rPr>
              <w:t>39.41</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8</w:t>
            </w:r>
            <w:r>
              <w:rPr>
                <w:rFonts w:hint="default"/>
              </w:rPr>
              <w:t>24.65</w:t>
            </w:r>
          </w:p>
        </w:tc>
        <w:tc>
          <w:tcPr>
            <w:tcW w:w="833"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6</w:t>
            </w:r>
            <w:r>
              <w:rPr>
                <w:rFonts w:hint="default"/>
              </w:rPr>
              <w:t>04.74</w:t>
            </w:r>
          </w:p>
        </w:tc>
      </w:tr>
    </w:tbl>
    <w:p>
      <w:pPr>
        <w:pStyle w:val="6"/>
        <w:ind w:firstLine="480"/>
        <w:jc w:val="center"/>
        <w:rPr>
          <w:rFonts w:hint="eastAsia"/>
        </w:rPr>
      </w:pPr>
      <w:r>
        <w:rPr>
          <w:rFonts w:hint="eastAsia"/>
        </w:rPr>
        <w:drawing>
          <wp:inline distT="0" distB="0" distL="114300" distR="114300">
            <wp:extent cx="3585845" cy="1891665"/>
            <wp:effectExtent l="0" t="0" r="14605" b="13335"/>
            <wp:docPr id="18" name="图片 8" descr="b55d1d4ef420a34784ae2da4e472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b55d1d4ef420a34784ae2da4e4726a8"/>
                    <pic:cNvPicPr>
                      <a:picLocks noChangeAspect="1"/>
                    </pic:cNvPicPr>
                  </pic:nvPicPr>
                  <pic:blipFill>
                    <a:blip r:embed="rId21"/>
                    <a:stretch>
                      <a:fillRect/>
                    </a:stretch>
                  </pic:blipFill>
                  <pic:spPr>
                    <a:xfrm>
                      <a:off x="0" y="0"/>
                      <a:ext cx="3585845" cy="1891665"/>
                    </a:xfrm>
                    <a:prstGeom prst="rect">
                      <a:avLst/>
                    </a:prstGeom>
                    <a:noFill/>
                    <a:ln>
                      <a:noFill/>
                    </a:ln>
                  </pic:spPr>
                </pic:pic>
              </a:graphicData>
            </a:graphic>
          </wp:inline>
        </w:drawing>
      </w:r>
    </w:p>
    <w:p>
      <w:pPr>
        <w:pStyle w:val="34"/>
        <w:rPr>
          <w:rFonts w:hint="eastAsia"/>
        </w:rPr>
      </w:pPr>
      <w:r>
        <w:rPr>
          <w:rFonts w:hint="eastAsia"/>
        </w:rPr>
        <w:t>图3.5-1  2016-2020年旅游接待人数统计</w:t>
      </w:r>
    </w:p>
    <w:p>
      <w:pPr>
        <w:pStyle w:val="6"/>
        <w:ind w:firstLine="480"/>
        <w:rPr>
          <w:rFonts w:hint="eastAsia"/>
        </w:rPr>
      </w:pPr>
      <w:r>
        <w:rPr>
          <w:rFonts w:hint="eastAsia"/>
        </w:rPr>
        <w:t>2016年林芝市旅游收入从29.46亿元，到2019年增加至68.22亿元，2020年受新冠疫情影响，降至54.95亿元，具体见表3-17。</w:t>
      </w:r>
    </w:p>
    <w:p>
      <w:pPr>
        <w:pStyle w:val="27"/>
      </w:pPr>
      <w:r>
        <w:rPr>
          <w:rFonts w:hint="eastAsia"/>
        </w:rPr>
        <w:t>表3.5-2  2016-2020年旅游收入分析表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2"/>
        <w:gridCol w:w="1208"/>
        <w:gridCol w:w="1134"/>
        <w:gridCol w:w="1176"/>
        <w:gridCol w:w="1351"/>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02" w:type="dxa"/>
            <w:tcBorders>
              <w:tl2br w:val="single" w:color="auto" w:sz="4" w:space="0"/>
            </w:tcBorders>
            <w:noWrap w:val="0"/>
            <w:vAlign w:val="center"/>
          </w:tcPr>
          <w:p>
            <w:pPr>
              <w:pStyle w:val="29"/>
              <w:keepNext w:val="0"/>
              <w:keepLines w:val="0"/>
              <w:suppressLineNumbers w:val="0"/>
              <w:spacing w:before="0" w:beforeAutospacing="0" w:after="0" w:afterAutospacing="0"/>
              <w:ind w:left="0" w:right="0"/>
              <w:jc w:val="right"/>
              <w:rPr>
                <w:rFonts w:hint="default"/>
              </w:rPr>
            </w:pPr>
            <w:r>
              <w:rPr>
                <w:rFonts w:hint="eastAsia"/>
              </w:rPr>
              <w:t>年份</w:t>
            </w:r>
          </w:p>
          <w:p>
            <w:pPr>
              <w:pStyle w:val="29"/>
              <w:keepNext w:val="0"/>
              <w:keepLines w:val="0"/>
              <w:suppressLineNumbers w:val="0"/>
              <w:spacing w:before="0" w:beforeAutospacing="0" w:after="0" w:afterAutospacing="0"/>
              <w:ind w:left="0" w:right="0"/>
              <w:jc w:val="both"/>
              <w:rPr>
                <w:rFonts w:hint="eastAsia"/>
              </w:rPr>
            </w:pPr>
            <w:r>
              <w:rPr>
                <w:rFonts w:hint="eastAsia"/>
              </w:rPr>
              <w:t>旅游收入（亿元）</w:t>
            </w:r>
          </w:p>
        </w:tc>
        <w:tc>
          <w:tcPr>
            <w:tcW w:w="1208"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016</w:t>
            </w:r>
          </w:p>
        </w:tc>
        <w:tc>
          <w:tcPr>
            <w:tcW w:w="113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017</w:t>
            </w:r>
          </w:p>
        </w:tc>
        <w:tc>
          <w:tcPr>
            <w:tcW w:w="1176"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018</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019</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0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巴宜区</w:t>
            </w:r>
          </w:p>
        </w:tc>
        <w:tc>
          <w:tcPr>
            <w:tcW w:w="1208"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4.47</w:t>
            </w:r>
          </w:p>
        </w:tc>
        <w:tc>
          <w:tcPr>
            <w:tcW w:w="113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5.6</w:t>
            </w:r>
          </w:p>
        </w:tc>
        <w:tc>
          <w:tcPr>
            <w:tcW w:w="1176"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9.82</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0</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0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波密县</w:t>
            </w:r>
          </w:p>
        </w:tc>
        <w:tc>
          <w:tcPr>
            <w:tcW w:w="1208"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3</w:t>
            </w:r>
            <w:r>
              <w:rPr>
                <w:rFonts w:hint="default"/>
              </w:rPr>
              <w:t>.68</w:t>
            </w:r>
          </w:p>
        </w:tc>
        <w:tc>
          <w:tcPr>
            <w:tcW w:w="113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6</w:t>
            </w:r>
            <w:r>
              <w:rPr>
                <w:rFonts w:hint="default"/>
              </w:rPr>
              <w:t>.7</w:t>
            </w:r>
          </w:p>
        </w:tc>
        <w:tc>
          <w:tcPr>
            <w:tcW w:w="1176"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0.55</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4.5</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9</w:t>
            </w:r>
            <w:r>
              <w:rPr>
                <w:rFonts w:hint="default"/>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0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米林县</w:t>
            </w:r>
          </w:p>
        </w:tc>
        <w:tc>
          <w:tcPr>
            <w:tcW w:w="1208"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6</w:t>
            </w:r>
            <w:r>
              <w:rPr>
                <w:rFonts w:hint="default"/>
              </w:rPr>
              <w:t>.8</w:t>
            </w:r>
          </w:p>
        </w:tc>
        <w:tc>
          <w:tcPr>
            <w:tcW w:w="113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7</w:t>
            </w:r>
            <w:r>
              <w:rPr>
                <w:rFonts w:hint="default"/>
              </w:rPr>
              <w:t>.82</w:t>
            </w:r>
          </w:p>
        </w:tc>
        <w:tc>
          <w:tcPr>
            <w:tcW w:w="1176"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2.33</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4.7</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0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察隅县</w:t>
            </w:r>
          </w:p>
        </w:tc>
        <w:tc>
          <w:tcPr>
            <w:tcW w:w="1208"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0</w:t>
            </w:r>
            <w:r>
              <w:rPr>
                <w:rFonts w:hint="default"/>
              </w:rPr>
              <w:t>.63</w:t>
            </w:r>
          </w:p>
        </w:tc>
        <w:tc>
          <w:tcPr>
            <w:tcW w:w="113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.35</w:t>
            </w:r>
          </w:p>
        </w:tc>
        <w:tc>
          <w:tcPr>
            <w:tcW w:w="1176"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.5</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.6</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0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墨脱县</w:t>
            </w:r>
          </w:p>
        </w:tc>
        <w:tc>
          <w:tcPr>
            <w:tcW w:w="1208"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0</w:t>
            </w:r>
            <w:r>
              <w:rPr>
                <w:rFonts w:hint="default"/>
              </w:rPr>
              <w:t>.74</w:t>
            </w:r>
          </w:p>
        </w:tc>
        <w:tc>
          <w:tcPr>
            <w:tcW w:w="113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0</w:t>
            </w:r>
            <w:r>
              <w:rPr>
                <w:rFonts w:hint="default"/>
              </w:rPr>
              <w:t>.83</w:t>
            </w:r>
          </w:p>
        </w:tc>
        <w:tc>
          <w:tcPr>
            <w:tcW w:w="1176"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.67</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0</w:t>
            </w:r>
            <w:r>
              <w:rPr>
                <w:rFonts w:hint="default"/>
              </w:rPr>
              <w:t>.5</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0</w:t>
            </w:r>
            <w:r>
              <w:rPr>
                <w:rFonts w:hint="default"/>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0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工布江达县</w:t>
            </w:r>
          </w:p>
        </w:tc>
        <w:tc>
          <w:tcPr>
            <w:tcW w:w="1208"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r>
              <w:rPr>
                <w:rFonts w:hint="default"/>
              </w:rPr>
              <w:t>.69</w:t>
            </w:r>
          </w:p>
        </w:tc>
        <w:tc>
          <w:tcPr>
            <w:tcW w:w="113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4</w:t>
            </w:r>
            <w:r>
              <w:rPr>
                <w:rFonts w:hint="default"/>
              </w:rPr>
              <w:t>.6</w:t>
            </w:r>
          </w:p>
        </w:tc>
        <w:tc>
          <w:tcPr>
            <w:tcW w:w="1176"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8</w:t>
            </w:r>
            <w:r>
              <w:rPr>
                <w:rFonts w:hint="default"/>
              </w:rPr>
              <w:t>.8</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4.62</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0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朗县（万元）</w:t>
            </w:r>
          </w:p>
        </w:tc>
        <w:tc>
          <w:tcPr>
            <w:tcW w:w="1208"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0.45</w:t>
            </w:r>
          </w:p>
        </w:tc>
        <w:tc>
          <w:tcPr>
            <w:tcW w:w="1134"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0.79</w:t>
            </w:r>
          </w:p>
        </w:tc>
        <w:tc>
          <w:tcPr>
            <w:tcW w:w="1176"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.05</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.30</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9</w:t>
            </w:r>
            <w:r>
              <w:rPr>
                <w:rFonts w:hint="defaul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02"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林芝市</w:t>
            </w:r>
          </w:p>
        </w:tc>
        <w:tc>
          <w:tcPr>
            <w:tcW w:w="1208"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29.46</w:t>
            </w:r>
          </w:p>
        </w:tc>
        <w:tc>
          <w:tcPr>
            <w:tcW w:w="1134"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37.69</w:t>
            </w:r>
          </w:p>
        </w:tc>
        <w:tc>
          <w:tcPr>
            <w:tcW w:w="1176"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55.72</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68.22</w:t>
            </w:r>
          </w:p>
        </w:tc>
        <w:tc>
          <w:tcPr>
            <w:tcW w:w="1351"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54.95</w:t>
            </w:r>
          </w:p>
        </w:tc>
      </w:tr>
    </w:tbl>
    <w:p>
      <w:pPr>
        <w:pStyle w:val="6"/>
        <w:ind w:firstLine="0" w:firstLineChars="0"/>
        <w:jc w:val="center"/>
        <w:rPr>
          <w:rFonts w:hint="eastAsia"/>
        </w:rPr>
      </w:pPr>
    </w:p>
    <w:p>
      <w:pPr>
        <w:pStyle w:val="6"/>
        <w:ind w:firstLine="0" w:firstLineChars="0"/>
        <w:jc w:val="center"/>
        <w:rPr>
          <w:rFonts w:hint="eastAsia"/>
        </w:rPr>
      </w:pPr>
      <w:r>
        <w:rPr>
          <w:rFonts w:hint="eastAsia"/>
        </w:rPr>
        <w:drawing>
          <wp:inline distT="0" distB="0" distL="114300" distR="114300">
            <wp:extent cx="3587115" cy="2082800"/>
            <wp:effectExtent l="0" t="0" r="13335" b="12700"/>
            <wp:docPr id="20" name="图片 9" descr="b55d1d4ef420a34784ae2da4e4726a8"/>
            <wp:cNvGraphicFramePr/>
            <a:graphic xmlns:a="http://schemas.openxmlformats.org/drawingml/2006/main">
              <a:graphicData uri="http://schemas.openxmlformats.org/drawingml/2006/picture">
                <pic:pic xmlns:pic="http://schemas.openxmlformats.org/drawingml/2006/picture">
                  <pic:nvPicPr>
                    <pic:cNvPr id="20" name="图片 9" descr="b55d1d4ef420a34784ae2da4e4726a8"/>
                    <pic:cNvPicPr/>
                  </pic:nvPicPr>
                  <pic:blipFill>
                    <a:blip r:embed="rId21"/>
                    <a:stretch>
                      <a:fillRect/>
                    </a:stretch>
                  </pic:blipFill>
                  <pic:spPr>
                    <a:xfrm>
                      <a:off x="0" y="0"/>
                      <a:ext cx="3587115" cy="2082800"/>
                    </a:xfrm>
                    <a:prstGeom prst="rect">
                      <a:avLst/>
                    </a:prstGeom>
                    <a:noFill/>
                    <a:ln>
                      <a:noFill/>
                    </a:ln>
                  </pic:spPr>
                </pic:pic>
              </a:graphicData>
            </a:graphic>
          </wp:inline>
        </w:drawing>
      </w:r>
    </w:p>
    <w:p>
      <w:pPr>
        <w:pStyle w:val="34"/>
        <w:rPr>
          <w:rFonts w:hint="eastAsia"/>
        </w:rPr>
      </w:pPr>
      <w:r>
        <w:rPr>
          <w:rFonts w:hint="eastAsia"/>
        </w:rPr>
        <w:t>图3.5-2  2016-2020年旅游收入统计</w:t>
      </w:r>
    </w:p>
    <w:p>
      <w:pPr>
        <w:pStyle w:val="6"/>
        <w:ind w:firstLine="482"/>
        <w:rPr>
          <w:b/>
          <w:bCs/>
        </w:rPr>
      </w:pPr>
      <w:r>
        <w:rPr>
          <w:rFonts w:hint="eastAsia"/>
          <w:b/>
          <w:bCs/>
        </w:rPr>
        <w:t>2、景区开发情况</w:t>
      </w:r>
    </w:p>
    <w:p>
      <w:pPr>
        <w:pStyle w:val="6"/>
        <w:ind w:firstLine="480"/>
      </w:pPr>
      <w:r>
        <w:rPr>
          <w:rFonts w:hint="eastAsia"/>
        </w:rPr>
        <w:t>自2016年以来，林芝旅游规划坚持生态旅游发展路径，参照国际相关生态标准体系，重点开发生态旅游精品项目。本次规划统计林芝市已开发建设具有一定基础设施旅游资源119处；其中巴宜区12处、波密县15处、朗县14处、墨脱县14处、工布江达县22处、米林县21处、察隅县21处。具体见表3.6-1。</w:t>
      </w:r>
    </w:p>
    <w:p>
      <w:pPr>
        <w:pStyle w:val="6"/>
        <w:ind w:firstLine="480"/>
      </w:pPr>
    </w:p>
    <w:p>
      <w:pPr>
        <w:pStyle w:val="6"/>
        <w:ind w:firstLine="480"/>
      </w:pPr>
    </w:p>
    <w:p>
      <w:pPr>
        <w:pStyle w:val="6"/>
        <w:ind w:firstLine="480"/>
        <w:sectPr>
          <w:pgSz w:w="11906" w:h="16838"/>
          <w:pgMar w:top="1440" w:right="1800" w:bottom="1440" w:left="1800" w:header="851" w:footer="992" w:gutter="0"/>
          <w:pgNumType w:fmt="decimal"/>
          <w:cols w:space="720" w:num="1"/>
          <w:docGrid w:type="lines" w:linePitch="312" w:charSpace="0"/>
        </w:sectPr>
      </w:pPr>
    </w:p>
    <w:p>
      <w:pPr>
        <w:pStyle w:val="27"/>
      </w:pPr>
      <w:r>
        <w:rPr>
          <w:rFonts w:hint="eastAsia"/>
        </w:rPr>
        <w:t>表3.5-3  林芝市已开发景区统计表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3496"/>
        <w:gridCol w:w="9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03" w:type="pct"/>
            <w:noWrap w:val="0"/>
            <w:vAlign w:val="top"/>
          </w:tcPr>
          <w:p>
            <w:pPr>
              <w:pStyle w:val="29"/>
              <w:keepNext w:val="0"/>
              <w:keepLines w:val="0"/>
              <w:suppressLineNumbers w:val="0"/>
              <w:spacing w:before="0" w:beforeAutospacing="0" w:after="0" w:afterAutospacing="0"/>
              <w:ind w:left="0" w:right="0"/>
              <w:rPr>
                <w:rFonts w:hint="default"/>
                <w:b/>
                <w:bCs/>
              </w:rPr>
            </w:pPr>
            <w:r>
              <w:rPr>
                <w:rFonts w:hint="eastAsia"/>
                <w:b/>
                <w:bCs/>
              </w:rPr>
              <w:t>行政区域</w:t>
            </w:r>
          </w:p>
        </w:tc>
        <w:tc>
          <w:tcPr>
            <w:tcW w:w="1234"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旅游资源</w:t>
            </w:r>
          </w:p>
        </w:tc>
        <w:tc>
          <w:tcPr>
            <w:tcW w:w="3362" w:type="pct"/>
            <w:noWrap w:val="0"/>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实际已建设内容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restart"/>
            <w:noWrap w:val="0"/>
            <w:vAlign w:val="top"/>
          </w:tcPr>
          <w:p>
            <w:pPr>
              <w:pStyle w:val="29"/>
              <w:keepNext w:val="0"/>
              <w:keepLines w:val="0"/>
              <w:suppressLineNumbers w:val="0"/>
              <w:spacing w:before="0" w:beforeAutospacing="0" w:after="0" w:afterAutospacing="0"/>
              <w:ind w:left="0" w:right="0"/>
              <w:rPr>
                <w:rFonts w:hint="default"/>
              </w:rPr>
            </w:pPr>
            <w:r>
              <w:rPr>
                <w:rFonts w:hint="eastAsia"/>
              </w:rPr>
              <w:t>巴宜区</w:t>
            </w:r>
          </w:p>
        </w:tc>
        <w:tc>
          <w:tcPr>
            <w:tcW w:w="1234"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工布原乡景区</w:t>
            </w:r>
          </w:p>
        </w:tc>
        <w:tc>
          <w:tcPr>
            <w:tcW w:w="33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集镇文化休闲区、文化体验观光（喇嘛岭寺、珠曲登寺、布久色吉拉康），主题民宿村（朵当村、珠曲登村、简切村、卓木村、卡达村）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多布湖旅游区</w:t>
            </w:r>
          </w:p>
        </w:tc>
        <w:tc>
          <w:tcPr>
            <w:tcW w:w="33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门仲门巴民俗村、娘萨牧俗风情体验村、久巴水果采摘主题村、扎曲滨湖家庭旅馆主题村、多布蓝莓采摘主题村、卡定沟天佛瀑布景区（建设有完善的游客中心、</w:t>
            </w:r>
            <w:r>
              <w:rPr>
                <w:rFonts w:hint="default"/>
              </w:rPr>
              <w:t>购物长廊</w:t>
            </w:r>
            <w:r>
              <w:rPr>
                <w:rFonts w:hint="eastAsia"/>
              </w:rPr>
              <w:t>、</w:t>
            </w:r>
            <w:r>
              <w:rPr>
                <w:rFonts w:hint="default"/>
              </w:rPr>
              <w:t>景区大门</w:t>
            </w:r>
            <w:r>
              <w:rPr>
                <w:rFonts w:hint="eastAsia"/>
              </w:rPr>
              <w:t>、</w:t>
            </w:r>
            <w:r>
              <w:rPr>
                <w:rFonts w:hint="default"/>
              </w:rPr>
              <w:t>景点建设</w:t>
            </w:r>
            <w:r>
              <w:rPr>
                <w:rFonts w:hint="eastAsia"/>
              </w:rPr>
              <w:t>、</w:t>
            </w:r>
            <w:r>
              <w:rPr>
                <w:rFonts w:hint="default"/>
              </w:rPr>
              <w:t>观瀑木栈道、观景平台</w:t>
            </w:r>
            <w:r>
              <w:rPr>
                <w:rFonts w:hint="eastAsia"/>
              </w:rPr>
              <w:t>、</w:t>
            </w:r>
            <w:r>
              <w:rPr>
                <w:rFonts w:hint="default"/>
              </w:rPr>
              <w:t>生态停车位</w:t>
            </w:r>
            <w:r>
              <w:rPr>
                <w:rFonts w:hint="eastAsia"/>
              </w:rPr>
              <w:t>）、华侨城国际汽车营地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苯日景区</w:t>
            </w:r>
          </w:p>
        </w:tc>
        <w:tc>
          <w:tcPr>
            <w:tcW w:w="33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苯日景区（游客接待中心）、两江汇流处观景平台、西原故里（玉荣增村）、尼池千年古秀、姆多花田、曲觉沃寺、果蔬产业基地、帮纳民俗村、苯日山泉、苯日景区（游客接待中心）、娘欧码头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世界柏树王园林景区</w:t>
            </w:r>
          </w:p>
        </w:tc>
        <w:tc>
          <w:tcPr>
            <w:tcW w:w="33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入</w:t>
            </w:r>
            <w:r>
              <w:rPr>
                <w:rFonts w:hint="default"/>
              </w:rPr>
              <w:t>口停车场、游客中心、集散广场、购物街、游步道、木栈道、观景平台、休息亭等游览设施</w:t>
            </w:r>
            <w:r>
              <w:rPr>
                <w:rFonts w:hint="eastAsia"/>
              </w:rPr>
              <w:t>、</w:t>
            </w:r>
            <w:r>
              <w:rPr>
                <w:rFonts w:hint="default"/>
              </w:rPr>
              <w:t>污水收集管网2171m</w:t>
            </w:r>
            <w:r>
              <w:rPr>
                <w:rFonts w:hint="eastAsia"/>
              </w:rPr>
              <w:t>，</w:t>
            </w:r>
            <w:r>
              <w:rPr>
                <w:rFonts w:hint="default"/>
              </w:rPr>
              <w:t>配套钢筋混凝土检查井54座</w:t>
            </w:r>
            <w:r>
              <w:rPr>
                <w:rFonts w:hint="eastAsia"/>
              </w:rPr>
              <w:t>，</w:t>
            </w:r>
            <w:r>
              <w:rPr>
                <w:rFonts w:hint="default"/>
              </w:rPr>
              <w:t>公共厕所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措木及日景区</w:t>
            </w:r>
          </w:p>
        </w:tc>
        <w:tc>
          <w:tcPr>
            <w:tcW w:w="33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冰湖游览区：围绕湖泊周边设置了游览及接待设施（游客咨询点、停车场、电瓶车道、游步道、观景平台，开展骑马、摄影、观鸟、观湖等）。</w:t>
            </w:r>
          </w:p>
          <w:p>
            <w:pPr>
              <w:pStyle w:val="29"/>
              <w:keepNext w:val="0"/>
              <w:keepLines w:val="0"/>
              <w:suppressLineNumbers w:val="0"/>
              <w:spacing w:before="0" w:beforeAutospacing="0" w:after="0" w:afterAutospacing="0"/>
              <w:ind w:left="0" w:right="0"/>
              <w:rPr>
                <w:rFonts w:hint="eastAsia"/>
              </w:rPr>
            </w:pPr>
            <w:r>
              <w:rPr>
                <w:rFonts w:hint="eastAsia"/>
              </w:rPr>
              <w:t>巴及弄巴曲峡谷观光：在各景点设置游客咨询站、厕所、停车场、游步道、观景平台等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增巴</w:t>
            </w:r>
            <w:r>
              <w:rPr>
                <w:rFonts w:hint="default"/>
              </w:rPr>
              <w:t>-开朗沟徒</w:t>
            </w:r>
            <w:r>
              <w:rPr>
                <w:rFonts w:hint="eastAsia"/>
              </w:rPr>
              <w:t>步探秘游</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增巴村进行提升改造成为家庭旅馆、设置停车场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太阳宝座自驾营地</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帐篷营地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东阳光生态旅游景区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林芝自然博物馆、登山步道、拉丁嘎村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尼洋阁藏东南文化博览园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售票大厅、停车场、公厕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嘎拉桃花源景区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入口集散广场、景墙、停车场、形象大门、厕所、售卖亭、检票点；部分步道、观景楼、休息座椅，嘎拉村村容风貌改造已经完成，家庭旅馆等设置齐全。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千年核桃王第一民俗村</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入口集散广场、停车场、厕所、售卖亭、步道、休息座椅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restart"/>
            <w:noWrap w:val="0"/>
            <w:vAlign w:val="top"/>
          </w:tcPr>
          <w:p>
            <w:pPr>
              <w:pStyle w:val="29"/>
              <w:keepNext w:val="0"/>
              <w:keepLines w:val="0"/>
              <w:suppressLineNumbers w:val="0"/>
              <w:spacing w:before="0" w:beforeAutospacing="0" w:after="0" w:afterAutospacing="0"/>
              <w:ind w:left="0" w:right="0"/>
              <w:rPr>
                <w:rFonts w:hint="eastAsia"/>
              </w:rPr>
            </w:pPr>
            <w:r>
              <w:rPr>
                <w:rFonts w:hint="eastAsia"/>
              </w:rPr>
              <w:t>波密县</w:t>
            </w: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米堆冰川景区</w:t>
            </w:r>
          </w:p>
        </w:tc>
        <w:tc>
          <w:tcPr>
            <w:tcW w:w="33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米堆冰川：建设有游步道、观景点、智慧旅游信息系统；</w:t>
            </w:r>
          </w:p>
          <w:p>
            <w:pPr>
              <w:pStyle w:val="29"/>
              <w:keepNext w:val="0"/>
              <w:keepLines w:val="0"/>
              <w:suppressLineNumbers w:val="0"/>
              <w:spacing w:before="0" w:beforeAutospacing="0" w:after="0" w:afterAutospacing="0"/>
              <w:ind w:left="0" w:right="0"/>
              <w:rPr>
                <w:rFonts w:hint="default"/>
              </w:rPr>
            </w:pPr>
            <w:r>
              <w:rPr>
                <w:rFonts w:hint="eastAsia"/>
              </w:rPr>
              <w:t>米堆村：建设有游步道、服务点、导视系统、智慧旅游信息系统；</w:t>
            </w:r>
          </w:p>
          <w:p>
            <w:pPr>
              <w:pStyle w:val="29"/>
              <w:keepNext w:val="0"/>
              <w:keepLines w:val="0"/>
              <w:suppressLineNumbers w:val="0"/>
              <w:spacing w:before="0" w:beforeAutospacing="0" w:after="0" w:afterAutospacing="0"/>
              <w:ind w:left="0" w:right="0"/>
              <w:rPr>
                <w:rFonts w:hint="default"/>
              </w:rPr>
            </w:pPr>
            <w:r>
              <w:rPr>
                <w:rFonts w:hint="eastAsia"/>
              </w:rPr>
              <w:t>米堆牧场：建设有服务点、帐篷营地、放牧体验；</w:t>
            </w:r>
          </w:p>
          <w:p>
            <w:pPr>
              <w:pStyle w:val="29"/>
              <w:keepNext w:val="0"/>
              <w:keepLines w:val="0"/>
              <w:suppressLineNumbers w:val="0"/>
              <w:spacing w:before="0" w:beforeAutospacing="0" w:after="0" w:afterAutospacing="0"/>
              <w:ind w:left="0" w:right="0"/>
              <w:rPr>
                <w:rFonts w:hint="eastAsia"/>
              </w:rPr>
            </w:pPr>
            <w:r>
              <w:rPr>
                <w:rFonts w:hint="eastAsia"/>
              </w:rPr>
              <w:t>冰川小集镇：建设有服务中心、集散广场、旅游购物超市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波堆桃花谷旅游度假区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景观大门、游客中心、旅游服务点、停车场、桃林观光步道、步道骑行休憩点、露营地、标识系统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帕隆藏布“一河两岸”自驾文化公园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卓索服务点：观景台、移动厕所、休憩亭子；敏冲服务点：生态停车场、观景塔、休憩亭；岗巴道路拓宽硬化。卓龙沟民俗生态景区：景区大门、游客服务中心、观光车、停车场、马厩；嘎朗王宫修建；道路提升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泛红楼爱国教育基地</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红色文化展览馆（红楼）、红色教育大楼、红色教育成果墙、红色军营、军旅食堂、研学基地（红楼、将军楼、林芝八一红军小学旧址、巴渡卡小学旧址）、培训基地、红色文化体验基地、青少年教育基地（川藏线十英雄纪念碑、波密烈士陵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罗玛龙巴草原景区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待开发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朗秋冰川生态旅游区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景观大门、景区综合服务中心、观景平台、休闲服务站、步道休憩站、公厕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波密藏俗文化体验</w:t>
            </w:r>
          </w:p>
        </w:tc>
        <w:tc>
          <w:tcPr>
            <w:tcW w:w="33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松宗赛马节会场：停车场、厕所、马棚、表演台、跑马场、驯马场、服务站、帐篷式购物街</w:t>
            </w:r>
          </w:p>
          <w:p>
            <w:pPr>
              <w:pStyle w:val="29"/>
              <w:keepNext w:val="0"/>
              <w:keepLines w:val="0"/>
              <w:suppressLineNumbers w:val="0"/>
              <w:spacing w:before="0" w:beforeAutospacing="0" w:after="0" w:afterAutospacing="0"/>
              <w:ind w:left="0" w:right="0"/>
              <w:rPr>
                <w:rFonts w:hint="eastAsia"/>
              </w:rPr>
            </w:pPr>
            <w:r>
              <w:rPr>
                <w:rFonts w:hint="eastAsia"/>
              </w:rPr>
              <w:t>达大马术节会场：停车场、厕所、马棚、表演台、跑马场、驯马场、服务站、帐篷式购物街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多吉非遗文化体验园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建设非遗文创产品加工坊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易贡世界地质公园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地学旅游服务点、</w:t>
            </w:r>
            <w:r>
              <w:rPr>
                <w:rFonts w:hint="default"/>
              </w:rPr>
              <w:t>观景台、观景亭、步游道、停车场、广场、旅游厕所、绿化工程、标识牌及配套设施建设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八盖原始森林步道</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生态步道、观景休憩平台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嘎朗国家湿地公园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基础设施修建及景观打造（景观大门、景区综合服务中心、观景平台、休闲服务站）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restart"/>
            <w:noWrap w:val="0"/>
            <w:vAlign w:val="top"/>
          </w:tcPr>
          <w:p>
            <w:pPr>
              <w:pStyle w:val="29"/>
              <w:keepNext w:val="0"/>
              <w:keepLines w:val="0"/>
              <w:suppressLineNumbers w:val="0"/>
              <w:spacing w:before="0" w:beforeAutospacing="0" w:after="0" w:afterAutospacing="0"/>
              <w:ind w:left="0" w:right="0"/>
              <w:rPr>
                <w:rFonts w:hint="eastAsia"/>
              </w:rPr>
            </w:pPr>
            <w:r>
              <w:rPr>
                <w:rFonts w:hint="eastAsia"/>
              </w:rPr>
              <w:t>朗县</w:t>
            </w: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冲康人文庄园及千年核桃王景区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“人文庄园”展览馆、</w:t>
            </w:r>
            <w:r>
              <w:rPr>
                <w:rFonts w:hint="default"/>
              </w:rPr>
              <w:t>核桃王主题公园</w:t>
            </w:r>
            <w:r>
              <w:rPr>
                <w:rFonts w:hint="eastAsia"/>
              </w:rPr>
              <w:t>、“文化庄园”主题街区、主题景观小品、旅游厕所、</w:t>
            </w:r>
            <w:r>
              <w:rPr>
                <w:rFonts w:hint="default"/>
              </w:rPr>
              <w:t>景区导视系统</w:t>
            </w:r>
            <w:r>
              <w:rPr>
                <w:rFonts w:hint="eastAsia"/>
              </w:rPr>
              <w:t>、</w:t>
            </w:r>
            <w:r>
              <w:rPr>
                <w:rFonts w:hint="default"/>
              </w:rPr>
              <w:t>旅游公共信息导向系统</w:t>
            </w:r>
            <w:r>
              <w:rPr>
                <w:rFonts w:hint="eastAsia"/>
              </w:rPr>
              <w:t>、</w:t>
            </w:r>
            <w:r>
              <w:rPr>
                <w:rFonts w:hint="default"/>
              </w:rPr>
              <w:t>配套相应的购物、住宿、餐饮等服务设施。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default"/>
              </w:rPr>
              <w:t>嘎贡沟高山生态旅游景区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游客综合服务中心、景区大门、观景台、公厕、游牧古村极地旅游大本营（自驾营地、配套餐饮、民宿等）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default"/>
              </w:rPr>
              <w:t>拉多藏湖景区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default"/>
              </w:rPr>
              <w:t>游客服务中心</w:t>
            </w:r>
            <w:r>
              <w:rPr>
                <w:rFonts w:hint="eastAsia"/>
              </w:rPr>
              <w:t>、</w:t>
            </w:r>
            <w:r>
              <w:rPr>
                <w:rFonts w:hint="default"/>
              </w:rPr>
              <w:t>智慧旅游信息系统</w:t>
            </w:r>
            <w:r>
              <w:rPr>
                <w:rFonts w:hint="eastAsia"/>
              </w:rPr>
              <w:t>、</w:t>
            </w:r>
            <w:r>
              <w:rPr>
                <w:rFonts w:hint="default"/>
              </w:rPr>
              <w:t>星级旅游厕所</w:t>
            </w:r>
            <w:r>
              <w:rPr>
                <w:rFonts w:hint="eastAsia"/>
              </w:rPr>
              <w:t>、</w:t>
            </w:r>
            <w:r>
              <w:rPr>
                <w:rFonts w:hint="default"/>
              </w:rPr>
              <w:t>集</w:t>
            </w:r>
            <w:r>
              <w:rPr>
                <w:rFonts w:hint="eastAsia"/>
              </w:rPr>
              <w:t>散</w:t>
            </w:r>
            <w:r>
              <w:rPr>
                <w:rFonts w:hint="default"/>
              </w:rPr>
              <w:t>广场</w:t>
            </w:r>
            <w:r>
              <w:rPr>
                <w:rFonts w:hint="eastAsia"/>
              </w:rPr>
              <w:t>、</w:t>
            </w:r>
            <w:r>
              <w:rPr>
                <w:rFonts w:hint="default"/>
              </w:rPr>
              <w:t>徒步游览道路</w:t>
            </w:r>
            <w:r>
              <w:rPr>
                <w:rFonts w:hint="eastAsia"/>
              </w:rPr>
              <w:t>、</w:t>
            </w:r>
            <w:r>
              <w:rPr>
                <w:rFonts w:hint="default"/>
              </w:rPr>
              <w:t>车行环线道路</w:t>
            </w:r>
            <w:r>
              <w:rPr>
                <w:rFonts w:hint="eastAsia"/>
              </w:rPr>
              <w:t>、</w:t>
            </w:r>
            <w:r>
              <w:rPr>
                <w:rFonts w:hint="default"/>
              </w:rPr>
              <w:t>观景平台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勃勃朗冰川地质公园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游客服务中心、集散广场、旅游厕所、观景平台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琼日神水景区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游客综合服务中心、景区大门、游步道、公厕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南派藏医故里</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藏药文化展览馆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朗县全域旅游集散中心</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特色人文街区、综合环境整治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仲达田园牧歌集散小镇</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田园风情商业街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嘎贡沟生态休闲特色小镇</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户外装备商街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孜列寺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寺庙修复、藏香工坊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朋仁曲德寺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宗教观礼、佛事体验、藏香工坊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甘丹热登寺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寺庙修复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巴热村桃花产业园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游览接待设施、观景台、游步道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朗县农业观光园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研发中心、自驾驿站、主题采摘园、生态温室餐厅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restart"/>
            <w:noWrap w:val="0"/>
            <w:vAlign w:val="top"/>
          </w:tcPr>
          <w:p>
            <w:pPr>
              <w:pStyle w:val="29"/>
              <w:keepNext w:val="0"/>
              <w:keepLines w:val="0"/>
              <w:suppressLineNumbers w:val="0"/>
              <w:spacing w:before="0" w:beforeAutospacing="0" w:after="0" w:afterAutospacing="0"/>
              <w:ind w:left="0" w:right="0"/>
              <w:rPr>
                <w:rFonts w:hint="eastAsia"/>
              </w:rPr>
            </w:pPr>
            <w:r>
              <w:rPr>
                <w:rFonts w:hint="eastAsia"/>
              </w:rPr>
              <w:t>墨脱县</w:t>
            </w: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eastAsia"/>
              </w:rPr>
              <w:t>背崩户外特种风情小镇</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旅游集散服务中心、派墨特种大本营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center"/>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县城综合服务中心</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游客集散中心、墨脱门珞文化传习院、门珞民俗文化休闲街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center"/>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德兴热带风情度假小镇</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集镇综合服务区、门巴民俗文化村、热带生态果林康养度假区、门巴藤编创意基地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center"/>
          </w:tcPr>
          <w:p>
            <w:pPr>
              <w:pStyle w:val="29"/>
              <w:keepNext w:val="0"/>
              <w:keepLines w:val="0"/>
              <w:suppressLineNumbers w:val="0"/>
              <w:spacing w:before="0" w:beforeAutospacing="0" w:after="0" w:afterAutospacing="0"/>
              <w:ind w:left="0" w:right="0"/>
              <w:rPr>
                <w:rFonts w:hint="eastAsia"/>
              </w:rPr>
            </w:pPr>
          </w:p>
        </w:tc>
        <w:tc>
          <w:tcPr>
            <w:tcW w:w="1234"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达木珞巴风情旅游小镇</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集镇综合服务区、珞巴人家·民俗风情展示体验区、珞巴农园·特色种植及农耕文化展示区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eastAsia"/>
              </w:rPr>
              <w:t>果果塘蛇形大拐弯景区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游客中心、动植物科普馆、茶香体验区、亲江游赏区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eastAsia"/>
              </w:rPr>
              <w:t>仁钦崩景区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入口服务区、游客服务中心、原始森林观光道、南迦巴瓦观景台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eastAsia"/>
              </w:rPr>
              <w:t>80K旅游风情小镇</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旅游集散中心、80K自驾营地、民俗商业休闲街、特色民宿客栈服务区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eastAsia"/>
              </w:rPr>
              <w:t>中国第一徒步线</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背崩——汗密——拉格——多雄拉山口，背崩——亚热带雨林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汗密瀑布雨林观光景区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汗密营地驿站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巴登民俗文创基地</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巴登文化民俗村、马尼翁温泉度假营地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德兴藤网桥观赏点</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观景平台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雅鲁藏布江林多大拐弯</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观景平台、游步道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拉贡景区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景区入口大门、精品农家乐、登山步道、观景塔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解放大桥</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大桥建设完成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restart"/>
            <w:noWrap w:val="0"/>
            <w:vAlign w:val="top"/>
          </w:tcPr>
          <w:p>
            <w:pPr>
              <w:pStyle w:val="29"/>
              <w:keepNext w:val="0"/>
              <w:keepLines w:val="0"/>
              <w:suppressLineNumbers w:val="0"/>
              <w:spacing w:before="0" w:beforeAutospacing="0" w:after="0" w:afterAutospacing="0"/>
              <w:ind w:left="0" w:right="0"/>
              <w:rPr>
                <w:rFonts w:hint="eastAsia"/>
              </w:rPr>
            </w:pPr>
            <w:r>
              <w:rPr>
                <w:rFonts w:hint="eastAsia"/>
              </w:rPr>
              <w:t>工布江达县</w:t>
            </w: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巴松措世界户外运动公园</w:t>
            </w:r>
          </w:p>
        </w:tc>
        <w:tc>
          <w:tcPr>
            <w:tcW w:w="336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巴松措5</w:t>
            </w:r>
            <w:r>
              <w:rPr>
                <w:rFonts w:hint="default"/>
              </w:rPr>
              <w:t>A</w:t>
            </w:r>
            <w:r>
              <w:rPr>
                <w:rFonts w:hint="eastAsia"/>
              </w:rPr>
              <w:t>级景区：景区大门、售票厅、餐饮酒店、观景平台、游览道路、栈道、游步道等，设置有完善的旅游基础服务设施。</w:t>
            </w:r>
          </w:p>
          <w:p>
            <w:pPr>
              <w:pStyle w:val="29"/>
              <w:keepNext w:val="0"/>
              <w:keepLines w:val="0"/>
              <w:suppressLineNumbers w:val="0"/>
              <w:spacing w:before="0" w:beforeAutospacing="0" w:after="0" w:afterAutospacing="0"/>
              <w:ind w:left="0" w:right="0"/>
              <w:rPr>
                <w:rFonts w:hint="default"/>
              </w:rPr>
            </w:pPr>
            <w:r>
              <w:rPr>
                <w:rFonts w:hint="eastAsia"/>
              </w:rPr>
              <w:t>朱拉大峡谷4A景区：景区大门、售票厅、观景平台、游览道路、栈道、游步道等，设置有完善的旅游基础服务设施。</w:t>
            </w:r>
          </w:p>
          <w:p>
            <w:pPr>
              <w:pStyle w:val="29"/>
              <w:keepNext w:val="0"/>
              <w:keepLines w:val="0"/>
              <w:suppressLineNumbers w:val="0"/>
              <w:spacing w:before="0" w:beforeAutospacing="0" w:after="0" w:afterAutospacing="0"/>
              <w:ind w:left="0" w:right="0"/>
              <w:rPr>
                <w:rFonts w:hint="eastAsia"/>
              </w:rPr>
            </w:pPr>
            <w:r>
              <w:rPr>
                <w:rFonts w:hint="eastAsia"/>
              </w:rPr>
              <w:t>汽摩越野运动基地、高原马术运动基地、高原国际徒步运动基地、青少年户外夏令营、仲措骑马徒步穿越基地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阿沛故居红色旅游景区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文化广场、服务站、响箭场、停车场、标识标牌、垃圾桶、旅游厕所、公共休息桌椅、环境整治、生救护站、供电系统改造、排水系统改造。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西藏青藏高原野生动物园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待开发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山水工布慢城</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集散广场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太昭古城文创景区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游步道、观景台、安全警示牌、景区导示牌及附属设施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加兴温泉公园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待开发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秀巴古堡景区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观景平台、服务区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阿沛管家庄园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文化广场、服务站、停车场、标识标牌、垃圾桶、旅游厕所、公共休息桌椅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娘曲-巴嘎山文化景区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景区大门、游步道、观景台、停车场、公厕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错高工布文化集镇</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集镇环境整治、商业街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巴河田园综合体项目</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集散广场、观光区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结牧温泉度假酒店</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酒店建设完成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仲莎村氆氇文化园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加工工坊、商业街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结地岗村高效农业园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温室大棚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宾格村绿色工业旅游综合体</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观光区、体验区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拉如寺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寺庙修缮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同果寺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寺庙修缮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古觉拉康</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寺庙修缮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米拉山口</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观景台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仲村民俗文化体验区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村貌整治、文化展览区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restart"/>
            <w:noWrap w:val="0"/>
            <w:vAlign w:val="top"/>
          </w:tcPr>
          <w:p>
            <w:pPr>
              <w:pStyle w:val="29"/>
              <w:keepNext w:val="0"/>
              <w:keepLines w:val="0"/>
              <w:suppressLineNumbers w:val="0"/>
              <w:spacing w:before="0" w:beforeAutospacing="0" w:after="0" w:afterAutospacing="0"/>
              <w:ind w:left="0" w:right="0"/>
              <w:rPr>
                <w:rFonts w:hint="eastAsia"/>
              </w:rPr>
            </w:pPr>
            <w:r>
              <w:rPr>
                <w:rFonts w:hint="eastAsia"/>
              </w:rPr>
              <w:t>米林县</w:t>
            </w: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default"/>
              </w:rPr>
              <w:t>雅鲁藏布大峡谷景区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游客接待中心、南迦巴瓦观景台、景区文化休闲中心、江边酒店、派镇码头、停车场、大渡卡观景台、大桑树观景、直白村观景台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default"/>
              </w:rPr>
              <w:t>南伊沟景区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游客接待中心、停车场、观景平台、生态厕所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default"/>
              </w:rPr>
              <w:t>南伊藏医药文化康养中心</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藏医药文化馆、藏医药康养基地、灵芝文化产业园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default"/>
              </w:rPr>
              <w:t>彩门景区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景区大门、售票厅、停车场、彩门村民宿、特色主题餐饮等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default"/>
              </w:rPr>
              <w:t>丹娘佛掌沙丘文化创意景区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服务站、休闲区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default"/>
              </w:rPr>
              <w:t>才召民俗文化体验中心</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珞巴工坊、珞巴文化展厅、特色民俗演艺厅、珞巴美食体验坊、工布文化展示馆、庄园式主题民宿、乡村精品民宿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default"/>
              </w:rPr>
              <w:t>扎贡沟生态植物园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植物博览园、亲子科普营地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default"/>
              </w:rPr>
              <w:t>旅游商品展销中心（米林镇）</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旅游商品购物点、商品展览区、垃圾收集箱、公厕、停车场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雪卡沟边境生态峡谷景区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游客中心、游览设施、交通服务站、旅游厕所、停车场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萨玉自驾车营地</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自家营地、帐篷、餐饮区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红太阳科技示范农场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建设完成观光、休闲、购买、体验、科普一体化的特色家庭农场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比定林升生态园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建设完成观光、休闲、购买、体验、科普一体化的特色家庭农场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朗多森林人家</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民宿客栈集群、夜间休闲娱乐业态（歌舞晚会、休闲酒吧、夜市）、大学生实习创业基地、银丰农牧生态园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羌纳田园综合体</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对东嘎农家乐进行了提升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鲁霞汽车营地</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汽车营地、休憩站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卧龙奇石</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建设了步道，观景台，旅游厕所，规范管理售卖点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桑培沙漠桃花林</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观景台、旅游厕所、游步道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公尊德姆农庄</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民俗体验、餐饮娱乐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吞白农家乐</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农家乐、餐饮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厅古如日追</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观景台、游步道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default"/>
              </w:rPr>
              <w:t>南峰画屏景观点</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观景台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restart"/>
            <w:noWrap w:val="0"/>
            <w:vAlign w:val="top"/>
          </w:tcPr>
          <w:p>
            <w:pPr>
              <w:pStyle w:val="29"/>
              <w:keepNext w:val="0"/>
              <w:keepLines w:val="0"/>
              <w:suppressLineNumbers w:val="0"/>
              <w:spacing w:before="0" w:beforeAutospacing="0" w:after="0" w:afterAutospacing="0"/>
              <w:ind w:left="0" w:right="0"/>
              <w:rPr>
                <w:rFonts w:hint="eastAsia"/>
              </w:rPr>
            </w:pPr>
            <w:r>
              <w:rPr>
                <w:rFonts w:hint="eastAsia"/>
              </w:rPr>
              <w:t>察隅县</w:t>
            </w: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eastAsia"/>
              </w:rPr>
              <w:t>游客接待中心</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游客集散中心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eastAsia"/>
              </w:rPr>
              <w:t>英雄坡纪念园景区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景区大门、售票厅、公厕、停车场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eastAsia"/>
              </w:rPr>
              <w:t>水磨岩景区</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自驾营地、观景台、停车场、玻璃桥、栈道、标识牌、公厕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eastAsia"/>
              </w:rPr>
              <w:t>休闲公园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公园建设完成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eastAsia"/>
              </w:rPr>
              <w:t>林卡</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待开发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eastAsia"/>
              </w:rPr>
              <w:t>物资仓储基地</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default"/>
              </w:rPr>
            </w:pPr>
            <w:r>
              <w:rPr>
                <w:rFonts w:hint="eastAsia"/>
              </w:rPr>
              <w:t>猕猴桃现代种植基地</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种植基地、休闲采摘区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田园风光</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梯田景观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将军楼</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对将军楼进行修复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林下资源采集基地</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木耳、蘑菇采摘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特色水果采摘园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水果种植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珍稀植物保护点</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建设了植物保护点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古拉石榴种植园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石榴种植、加工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察瓦龙精品自驾特色小集镇</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综合集散、城镇休闲、自驾车营地、多民族餐饮美食、救援中心、风情商业街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阿丙旅游示范村</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梅里雪山徒步、民宿、乡村休闲、、果树采摘、察隅木碗加工、展销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松塔精品民宿村</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旅游集散、民宿体验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目若旅游示范村</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民宿体验、雪山观光台、紧急救援服务点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嘎达旅游示范村</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民宿体验、停车场、公厕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空挡特色采摘园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采摘园建设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学尼特色采摘园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采摘园建设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noWrap w:val="0"/>
            <w:vAlign w:val="top"/>
          </w:tcPr>
          <w:p>
            <w:pPr>
              <w:pStyle w:val="29"/>
              <w:keepNext w:val="0"/>
              <w:keepLines w:val="0"/>
              <w:suppressLineNumbers w:val="0"/>
              <w:spacing w:before="0" w:beforeAutospacing="0" w:after="0" w:afterAutospacing="0"/>
              <w:ind w:left="0" w:right="0"/>
              <w:rPr>
                <w:rFonts w:hint="eastAsia"/>
              </w:rPr>
            </w:pPr>
          </w:p>
        </w:tc>
        <w:tc>
          <w:tcPr>
            <w:tcW w:w="1234" w:type="pct"/>
            <w:noWrap w:val="0"/>
            <w:vAlign w:val="bottom"/>
          </w:tcPr>
          <w:p>
            <w:pPr>
              <w:pStyle w:val="29"/>
              <w:keepNext w:val="0"/>
              <w:keepLines w:val="0"/>
              <w:suppressLineNumbers w:val="0"/>
              <w:spacing w:before="0" w:beforeAutospacing="0" w:after="0" w:afterAutospacing="0"/>
              <w:ind w:left="0" w:right="0"/>
              <w:rPr>
                <w:rFonts w:hint="eastAsia"/>
              </w:rPr>
            </w:pPr>
            <w:r>
              <w:rPr>
                <w:rFonts w:hint="eastAsia"/>
              </w:rPr>
              <w:t>扎拉特色采摘园</w:t>
            </w:r>
          </w:p>
        </w:tc>
        <w:tc>
          <w:tcPr>
            <w:tcW w:w="3362" w:type="pc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采摘园建设</w:t>
            </w:r>
          </w:p>
        </w:tc>
      </w:tr>
    </w:tbl>
    <w:p>
      <w:pPr>
        <w:pStyle w:val="6"/>
        <w:ind w:firstLine="482"/>
        <w:rPr>
          <w:b/>
          <w:bCs/>
        </w:rPr>
        <w:sectPr>
          <w:pgSz w:w="16838" w:h="11906" w:orient="landscape"/>
          <w:pgMar w:top="1800" w:right="1440" w:bottom="1800" w:left="1440" w:header="851" w:footer="992" w:gutter="0"/>
          <w:pgNumType w:fmt="decimal"/>
          <w:cols w:space="720" w:num="1"/>
          <w:docGrid w:type="lines" w:linePitch="312" w:charSpace="0"/>
        </w:sectPr>
      </w:pPr>
    </w:p>
    <w:p>
      <w:pPr>
        <w:pStyle w:val="6"/>
        <w:ind w:left="480" w:leftChars="200" w:firstLine="0" w:firstLineChars="0"/>
      </w:pPr>
      <w:r>
        <w:rPr>
          <w:rFonts w:hint="eastAsia"/>
          <w:b/>
          <w:bCs/>
        </w:rPr>
        <w:t>3、重点景区开发情况</w:t>
      </w:r>
    </w:p>
    <w:p>
      <w:pPr>
        <w:pStyle w:val="6"/>
        <w:ind w:firstLine="482"/>
        <w:rPr>
          <w:b/>
          <w:bCs/>
        </w:rPr>
      </w:pPr>
      <w:r>
        <w:rPr>
          <w:rFonts w:hint="eastAsia"/>
          <w:b/>
          <w:bCs/>
        </w:rPr>
        <w:t>（1）</w:t>
      </w:r>
      <w:r>
        <w:rPr>
          <w:b/>
          <w:bCs/>
        </w:rPr>
        <w:t>雅鲁藏布大峡谷旅游区</w:t>
      </w:r>
    </w:p>
    <w:p>
      <w:pPr>
        <w:pStyle w:val="6"/>
        <w:ind w:firstLine="480"/>
      </w:pPr>
      <w:r>
        <w:t xml:space="preserve">雅鲁藏布大峡谷旅游区范围以雅尼湿地—雅鲁藏布江大峡谷至墨脱县雅江区段为生态轴线，以岗派公路、多雄拉骡马驿道、扎墨公路、排龙—金珠曲通村公路为交通轴线，主要为墨脱县全域范围，并包括米林县派镇、丹娘乡、羌纳乡东部。位于国家自然保护区内。保护区内形成了从热带雨林到高寒灌丛草甸的完整植物垂直分布，保存了许多古老的生物物种和丰富的动植物资源，有“植被类型天然博物馆”和“生物基因宝库”的美誉。同时，保护区是印度板块向亚欧板块俯冲的“吃力点”，多种多样的地质现象又使它享有“地质博物馆”的美名。由于地理位置偏僻，交通不便，长期处于封闭状态，生活于该地的门巴和珞巴族同胞形成了基于自然崇拜的原始而独特的珞隅文化。 </w:t>
      </w:r>
    </w:p>
    <w:p>
      <w:pPr>
        <w:pStyle w:val="6"/>
        <w:ind w:firstLine="480"/>
      </w:pPr>
      <w:r>
        <w:t xml:space="preserve">米林县在派镇大峡谷入口处开辟为景区，目前为国家4A级景区，建有游客中心、游客餐厅、停车场、旅游厕所、农副产品直销点、民俗购物街等服务设施；有佛掌沙丘、丹娘石碑、大渡卡遗址、大桑树/情比石坚等景点；可通过观景台远眺南迦巴瓦峰、加拉白垒峰、直白大拐弯和当地的田园风光；雅鲁藏布江两岸的江南、江北公路将这些景点串联起来；景区还开辟了从巴宜区米瑞乡至米林县派镇的水上游线，游览尼洋河风光；景区还有羌纳寺、贡母寺、德木寺等寺院，直白村、鲁夏村、东巴村等民族村落，其中直白村建有购物街。 </w:t>
      </w:r>
    </w:p>
    <w:p>
      <w:pPr>
        <w:pStyle w:val="6"/>
        <w:ind w:firstLine="482"/>
        <w:rPr>
          <w:rFonts w:hint="eastAsia"/>
          <w:b/>
          <w:bCs/>
        </w:rPr>
      </w:pPr>
      <w:r>
        <w:rPr>
          <w:rFonts w:hint="eastAsia"/>
          <w:b/>
          <w:bCs/>
        </w:rPr>
        <w:t>（2）南伊沟旅游区</w:t>
      </w:r>
    </w:p>
    <w:p>
      <w:pPr>
        <w:pStyle w:val="6"/>
        <w:ind w:firstLine="480"/>
        <w:rPr>
          <w:rFonts w:hint="eastAsia"/>
        </w:rPr>
      </w:pPr>
      <w:r>
        <w:rPr>
          <w:rFonts w:hint="eastAsia"/>
        </w:rPr>
        <w:t>南伊沟旅游区于2009年开业，现为国家4A级景区，有扎贡沟、沙棘岛、董龙吊桥、南伊沟小拐弯、天边牧场等景点。景区面积占8.2平方公里，通过50辆电瓶车运送游客。扎贡沟位于南伊沟景区入口左边，为一片原始森林，沟内有丰富的动植物资源，还是藏医药的发源地，有大量的藏药材，除非游客主动提出要求，导游一般不带游客前往，但每年的黄牡丹节在此举办。景区主打珞巴民族风情，琼林村的村民在景区内生活，部分从事旅游相关工作。</w:t>
      </w:r>
    </w:p>
    <w:p>
      <w:pPr>
        <w:pStyle w:val="6"/>
        <w:ind w:firstLine="482"/>
        <w:rPr>
          <w:rFonts w:hint="eastAsia"/>
          <w:b/>
          <w:bCs/>
        </w:rPr>
      </w:pPr>
      <w:r>
        <w:rPr>
          <w:rFonts w:hint="eastAsia"/>
          <w:b/>
          <w:bCs/>
        </w:rPr>
        <w:t>（3）太昭古城旅游区</w:t>
      </w:r>
    </w:p>
    <w:p>
      <w:pPr>
        <w:pStyle w:val="6"/>
        <w:ind w:firstLine="480"/>
        <w:rPr>
          <w:rFonts w:hint="eastAsia"/>
        </w:rPr>
      </w:pPr>
      <w:r>
        <w:rPr>
          <w:rFonts w:hint="eastAsia"/>
        </w:rPr>
        <w:t>太昭古城有唐蕃古道、清军墓、中流砥柱、万善同归碑等景点。经过几年的建设，管理用房、博物馆、办公楼、停车场、售票站等基础设施已全部建成，并且恢复了太昭宗政府、太昭古驿站隘口等古建筑，基本形成了集“吃、住、游、购、娱”等旅游要素和民俗风情、历史文化为一体的综合性景区，但仍以团队游客观光游为主。</w:t>
      </w:r>
    </w:p>
    <w:p>
      <w:pPr>
        <w:pStyle w:val="6"/>
        <w:ind w:firstLine="482"/>
        <w:rPr>
          <w:rFonts w:hint="eastAsia"/>
          <w:b/>
          <w:bCs/>
        </w:rPr>
      </w:pPr>
      <w:r>
        <w:rPr>
          <w:rFonts w:hint="eastAsia"/>
          <w:b/>
          <w:bCs/>
        </w:rPr>
        <w:t>（4）巴松措旅游区</w:t>
      </w:r>
    </w:p>
    <w:p>
      <w:pPr>
        <w:pStyle w:val="6"/>
        <w:ind w:firstLine="480"/>
        <w:rPr>
          <w:rFonts w:hint="eastAsia"/>
        </w:rPr>
      </w:pPr>
      <w:r>
        <w:rPr>
          <w:rFonts w:hAnsi="宋体"/>
        </w:rPr>
        <w:t>巴松措国家森林公园</w:t>
      </w:r>
      <w:r>
        <w:rPr>
          <w:rFonts w:hint="eastAsia" w:hAnsi="宋体"/>
        </w:rPr>
        <w:t>位于工布江达县东北部、念青唐古拉山脉南麓、错高湖境内的高山峡谷之间</w:t>
      </w:r>
      <w:r>
        <w:rPr>
          <w:rFonts w:hAnsi="宋体"/>
        </w:rPr>
        <w:t>。</w:t>
      </w:r>
      <w:r>
        <w:rPr>
          <w:rFonts w:hint="eastAsia" w:hAnsi="宋体"/>
        </w:rPr>
        <w:t>2017年，巴松措景区历经3年的创建提升成功创建国家5A级景区。</w:t>
      </w:r>
      <w:r>
        <w:rPr>
          <w:rFonts w:hint="eastAsia"/>
        </w:rPr>
        <w:t>巴松措现有旅游设施主要集中在木巴村、湖心岛和结巴村。木巴村建有游客中心、停车场、酒店、商店等旅游设施；湖心岛有码头、木栈道；结巴村有藏家乐、帐篷营位、木屋营房、观景台等服务设施。</w:t>
      </w:r>
    </w:p>
    <w:p>
      <w:pPr>
        <w:pStyle w:val="6"/>
        <w:ind w:firstLine="482"/>
        <w:rPr>
          <w:rFonts w:hint="eastAsia"/>
          <w:b/>
          <w:bCs/>
        </w:rPr>
      </w:pPr>
      <w:r>
        <w:rPr>
          <w:rFonts w:hint="eastAsia"/>
          <w:b/>
          <w:bCs/>
        </w:rPr>
        <w:t>（5）鲁朗国际旅游小镇</w:t>
      </w:r>
    </w:p>
    <w:p>
      <w:pPr>
        <w:pStyle w:val="6"/>
        <w:ind w:firstLine="480"/>
        <w:rPr>
          <w:rFonts w:hint="eastAsia"/>
        </w:rPr>
      </w:pPr>
      <w:r>
        <w:rPr>
          <w:rFonts w:hint="eastAsia"/>
        </w:rPr>
        <w:t>鲁朗国际旅游小镇位于西藏林芝八一镇以东80公里左右的G318国道线上，主要以冰川、高山、峡谷、森林、草甸、湿地、河流、湖泊和丰富的动植物资源景观为主。旅游小镇目配套设施完善，包括市政项目、公建项目、水利、景观项目、五星级酒店群和商业开发项目，景区景点有林海、花海牧场、田园风光、雅屹湖湿地公园等。</w:t>
      </w:r>
    </w:p>
    <w:p>
      <w:pPr>
        <w:pStyle w:val="6"/>
        <w:ind w:firstLine="482"/>
        <w:rPr>
          <w:b/>
          <w:bCs/>
        </w:rPr>
      </w:pPr>
      <w:r>
        <w:rPr>
          <w:rFonts w:hint="eastAsia"/>
          <w:b/>
          <w:bCs/>
        </w:rPr>
        <w:t>6、米堆冰川旅游区</w:t>
      </w:r>
    </w:p>
    <w:p>
      <w:pPr>
        <w:pStyle w:val="6"/>
        <w:ind w:firstLine="480"/>
      </w:pPr>
      <w:r>
        <w:rPr>
          <w:rFonts w:hint="eastAsia"/>
        </w:rPr>
        <w:t>米堆冰川位于波密县玉普乡境内，是国家AAAA级旅游景区，距离波密县城扎木镇90余公里，为中国三大海洋性冰川之一。冰川主峰顶部海拔6385米，雪线海拔4850米，末端只有2450米，主冰川由东西二条冰川汇合而成，形成了高达700米的壮观冰瀑布。米堆冰川常年雪光闪耀，日照金山景色常现于此。米堆冰川作为海洋性现代冰川，境内冰川特征典型，类型齐全，以发育美丽的拱弧构造而闻名于世，是罕见的自然奇景，冰川、湖泊、农田、村庄、森林等共融于此，景色绝美，曾于2005年被《中国国家地理》评为中国最美六大冰川之一。2019年全年接待游客55468人，其中8月是旅游高峰期。</w:t>
      </w:r>
    </w:p>
    <w:p>
      <w:pPr>
        <w:pStyle w:val="6"/>
        <w:ind w:firstLine="482"/>
        <w:rPr>
          <w:rFonts w:hint="eastAsia"/>
          <w:b/>
          <w:bCs/>
        </w:rPr>
      </w:pPr>
      <w:r>
        <w:rPr>
          <w:rFonts w:hint="eastAsia"/>
          <w:b/>
          <w:bCs/>
        </w:rPr>
        <w:t>（7）岗云杉林旅游区</w:t>
      </w:r>
    </w:p>
    <w:p>
      <w:pPr>
        <w:pStyle w:val="6"/>
        <w:ind w:firstLine="480"/>
        <w:rPr>
          <w:rFonts w:hint="eastAsia"/>
        </w:rPr>
      </w:pPr>
      <w:r>
        <w:rPr>
          <w:rFonts w:hint="eastAsia"/>
        </w:rPr>
        <w:t>岗云杉林旅游区位于波密县城以西22公里处，是迄今所知世界上生产力最高的暗针叶林。这里森林垂直带的变化也非常明显，随着海拔的升高，依次有针阔叶混交林带、山地针叶林带、暗针叶林带，主要分布着高山松、漆树、槭树、沙棘、云杉、冷杉等高产林和经济植物。保护区还蕴藏着极丰富的动物资源，如羚牛、豹、盘羊、黑熊、猕猴、雪鸡、麝、鹦鹉、费氏黄麂等。2005年入选《中国国家地理》中国十大最美森林。旅游区内乡村旅游发展势头良好，农牧民参与旅游接待服务热情较高。</w:t>
      </w:r>
    </w:p>
    <w:p>
      <w:pPr>
        <w:pStyle w:val="6"/>
        <w:ind w:left="480" w:leftChars="200" w:firstLine="0" w:firstLineChars="0"/>
        <w:rPr>
          <w:b/>
          <w:bCs/>
        </w:rPr>
      </w:pPr>
      <w:r>
        <w:rPr>
          <w:rFonts w:hint="eastAsia"/>
          <w:b/>
          <w:bCs/>
        </w:rPr>
        <w:t>（8）嘎朗国家湿地公园</w:t>
      </w:r>
    </w:p>
    <w:p>
      <w:pPr>
        <w:pStyle w:val="6"/>
        <w:ind w:firstLine="480"/>
        <w:rPr>
          <w:rFonts w:hint="eastAsia"/>
        </w:rPr>
      </w:pPr>
      <w:r>
        <w:rPr>
          <w:rFonts w:hint="eastAsia"/>
        </w:rPr>
        <w:t>嘎朗国家湿地公园位于波密县古乡境内，距离波密县城18公里，湖区面积2平方公里，是全国首批62家国家级试点湿地公园之一。嘎朗国家湿地公园是集生态、休闲、观光于一体的生态旅游度假场所，园内青山环绕、古树参天，嘎朗湖碧水如镜，湖中游鱼成群，湖面野禽繁闹，有黄鸭、野鸭、黑颈鹤等水鸟，2018年加入长江湿地保护网络。</w:t>
      </w:r>
    </w:p>
    <w:p>
      <w:pPr>
        <w:pStyle w:val="6"/>
        <w:ind w:firstLine="482"/>
        <w:rPr>
          <w:b/>
          <w:bCs/>
        </w:rPr>
      </w:pPr>
      <w:r>
        <w:rPr>
          <w:rFonts w:hint="eastAsia"/>
          <w:b/>
          <w:bCs/>
        </w:rPr>
        <w:t>（9）易贡国家地质公园</w:t>
      </w:r>
    </w:p>
    <w:p>
      <w:pPr>
        <w:pStyle w:val="6"/>
        <w:ind w:firstLine="480"/>
        <w:rPr>
          <w:rFonts w:hint="eastAsia"/>
        </w:rPr>
      </w:pPr>
      <w:r>
        <w:rPr>
          <w:rFonts w:hint="eastAsia"/>
        </w:rPr>
        <w:t>于2001年12月由国家国土资源部批准建立为国家级地质公园，位于波密县与巴宜区交界处，主体属波密县管辖，面积2160.8平方公里，属特大型自然公园。公园以世界罕见的为主体，并集峡谷、瀑布、湖泊、温泉等旅游资源于一体。公园内有易贡茶园、将军楼、驼峰航线飞机失事遗迹、桑林寺、许木寺等景点，目前仅建有停车场、游步道和观景台等少量旅游基础设施。</w:t>
      </w:r>
    </w:p>
    <w:p>
      <w:pPr>
        <w:pStyle w:val="6"/>
        <w:ind w:firstLine="482"/>
        <w:rPr>
          <w:b/>
          <w:bCs/>
        </w:rPr>
      </w:pPr>
      <w:r>
        <w:rPr>
          <w:rFonts w:hint="eastAsia"/>
          <w:b/>
          <w:bCs/>
        </w:rPr>
        <w:t>（10）冲康庄园旅游区</w:t>
      </w:r>
    </w:p>
    <w:p>
      <w:pPr>
        <w:pStyle w:val="6"/>
        <w:ind w:firstLine="480"/>
      </w:pPr>
      <w:r>
        <w:rPr>
          <w:rFonts w:hint="eastAsia"/>
        </w:rPr>
        <w:t>冲康庄园位于朗镇冲康村，国道219线旁，距离朗县县城23km，海拔3165米。庄园总体设计是按照当时贵族庄园的模式修建，总面积为7807平方米，其中建筑面积3310平方米，是十三世达赖喇嘛土登嘉措的出生地。庄园内保留下来有约25件文物，其中包含有十三世达赖时期的藏式家具。庄园旁的林卡保存完好，十三世达赖亲手栽种的各种果树仍然存活。庄园对面是千年核桃林，百年以上的核桃树共计385株，其中有56株核桃树生长了上千年，年龄最大的核桃树已有2600年的历史，需要12人伸臂才能合抱一周。目前是朗县重要景区，旅游接待量占全县游客接待量的20%以上。</w:t>
      </w:r>
    </w:p>
    <w:p>
      <w:pPr>
        <w:pStyle w:val="6"/>
        <w:ind w:left="480" w:leftChars="200" w:firstLine="0" w:firstLineChars="0"/>
        <w:rPr>
          <w:b/>
          <w:bCs/>
        </w:rPr>
      </w:pPr>
      <w:r>
        <w:rPr>
          <w:rFonts w:hint="eastAsia"/>
          <w:b/>
          <w:bCs/>
        </w:rPr>
        <w:t>（11）措木及日湖旅游区</w:t>
      </w:r>
    </w:p>
    <w:p>
      <w:pPr>
        <w:pStyle w:val="6"/>
        <w:ind w:firstLine="480"/>
      </w:pPr>
      <w:r>
        <w:rPr>
          <w:rFonts w:hint="eastAsia"/>
        </w:rPr>
        <w:t>位于林芝市八一镇东北，2010年被国家水利部授予水利风景区称号，2011年林芝市比日神山获批成立国家级森林公园，措木及日景区为公园的核心区。措木及日景区以近年西藏旅游业的蓬勃发展为契机，2019年共接待游客10多万人次。同时，也带动了当地村民共同致富。</w:t>
      </w:r>
    </w:p>
    <w:p>
      <w:pPr>
        <w:pStyle w:val="6"/>
        <w:ind w:firstLine="482"/>
        <w:rPr>
          <w:b/>
          <w:bCs/>
        </w:rPr>
      </w:pPr>
      <w:r>
        <w:rPr>
          <w:rFonts w:hint="eastAsia"/>
          <w:b/>
          <w:bCs/>
        </w:rPr>
        <w:t>（12）列山考古遗址公园</w:t>
      </w:r>
    </w:p>
    <w:p>
      <w:pPr>
        <w:pStyle w:val="6"/>
        <w:ind w:firstLine="480"/>
      </w:pPr>
      <w:r>
        <w:rPr>
          <w:rFonts w:hint="eastAsia"/>
        </w:rPr>
        <w:t>列山古墓群景区位于西藏林芝市朗县金东乡列村，距金东乡政府所在地东北约2公里，距县城48公里。是西藏古代赫赫有名钦氏族的墓葬，现遗有223座墓葬，分布面积81.5万多平方米。列山墓地对于研究古西藏建筑具有重要的意义，于2001年被国务院列为国家级重点保护单位。</w:t>
      </w:r>
    </w:p>
    <w:p>
      <w:pPr>
        <w:pStyle w:val="6"/>
        <w:ind w:firstLine="482"/>
        <w:rPr>
          <w:b/>
          <w:bCs/>
        </w:rPr>
      </w:pPr>
      <w:r>
        <w:rPr>
          <w:rFonts w:hint="eastAsia"/>
          <w:b/>
          <w:bCs/>
        </w:rPr>
        <w:t>（13）嘎瓦龙旅游区</w:t>
      </w:r>
    </w:p>
    <w:p>
      <w:pPr>
        <w:pStyle w:val="6"/>
        <w:ind w:firstLine="480"/>
      </w:pPr>
      <w:r>
        <w:rPr>
          <w:rFonts w:hint="eastAsia"/>
        </w:rPr>
        <w:t>位于帕隆藏布江南岸的多热拉的北坡，距波密县城所在地扎木镇30公里，旅游区内资源丰富，组合好。森林、雪山、冰川、瀑布、寺庙构成独特的自然风光；嘎瓦龙天池、嘎瓦龙寺、冰川和墨脱县标识牌都是重要的旅游景点。本沟谷也是进墨脱的路线之一。站在嘎瓦龙天池，可以遥望墨脱县，是进入墨脱的前站和衔接处。</w:t>
      </w:r>
    </w:p>
    <w:p>
      <w:pPr>
        <w:pStyle w:val="6"/>
        <w:ind w:firstLine="482"/>
        <w:rPr>
          <w:b/>
          <w:bCs/>
        </w:rPr>
      </w:pPr>
      <w:r>
        <w:rPr>
          <w:rFonts w:hint="eastAsia"/>
          <w:b/>
          <w:bCs/>
        </w:rPr>
        <w:t>（14）慈巴沟旅游区</w:t>
      </w:r>
    </w:p>
    <w:p>
      <w:pPr>
        <w:pStyle w:val="6"/>
        <w:ind w:firstLine="480"/>
        <w:rPr>
          <w:rFonts w:hint="eastAsia"/>
        </w:rPr>
      </w:pPr>
      <w:r>
        <w:rPr>
          <w:rFonts w:hint="eastAsia"/>
        </w:rPr>
        <w:t>察隅慈巴沟国家级自然保护区位于察隅县中部，成立于1985年，2002年晋升为国家级自然保护区，实验区面积为250.5平方公里，慈巴沟旅游区内所有的旅游活动只能在实验区内开展，适宜进行大规模开发。以乡村田园风光为生态基底，以僜人部落和义都珞巴族部落文化为旅游核心吸引物，依托G219串联沿线景点资源，打造下察隅特色小集镇，建设提升沙琼僜人文化村、夏尼江南风情村、西巴珞巴民族村。</w:t>
      </w:r>
    </w:p>
    <w:p>
      <w:pPr>
        <w:pStyle w:val="5"/>
        <w:rPr>
          <w:rFonts w:hint="eastAsia"/>
        </w:rPr>
      </w:pPr>
      <w:bookmarkStart w:id="112" w:name="_Toc11331"/>
      <w:bookmarkStart w:id="113" w:name="_Toc2794"/>
      <w:r>
        <w:rPr>
          <w:rFonts w:hint="eastAsia"/>
        </w:rPr>
        <w:t>3.5.2环境基础设施现状</w:t>
      </w:r>
      <w:bookmarkEnd w:id="112"/>
      <w:bookmarkEnd w:id="113"/>
    </w:p>
    <w:p>
      <w:pPr>
        <w:pStyle w:val="6"/>
        <w:ind w:firstLine="482"/>
        <w:rPr>
          <w:rFonts w:hint="eastAsia"/>
          <w:b/>
          <w:bCs/>
        </w:rPr>
      </w:pPr>
      <w:r>
        <w:rPr>
          <w:rFonts w:hint="eastAsia"/>
          <w:b/>
          <w:bCs/>
        </w:rPr>
        <w:t xml:space="preserve">1、林芝市县市级生活污水处理厂 </w:t>
      </w:r>
    </w:p>
    <w:p>
      <w:pPr>
        <w:pStyle w:val="6"/>
        <w:ind w:firstLine="480"/>
      </w:pPr>
      <w:r>
        <w:rPr>
          <w:rFonts w:hint="eastAsia"/>
        </w:rPr>
        <w:t>林芝市县市级生活污水处理厂建设情况见表3.5-4。</w:t>
      </w:r>
    </w:p>
    <w:p>
      <w:pPr>
        <w:spacing w:line="360" w:lineRule="auto"/>
        <w:ind w:firstLine="560" w:firstLineChars="200"/>
        <w:rPr>
          <w:color w:val="FF0000"/>
          <w:sz w:val="28"/>
          <w:szCs w:val="28"/>
        </w:rPr>
      </w:pPr>
    </w:p>
    <w:p>
      <w:pPr>
        <w:spacing w:line="360" w:lineRule="auto"/>
        <w:ind w:firstLine="560" w:firstLineChars="200"/>
        <w:rPr>
          <w:color w:val="FF0000"/>
          <w:sz w:val="28"/>
          <w:szCs w:val="28"/>
        </w:rPr>
        <w:sectPr>
          <w:pgSz w:w="11906" w:h="16838"/>
          <w:pgMar w:top="1440" w:right="1797" w:bottom="1440" w:left="1797" w:header="851" w:footer="992" w:gutter="0"/>
          <w:pgNumType w:fmt="decimal"/>
          <w:cols w:space="720" w:num="1"/>
          <w:docGrid w:linePitch="312" w:charSpace="0"/>
        </w:sectPr>
      </w:pPr>
    </w:p>
    <w:p>
      <w:pPr>
        <w:pStyle w:val="27"/>
      </w:pPr>
      <w:r>
        <w:t>表</w:t>
      </w:r>
      <w:r>
        <w:rPr>
          <w:rFonts w:hint="eastAsia"/>
        </w:rPr>
        <w:t>3.5-4  林芝市县市级污水处理厂及管网配套运营管理情况</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2617"/>
        <w:gridCol w:w="2115"/>
        <w:gridCol w:w="1333"/>
        <w:gridCol w:w="1905"/>
        <w:gridCol w:w="1477"/>
        <w:gridCol w:w="1398"/>
        <w:gridCol w:w="2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293" w:type="pct"/>
            <w:noWrap w:val="0"/>
            <w:vAlign w:val="center"/>
          </w:tcPr>
          <w:p>
            <w:pPr>
              <w:pStyle w:val="28"/>
              <w:keepNext w:val="0"/>
              <w:keepLines w:val="0"/>
              <w:suppressLineNumbers w:val="0"/>
              <w:spacing w:beforeAutospacing="0" w:afterAutospacing="0"/>
              <w:ind w:left="0" w:right="0"/>
              <w:rPr>
                <w:rFonts w:hint="default"/>
              </w:rPr>
            </w:pPr>
            <w:r>
              <w:rPr>
                <w:rFonts w:hint="eastAsia"/>
              </w:rPr>
              <w:t>序号</w:t>
            </w:r>
          </w:p>
        </w:tc>
        <w:tc>
          <w:tcPr>
            <w:tcW w:w="923" w:type="pct"/>
            <w:noWrap w:val="0"/>
            <w:vAlign w:val="center"/>
          </w:tcPr>
          <w:p>
            <w:pPr>
              <w:pStyle w:val="28"/>
              <w:keepNext w:val="0"/>
              <w:keepLines w:val="0"/>
              <w:suppressLineNumbers w:val="0"/>
              <w:spacing w:beforeAutospacing="0" w:afterAutospacing="0"/>
              <w:ind w:left="0" w:right="0"/>
              <w:rPr>
                <w:rFonts w:hint="default"/>
              </w:rPr>
            </w:pPr>
            <w:r>
              <w:rPr>
                <w:rFonts w:hint="eastAsia"/>
              </w:rPr>
              <w:t>名称</w:t>
            </w:r>
          </w:p>
        </w:tc>
        <w:tc>
          <w:tcPr>
            <w:tcW w:w="746" w:type="pct"/>
            <w:noWrap w:val="0"/>
            <w:vAlign w:val="center"/>
          </w:tcPr>
          <w:p>
            <w:pPr>
              <w:pStyle w:val="28"/>
              <w:keepNext w:val="0"/>
              <w:keepLines w:val="0"/>
              <w:suppressLineNumbers w:val="0"/>
              <w:spacing w:beforeAutospacing="0" w:afterAutospacing="0"/>
              <w:ind w:left="0" w:right="0"/>
              <w:rPr>
                <w:rFonts w:hint="default"/>
              </w:rPr>
            </w:pPr>
            <w:r>
              <w:rPr>
                <w:rFonts w:hint="eastAsia"/>
              </w:rPr>
              <w:t>地点</w:t>
            </w:r>
          </w:p>
        </w:tc>
        <w:tc>
          <w:tcPr>
            <w:tcW w:w="470" w:type="pct"/>
            <w:noWrap w:val="0"/>
            <w:vAlign w:val="center"/>
          </w:tcPr>
          <w:p>
            <w:pPr>
              <w:pStyle w:val="28"/>
              <w:keepNext w:val="0"/>
              <w:keepLines w:val="0"/>
              <w:suppressLineNumbers w:val="0"/>
              <w:spacing w:beforeAutospacing="0" w:afterAutospacing="0"/>
              <w:ind w:left="0" w:right="0"/>
              <w:rPr>
                <w:rFonts w:hint="default"/>
              </w:rPr>
            </w:pPr>
            <w:r>
              <w:rPr>
                <w:rFonts w:hint="eastAsia"/>
              </w:rPr>
              <w:t>排放标准</w:t>
            </w:r>
          </w:p>
        </w:tc>
        <w:tc>
          <w:tcPr>
            <w:tcW w:w="672" w:type="pct"/>
            <w:noWrap w:val="0"/>
            <w:vAlign w:val="center"/>
          </w:tcPr>
          <w:p>
            <w:pPr>
              <w:pStyle w:val="28"/>
              <w:keepNext w:val="0"/>
              <w:keepLines w:val="0"/>
              <w:suppressLineNumbers w:val="0"/>
              <w:spacing w:beforeAutospacing="0" w:afterAutospacing="0"/>
              <w:ind w:left="0" w:right="0"/>
              <w:rPr>
                <w:rFonts w:hint="default"/>
              </w:rPr>
            </w:pPr>
            <w:r>
              <w:rPr>
                <w:rFonts w:hint="eastAsia"/>
              </w:rPr>
              <w:t>主体技术</w:t>
            </w:r>
          </w:p>
        </w:tc>
        <w:tc>
          <w:tcPr>
            <w:tcW w:w="521" w:type="pct"/>
            <w:noWrap w:val="0"/>
            <w:vAlign w:val="center"/>
          </w:tcPr>
          <w:p>
            <w:pPr>
              <w:pStyle w:val="28"/>
              <w:keepNext w:val="0"/>
              <w:keepLines w:val="0"/>
              <w:suppressLineNumbers w:val="0"/>
              <w:spacing w:beforeAutospacing="0" w:afterAutospacing="0"/>
              <w:ind w:left="0" w:right="0"/>
              <w:rPr>
                <w:rFonts w:hint="default"/>
              </w:rPr>
            </w:pPr>
            <w:r>
              <w:rPr>
                <w:rFonts w:hint="eastAsia"/>
              </w:rPr>
              <w:t>设计规模</w:t>
            </w:r>
          </w:p>
          <w:p>
            <w:pPr>
              <w:pStyle w:val="28"/>
              <w:keepNext w:val="0"/>
              <w:keepLines w:val="0"/>
              <w:suppressLineNumbers w:val="0"/>
              <w:spacing w:beforeAutospacing="0" w:afterAutospacing="0"/>
              <w:ind w:left="0" w:right="0"/>
              <w:rPr>
                <w:rFonts w:hint="default"/>
              </w:rPr>
            </w:pPr>
            <w:r>
              <w:rPr>
                <w:rFonts w:hint="eastAsia"/>
              </w:rPr>
              <w:t>（m</w:t>
            </w:r>
            <w:r>
              <w:rPr>
                <w:rFonts w:hint="eastAsia"/>
                <w:vertAlign w:val="superscript"/>
              </w:rPr>
              <w:t>3</w:t>
            </w:r>
            <w:r>
              <w:rPr>
                <w:rFonts w:hint="eastAsia"/>
              </w:rPr>
              <w:t>/d）</w:t>
            </w:r>
          </w:p>
        </w:tc>
        <w:tc>
          <w:tcPr>
            <w:tcW w:w="493" w:type="pct"/>
            <w:noWrap w:val="0"/>
            <w:vAlign w:val="center"/>
          </w:tcPr>
          <w:p>
            <w:pPr>
              <w:pStyle w:val="28"/>
              <w:keepNext w:val="0"/>
              <w:keepLines w:val="0"/>
              <w:suppressLineNumbers w:val="0"/>
              <w:spacing w:beforeAutospacing="0" w:afterAutospacing="0"/>
              <w:ind w:left="0" w:right="0"/>
              <w:rPr>
                <w:rFonts w:hint="default"/>
              </w:rPr>
            </w:pPr>
            <w:r>
              <w:rPr>
                <w:rFonts w:hint="default"/>
              </w:rPr>
              <w:t>排水去向</w:t>
            </w:r>
          </w:p>
        </w:tc>
        <w:tc>
          <w:tcPr>
            <w:tcW w:w="879" w:type="pct"/>
            <w:noWrap w:val="0"/>
            <w:vAlign w:val="center"/>
          </w:tcPr>
          <w:p>
            <w:pPr>
              <w:pStyle w:val="28"/>
              <w:keepNext w:val="0"/>
              <w:keepLines w:val="0"/>
              <w:suppressLineNumbers w:val="0"/>
              <w:spacing w:beforeAutospacing="0" w:afterAutospacing="0"/>
              <w:ind w:left="0" w:right="0"/>
              <w:rPr>
                <w:rFonts w:hint="default"/>
              </w:rPr>
            </w:pPr>
            <w:r>
              <w:rPr>
                <w:rFonts w:hint="eastAsia"/>
              </w:rPr>
              <w:t>运营单位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noWrap w:val="0"/>
            <w:vAlign w:val="center"/>
          </w:tcPr>
          <w:p>
            <w:pPr>
              <w:pStyle w:val="28"/>
              <w:keepNext w:val="0"/>
              <w:keepLines w:val="0"/>
              <w:suppressLineNumbers w:val="0"/>
              <w:spacing w:beforeAutospacing="0" w:afterAutospacing="0"/>
              <w:ind w:left="0" w:right="0"/>
              <w:rPr>
                <w:rFonts w:hint="eastAsia"/>
              </w:rPr>
            </w:pPr>
            <w:r>
              <w:rPr>
                <w:rFonts w:hint="eastAsia"/>
              </w:rPr>
              <w:t>1</w:t>
            </w:r>
          </w:p>
        </w:tc>
        <w:tc>
          <w:tcPr>
            <w:tcW w:w="923" w:type="pct"/>
            <w:noWrap w:val="0"/>
            <w:vAlign w:val="center"/>
          </w:tcPr>
          <w:p>
            <w:pPr>
              <w:pStyle w:val="28"/>
              <w:keepNext w:val="0"/>
              <w:keepLines w:val="0"/>
              <w:suppressLineNumbers w:val="0"/>
              <w:spacing w:beforeAutospacing="0" w:afterAutospacing="0"/>
              <w:ind w:left="0" w:right="0"/>
              <w:rPr>
                <w:rFonts w:hint="eastAsia"/>
              </w:rPr>
            </w:pPr>
            <w:r>
              <w:rPr>
                <w:rFonts w:hint="eastAsia"/>
              </w:rPr>
              <w:t>林芝市八一镇污水处理厂</w:t>
            </w:r>
          </w:p>
        </w:tc>
        <w:tc>
          <w:tcPr>
            <w:tcW w:w="746" w:type="pct"/>
            <w:noWrap w:val="0"/>
            <w:vAlign w:val="center"/>
          </w:tcPr>
          <w:p>
            <w:pPr>
              <w:pStyle w:val="28"/>
              <w:keepNext w:val="0"/>
              <w:keepLines w:val="0"/>
              <w:suppressLineNumbers w:val="0"/>
              <w:spacing w:beforeAutospacing="0" w:afterAutospacing="0"/>
              <w:ind w:left="0" w:right="0"/>
              <w:rPr>
                <w:rFonts w:hint="eastAsia"/>
              </w:rPr>
            </w:pPr>
            <w:r>
              <w:rPr>
                <w:rFonts w:hint="eastAsia"/>
              </w:rPr>
              <w:t>林芝市巴宜区八一镇巴吉村</w:t>
            </w:r>
          </w:p>
        </w:tc>
        <w:tc>
          <w:tcPr>
            <w:tcW w:w="470" w:type="pct"/>
            <w:noWrap w:val="0"/>
            <w:vAlign w:val="center"/>
          </w:tcPr>
          <w:p>
            <w:pPr>
              <w:pStyle w:val="28"/>
              <w:keepNext w:val="0"/>
              <w:keepLines w:val="0"/>
              <w:suppressLineNumbers w:val="0"/>
              <w:spacing w:beforeAutospacing="0" w:afterAutospacing="0"/>
              <w:ind w:left="0" w:right="0"/>
              <w:rPr>
                <w:rFonts w:hint="eastAsia"/>
              </w:rPr>
            </w:pPr>
            <w:r>
              <w:rPr>
                <w:rFonts w:hint="eastAsia"/>
              </w:rPr>
              <w:t>一级B标</w:t>
            </w:r>
          </w:p>
        </w:tc>
        <w:tc>
          <w:tcPr>
            <w:tcW w:w="672" w:type="pct"/>
            <w:noWrap w:val="0"/>
            <w:vAlign w:val="center"/>
          </w:tcPr>
          <w:p>
            <w:pPr>
              <w:pStyle w:val="28"/>
              <w:keepNext w:val="0"/>
              <w:keepLines w:val="0"/>
              <w:suppressLineNumbers w:val="0"/>
              <w:spacing w:beforeAutospacing="0" w:afterAutospacing="0"/>
              <w:ind w:left="0" w:right="0"/>
              <w:rPr>
                <w:rFonts w:hint="default"/>
              </w:rPr>
            </w:pPr>
            <w:r>
              <w:rPr>
                <w:rFonts w:hint="default"/>
              </w:rPr>
              <w:t>活性污泥法</w:t>
            </w:r>
          </w:p>
        </w:tc>
        <w:tc>
          <w:tcPr>
            <w:tcW w:w="521" w:type="pct"/>
            <w:noWrap w:val="0"/>
            <w:vAlign w:val="center"/>
          </w:tcPr>
          <w:p>
            <w:pPr>
              <w:pStyle w:val="28"/>
              <w:keepNext w:val="0"/>
              <w:keepLines w:val="0"/>
              <w:suppressLineNumbers w:val="0"/>
              <w:spacing w:beforeAutospacing="0" w:afterAutospacing="0"/>
              <w:ind w:left="0" w:right="0"/>
              <w:rPr>
                <w:rFonts w:hint="eastAsia"/>
              </w:rPr>
            </w:pPr>
            <w:r>
              <w:rPr>
                <w:rFonts w:hint="eastAsia"/>
              </w:rPr>
              <w:t>15000</w:t>
            </w:r>
          </w:p>
        </w:tc>
        <w:tc>
          <w:tcPr>
            <w:tcW w:w="493" w:type="pct"/>
            <w:noWrap w:val="0"/>
            <w:vAlign w:val="center"/>
          </w:tcPr>
          <w:p>
            <w:pPr>
              <w:pStyle w:val="28"/>
              <w:keepNext w:val="0"/>
              <w:keepLines w:val="0"/>
              <w:suppressLineNumbers w:val="0"/>
              <w:spacing w:beforeAutospacing="0" w:afterAutospacing="0"/>
              <w:ind w:left="0" w:right="0"/>
              <w:rPr>
                <w:rFonts w:hint="eastAsia"/>
              </w:rPr>
            </w:pPr>
            <w:r>
              <w:rPr>
                <w:rFonts w:hint="eastAsia"/>
              </w:rPr>
              <w:t>尼洋河</w:t>
            </w:r>
          </w:p>
        </w:tc>
        <w:tc>
          <w:tcPr>
            <w:tcW w:w="879" w:type="pct"/>
            <w:noWrap w:val="0"/>
            <w:vAlign w:val="center"/>
          </w:tcPr>
          <w:p>
            <w:pPr>
              <w:pStyle w:val="28"/>
              <w:keepNext w:val="0"/>
              <w:keepLines w:val="0"/>
              <w:suppressLineNumbers w:val="0"/>
              <w:spacing w:beforeAutospacing="0" w:afterAutospacing="0"/>
              <w:ind w:left="0" w:right="0"/>
              <w:rPr>
                <w:rFonts w:hint="eastAsia"/>
              </w:rPr>
            </w:pPr>
            <w:r>
              <w:rPr>
                <w:rFonts w:hint="default"/>
              </w:rPr>
              <w:t>林芝市环林污水处理有限公司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noWrap w:val="0"/>
            <w:vAlign w:val="center"/>
          </w:tcPr>
          <w:p>
            <w:pPr>
              <w:pStyle w:val="28"/>
              <w:keepNext w:val="0"/>
              <w:keepLines w:val="0"/>
              <w:suppressLineNumbers w:val="0"/>
              <w:spacing w:beforeAutospacing="0" w:afterAutospacing="0"/>
              <w:ind w:left="0" w:right="0"/>
              <w:rPr>
                <w:rFonts w:hint="default"/>
              </w:rPr>
            </w:pPr>
            <w:r>
              <w:rPr>
                <w:rFonts w:hint="eastAsia"/>
              </w:rPr>
              <w:t>2</w:t>
            </w:r>
          </w:p>
        </w:tc>
        <w:tc>
          <w:tcPr>
            <w:tcW w:w="923" w:type="pct"/>
            <w:noWrap w:val="0"/>
            <w:vAlign w:val="center"/>
          </w:tcPr>
          <w:p>
            <w:pPr>
              <w:pStyle w:val="28"/>
              <w:keepNext w:val="0"/>
              <w:keepLines w:val="0"/>
              <w:suppressLineNumbers w:val="0"/>
              <w:spacing w:beforeAutospacing="0" w:afterAutospacing="0"/>
              <w:ind w:left="0" w:right="0"/>
              <w:rPr>
                <w:rFonts w:hint="eastAsia"/>
              </w:rPr>
            </w:pPr>
            <w:r>
              <w:rPr>
                <w:rFonts w:hint="default"/>
              </w:rPr>
              <w:t>工布江达县污水处理厂</w:t>
            </w:r>
          </w:p>
        </w:tc>
        <w:tc>
          <w:tcPr>
            <w:tcW w:w="746" w:type="pct"/>
            <w:noWrap w:val="0"/>
            <w:vAlign w:val="center"/>
          </w:tcPr>
          <w:p>
            <w:pPr>
              <w:pStyle w:val="28"/>
              <w:keepNext w:val="0"/>
              <w:keepLines w:val="0"/>
              <w:suppressLineNumbers w:val="0"/>
              <w:spacing w:beforeAutospacing="0" w:afterAutospacing="0"/>
              <w:ind w:left="0" w:right="0"/>
              <w:rPr>
                <w:rFonts w:hint="eastAsia"/>
              </w:rPr>
            </w:pPr>
            <w:r>
              <w:rPr>
                <w:rFonts w:hint="eastAsia"/>
              </w:rPr>
              <w:t>工布江达县工布江达镇帕朗沙村</w:t>
            </w:r>
          </w:p>
        </w:tc>
        <w:tc>
          <w:tcPr>
            <w:tcW w:w="470" w:type="pct"/>
            <w:noWrap w:val="0"/>
            <w:vAlign w:val="center"/>
          </w:tcPr>
          <w:p>
            <w:pPr>
              <w:pStyle w:val="28"/>
              <w:keepNext w:val="0"/>
              <w:keepLines w:val="0"/>
              <w:suppressLineNumbers w:val="0"/>
              <w:spacing w:beforeAutospacing="0" w:afterAutospacing="0"/>
              <w:ind w:left="0" w:right="0"/>
              <w:rPr>
                <w:rFonts w:hint="eastAsia"/>
              </w:rPr>
            </w:pPr>
            <w:r>
              <w:rPr>
                <w:rFonts w:hint="eastAsia"/>
              </w:rPr>
              <w:t>一级B标</w:t>
            </w:r>
          </w:p>
        </w:tc>
        <w:tc>
          <w:tcPr>
            <w:tcW w:w="672" w:type="pct"/>
            <w:noWrap w:val="0"/>
            <w:vAlign w:val="center"/>
          </w:tcPr>
          <w:p>
            <w:pPr>
              <w:pStyle w:val="28"/>
              <w:keepNext w:val="0"/>
              <w:keepLines w:val="0"/>
              <w:suppressLineNumbers w:val="0"/>
              <w:spacing w:beforeAutospacing="0" w:afterAutospacing="0"/>
              <w:ind w:left="0" w:right="0"/>
              <w:rPr>
                <w:rFonts w:hint="default"/>
              </w:rPr>
            </w:pPr>
            <w:r>
              <w:rPr>
                <w:rFonts w:hint="default"/>
              </w:rPr>
              <w:t>活性污泥法</w:t>
            </w:r>
          </w:p>
        </w:tc>
        <w:tc>
          <w:tcPr>
            <w:tcW w:w="521" w:type="pct"/>
            <w:noWrap w:val="0"/>
            <w:vAlign w:val="center"/>
          </w:tcPr>
          <w:p>
            <w:pPr>
              <w:pStyle w:val="28"/>
              <w:keepNext w:val="0"/>
              <w:keepLines w:val="0"/>
              <w:suppressLineNumbers w:val="0"/>
              <w:spacing w:beforeAutospacing="0" w:afterAutospacing="0"/>
              <w:ind w:left="0" w:right="0"/>
              <w:rPr>
                <w:rFonts w:hint="default"/>
              </w:rPr>
            </w:pPr>
            <w:r>
              <w:rPr>
                <w:rFonts w:hint="eastAsia"/>
              </w:rPr>
              <w:t>3000</w:t>
            </w:r>
          </w:p>
        </w:tc>
        <w:tc>
          <w:tcPr>
            <w:tcW w:w="493" w:type="pct"/>
            <w:noWrap w:val="0"/>
            <w:vAlign w:val="center"/>
          </w:tcPr>
          <w:p>
            <w:pPr>
              <w:pStyle w:val="28"/>
              <w:keepNext w:val="0"/>
              <w:keepLines w:val="0"/>
              <w:suppressLineNumbers w:val="0"/>
              <w:spacing w:beforeAutospacing="0" w:afterAutospacing="0"/>
              <w:ind w:left="0" w:right="0"/>
              <w:rPr>
                <w:rFonts w:hint="eastAsia"/>
              </w:rPr>
            </w:pPr>
            <w:r>
              <w:rPr>
                <w:rFonts w:hint="eastAsia"/>
              </w:rPr>
              <w:t>尼洋河</w:t>
            </w:r>
          </w:p>
        </w:tc>
        <w:tc>
          <w:tcPr>
            <w:tcW w:w="879" w:type="pct"/>
            <w:noWrap w:val="0"/>
            <w:vAlign w:val="center"/>
          </w:tcPr>
          <w:p>
            <w:pPr>
              <w:pStyle w:val="28"/>
              <w:keepNext w:val="0"/>
              <w:keepLines w:val="0"/>
              <w:suppressLineNumbers w:val="0"/>
              <w:spacing w:beforeAutospacing="0" w:afterAutospacing="0"/>
              <w:ind w:left="0" w:right="0"/>
              <w:rPr>
                <w:rFonts w:hint="default"/>
              </w:rPr>
            </w:pPr>
            <w:r>
              <w:rPr>
                <w:rFonts w:hint="default"/>
              </w:rPr>
              <w:t>工布江达县自来水有限公司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noWrap w:val="0"/>
            <w:vAlign w:val="center"/>
          </w:tcPr>
          <w:p>
            <w:pPr>
              <w:pStyle w:val="28"/>
              <w:keepNext w:val="0"/>
              <w:keepLines w:val="0"/>
              <w:suppressLineNumbers w:val="0"/>
              <w:spacing w:beforeAutospacing="0" w:afterAutospacing="0"/>
              <w:ind w:left="0" w:right="0"/>
              <w:rPr>
                <w:rFonts w:hint="default"/>
              </w:rPr>
            </w:pPr>
            <w:r>
              <w:rPr>
                <w:rFonts w:hint="eastAsia"/>
              </w:rPr>
              <w:t>3</w:t>
            </w:r>
          </w:p>
        </w:tc>
        <w:tc>
          <w:tcPr>
            <w:tcW w:w="923" w:type="pct"/>
            <w:noWrap w:val="0"/>
            <w:vAlign w:val="center"/>
          </w:tcPr>
          <w:p>
            <w:pPr>
              <w:pStyle w:val="28"/>
              <w:keepNext w:val="0"/>
              <w:keepLines w:val="0"/>
              <w:suppressLineNumbers w:val="0"/>
              <w:spacing w:beforeAutospacing="0" w:afterAutospacing="0"/>
              <w:ind w:left="0" w:right="0"/>
              <w:rPr>
                <w:rFonts w:hint="eastAsia"/>
              </w:rPr>
            </w:pPr>
            <w:r>
              <w:rPr>
                <w:rFonts w:hint="eastAsia"/>
              </w:rPr>
              <w:t>林芝市经济开发区污水处理厂</w:t>
            </w:r>
          </w:p>
        </w:tc>
        <w:tc>
          <w:tcPr>
            <w:tcW w:w="746" w:type="pct"/>
            <w:noWrap w:val="0"/>
            <w:vAlign w:val="center"/>
          </w:tcPr>
          <w:p>
            <w:pPr>
              <w:pStyle w:val="28"/>
              <w:keepNext w:val="0"/>
              <w:keepLines w:val="0"/>
              <w:suppressLineNumbers w:val="0"/>
              <w:spacing w:beforeAutospacing="0" w:afterAutospacing="0"/>
              <w:ind w:left="0" w:right="0"/>
              <w:rPr>
                <w:rFonts w:hint="eastAsia"/>
              </w:rPr>
            </w:pPr>
            <w:r>
              <w:rPr>
                <w:rFonts w:hint="eastAsia"/>
              </w:rPr>
              <w:t>林芝市巴宜区河西新区污水处理厂内</w:t>
            </w:r>
          </w:p>
        </w:tc>
        <w:tc>
          <w:tcPr>
            <w:tcW w:w="470" w:type="pct"/>
            <w:noWrap w:val="0"/>
            <w:vAlign w:val="center"/>
          </w:tcPr>
          <w:p>
            <w:pPr>
              <w:pStyle w:val="28"/>
              <w:keepNext w:val="0"/>
              <w:keepLines w:val="0"/>
              <w:suppressLineNumbers w:val="0"/>
              <w:spacing w:beforeAutospacing="0" w:afterAutospacing="0"/>
              <w:ind w:left="0" w:right="0"/>
              <w:rPr>
                <w:rFonts w:hint="eastAsia"/>
              </w:rPr>
            </w:pPr>
            <w:r>
              <w:rPr>
                <w:rFonts w:hint="eastAsia"/>
              </w:rPr>
              <w:t>/</w:t>
            </w:r>
          </w:p>
        </w:tc>
        <w:tc>
          <w:tcPr>
            <w:tcW w:w="672" w:type="pct"/>
            <w:noWrap w:val="0"/>
            <w:vAlign w:val="center"/>
          </w:tcPr>
          <w:p>
            <w:pPr>
              <w:pStyle w:val="28"/>
              <w:keepNext w:val="0"/>
              <w:keepLines w:val="0"/>
              <w:suppressLineNumbers w:val="0"/>
              <w:spacing w:beforeAutospacing="0" w:afterAutospacing="0"/>
              <w:ind w:left="0" w:right="0"/>
              <w:rPr>
                <w:rFonts w:hint="default"/>
              </w:rPr>
            </w:pPr>
            <w:r>
              <w:rPr>
                <w:rFonts w:hint="default"/>
              </w:rPr>
              <w:t>活性污泥法</w:t>
            </w:r>
          </w:p>
        </w:tc>
        <w:tc>
          <w:tcPr>
            <w:tcW w:w="521" w:type="pct"/>
            <w:noWrap w:val="0"/>
            <w:vAlign w:val="center"/>
          </w:tcPr>
          <w:p>
            <w:pPr>
              <w:pStyle w:val="28"/>
              <w:keepNext w:val="0"/>
              <w:keepLines w:val="0"/>
              <w:suppressLineNumbers w:val="0"/>
              <w:spacing w:beforeAutospacing="0" w:afterAutospacing="0"/>
              <w:ind w:left="0" w:right="0"/>
              <w:rPr>
                <w:rFonts w:hint="default"/>
              </w:rPr>
            </w:pPr>
            <w:r>
              <w:rPr>
                <w:rFonts w:hint="eastAsia"/>
              </w:rPr>
              <w:t>1200</w:t>
            </w:r>
          </w:p>
        </w:tc>
        <w:tc>
          <w:tcPr>
            <w:tcW w:w="493" w:type="pct"/>
            <w:noWrap w:val="0"/>
            <w:vAlign w:val="center"/>
          </w:tcPr>
          <w:p>
            <w:pPr>
              <w:pStyle w:val="28"/>
              <w:keepNext w:val="0"/>
              <w:keepLines w:val="0"/>
              <w:suppressLineNumbers w:val="0"/>
              <w:spacing w:beforeAutospacing="0" w:afterAutospacing="0"/>
              <w:ind w:left="0" w:right="0"/>
              <w:rPr>
                <w:rFonts w:hint="eastAsia"/>
              </w:rPr>
            </w:pPr>
            <w:r>
              <w:rPr>
                <w:rFonts w:hint="eastAsia"/>
              </w:rPr>
              <w:t>进入城市污水处理厂</w:t>
            </w:r>
          </w:p>
        </w:tc>
        <w:tc>
          <w:tcPr>
            <w:tcW w:w="879" w:type="pct"/>
            <w:noWrap w:val="0"/>
            <w:vAlign w:val="center"/>
          </w:tcPr>
          <w:p>
            <w:pPr>
              <w:pStyle w:val="28"/>
              <w:keepNext w:val="0"/>
              <w:keepLines w:val="0"/>
              <w:suppressLineNumbers w:val="0"/>
              <w:spacing w:beforeAutospacing="0" w:afterAutospacing="0"/>
              <w:ind w:left="0" w:right="0"/>
              <w:rPr>
                <w:rFonts w:hint="default"/>
              </w:rPr>
            </w:pPr>
            <w:r>
              <w:rPr>
                <w:rFonts w:hint="default"/>
              </w:rPr>
              <w:t>林芝市文化旅游投资发展有限责任公司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noWrap w:val="0"/>
            <w:vAlign w:val="center"/>
          </w:tcPr>
          <w:p>
            <w:pPr>
              <w:pStyle w:val="28"/>
              <w:keepNext w:val="0"/>
              <w:keepLines w:val="0"/>
              <w:suppressLineNumbers w:val="0"/>
              <w:spacing w:beforeAutospacing="0" w:afterAutospacing="0"/>
              <w:ind w:left="0" w:right="0"/>
              <w:rPr>
                <w:rFonts w:hint="default"/>
              </w:rPr>
            </w:pPr>
            <w:r>
              <w:rPr>
                <w:rFonts w:hint="eastAsia"/>
              </w:rPr>
              <w:t>4</w:t>
            </w:r>
          </w:p>
        </w:tc>
        <w:tc>
          <w:tcPr>
            <w:tcW w:w="923" w:type="pct"/>
            <w:noWrap w:val="0"/>
            <w:vAlign w:val="center"/>
          </w:tcPr>
          <w:p>
            <w:pPr>
              <w:pStyle w:val="28"/>
              <w:keepNext w:val="0"/>
              <w:keepLines w:val="0"/>
              <w:suppressLineNumbers w:val="0"/>
              <w:spacing w:beforeAutospacing="0" w:afterAutospacing="0"/>
              <w:ind w:left="0" w:right="0"/>
              <w:rPr>
                <w:rFonts w:hint="eastAsia"/>
              </w:rPr>
            </w:pPr>
            <w:r>
              <w:rPr>
                <w:rFonts w:hint="default"/>
              </w:rPr>
              <w:t>察隅县察瓦龙乡污水处理厂</w:t>
            </w:r>
          </w:p>
        </w:tc>
        <w:tc>
          <w:tcPr>
            <w:tcW w:w="746" w:type="pct"/>
            <w:noWrap w:val="0"/>
            <w:vAlign w:val="center"/>
          </w:tcPr>
          <w:p>
            <w:pPr>
              <w:pStyle w:val="28"/>
              <w:keepNext w:val="0"/>
              <w:keepLines w:val="0"/>
              <w:suppressLineNumbers w:val="0"/>
              <w:spacing w:beforeAutospacing="0" w:afterAutospacing="0"/>
              <w:ind w:left="0" w:right="0"/>
              <w:rPr>
                <w:rFonts w:hint="eastAsia"/>
              </w:rPr>
            </w:pPr>
            <w:r>
              <w:rPr>
                <w:rFonts w:hint="eastAsia"/>
              </w:rPr>
              <w:t>西藏自治区林芝市察隅县察瓦龙乡</w:t>
            </w:r>
          </w:p>
        </w:tc>
        <w:tc>
          <w:tcPr>
            <w:tcW w:w="470" w:type="pct"/>
            <w:noWrap w:val="0"/>
            <w:vAlign w:val="center"/>
          </w:tcPr>
          <w:p>
            <w:pPr>
              <w:pStyle w:val="28"/>
              <w:keepNext w:val="0"/>
              <w:keepLines w:val="0"/>
              <w:suppressLineNumbers w:val="0"/>
              <w:spacing w:beforeAutospacing="0" w:afterAutospacing="0"/>
              <w:ind w:left="0" w:right="0"/>
              <w:rPr>
                <w:rFonts w:hint="eastAsia"/>
              </w:rPr>
            </w:pPr>
            <w:r>
              <w:rPr>
                <w:rFonts w:hint="eastAsia"/>
              </w:rPr>
              <w:t>一级B标</w:t>
            </w:r>
          </w:p>
        </w:tc>
        <w:tc>
          <w:tcPr>
            <w:tcW w:w="672" w:type="pct"/>
            <w:noWrap w:val="0"/>
            <w:vAlign w:val="center"/>
          </w:tcPr>
          <w:p>
            <w:pPr>
              <w:pStyle w:val="28"/>
              <w:keepNext w:val="0"/>
              <w:keepLines w:val="0"/>
              <w:suppressLineNumbers w:val="0"/>
              <w:spacing w:beforeAutospacing="0" w:afterAutospacing="0"/>
              <w:ind w:left="0" w:right="0"/>
              <w:rPr>
                <w:rFonts w:hint="default"/>
              </w:rPr>
            </w:pPr>
            <w:r>
              <w:rPr>
                <w:rFonts w:hint="default"/>
              </w:rPr>
              <w:t>活性污泥法</w:t>
            </w:r>
          </w:p>
        </w:tc>
        <w:tc>
          <w:tcPr>
            <w:tcW w:w="521" w:type="pct"/>
            <w:noWrap w:val="0"/>
            <w:vAlign w:val="center"/>
          </w:tcPr>
          <w:p>
            <w:pPr>
              <w:pStyle w:val="28"/>
              <w:keepNext w:val="0"/>
              <w:keepLines w:val="0"/>
              <w:suppressLineNumbers w:val="0"/>
              <w:spacing w:beforeAutospacing="0" w:afterAutospacing="0"/>
              <w:ind w:left="0" w:right="0"/>
              <w:rPr>
                <w:rFonts w:hint="default"/>
              </w:rPr>
            </w:pPr>
            <w:r>
              <w:rPr>
                <w:rFonts w:hint="eastAsia"/>
              </w:rPr>
              <w:t>750</w:t>
            </w:r>
          </w:p>
        </w:tc>
        <w:tc>
          <w:tcPr>
            <w:tcW w:w="493" w:type="pct"/>
            <w:noWrap w:val="0"/>
            <w:vAlign w:val="center"/>
          </w:tcPr>
          <w:p>
            <w:pPr>
              <w:pStyle w:val="28"/>
              <w:keepNext w:val="0"/>
              <w:keepLines w:val="0"/>
              <w:suppressLineNumbers w:val="0"/>
              <w:spacing w:beforeAutospacing="0" w:afterAutospacing="0"/>
              <w:ind w:left="0" w:right="0"/>
              <w:rPr>
                <w:rFonts w:hint="eastAsia"/>
              </w:rPr>
            </w:pPr>
            <w:r>
              <w:rPr>
                <w:rFonts w:hint="default"/>
              </w:rPr>
              <w:t>怒江</w:t>
            </w:r>
          </w:p>
        </w:tc>
        <w:tc>
          <w:tcPr>
            <w:tcW w:w="879" w:type="pct"/>
            <w:noWrap w:val="0"/>
            <w:vAlign w:val="center"/>
          </w:tcPr>
          <w:p>
            <w:pPr>
              <w:pStyle w:val="28"/>
              <w:keepNext w:val="0"/>
              <w:keepLines w:val="0"/>
              <w:suppressLineNumbers w:val="0"/>
              <w:spacing w:beforeAutospacing="0" w:afterAutospacing="0"/>
              <w:ind w:left="0" w:right="0"/>
              <w:rPr>
                <w:rFonts w:hint="default"/>
              </w:rPr>
            </w:pPr>
            <w:r>
              <w:rPr>
                <w:rFonts w:hint="eastAsia"/>
              </w:rPr>
              <w:t>察隅县住房和城乡建设局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noWrap w:val="0"/>
            <w:vAlign w:val="center"/>
          </w:tcPr>
          <w:p>
            <w:pPr>
              <w:pStyle w:val="28"/>
              <w:keepNext w:val="0"/>
              <w:keepLines w:val="0"/>
              <w:suppressLineNumbers w:val="0"/>
              <w:spacing w:beforeAutospacing="0" w:afterAutospacing="0"/>
              <w:ind w:left="0" w:right="0"/>
              <w:rPr>
                <w:rFonts w:hint="default"/>
              </w:rPr>
            </w:pPr>
            <w:r>
              <w:rPr>
                <w:rFonts w:hint="eastAsia"/>
              </w:rPr>
              <w:t>5</w:t>
            </w:r>
          </w:p>
        </w:tc>
        <w:tc>
          <w:tcPr>
            <w:tcW w:w="923" w:type="pct"/>
            <w:noWrap w:val="0"/>
            <w:vAlign w:val="center"/>
          </w:tcPr>
          <w:p>
            <w:pPr>
              <w:pStyle w:val="28"/>
              <w:keepNext w:val="0"/>
              <w:keepLines w:val="0"/>
              <w:suppressLineNumbers w:val="0"/>
              <w:spacing w:beforeAutospacing="0" w:afterAutospacing="0"/>
              <w:ind w:left="0" w:right="0"/>
              <w:rPr>
                <w:rFonts w:hint="eastAsia"/>
              </w:rPr>
            </w:pPr>
            <w:r>
              <w:rPr>
                <w:rFonts w:hint="eastAsia"/>
              </w:rPr>
              <w:t>林芝市朗县县城生活污水处理厂</w:t>
            </w:r>
          </w:p>
        </w:tc>
        <w:tc>
          <w:tcPr>
            <w:tcW w:w="746" w:type="pct"/>
            <w:noWrap w:val="0"/>
            <w:vAlign w:val="center"/>
          </w:tcPr>
          <w:p>
            <w:pPr>
              <w:pStyle w:val="28"/>
              <w:keepNext w:val="0"/>
              <w:keepLines w:val="0"/>
              <w:suppressLineNumbers w:val="0"/>
              <w:spacing w:beforeAutospacing="0" w:afterAutospacing="0"/>
              <w:ind w:left="0" w:right="0"/>
              <w:rPr>
                <w:rFonts w:hint="eastAsia"/>
              </w:rPr>
            </w:pPr>
            <w:r>
              <w:rPr>
                <w:rFonts w:hint="eastAsia"/>
              </w:rPr>
              <w:t>西藏林芝市朗县光明新区过江大桥左岸位置处</w:t>
            </w:r>
          </w:p>
        </w:tc>
        <w:tc>
          <w:tcPr>
            <w:tcW w:w="470" w:type="pct"/>
            <w:noWrap w:val="0"/>
            <w:vAlign w:val="center"/>
          </w:tcPr>
          <w:p>
            <w:pPr>
              <w:pStyle w:val="28"/>
              <w:keepNext w:val="0"/>
              <w:keepLines w:val="0"/>
              <w:suppressLineNumbers w:val="0"/>
              <w:spacing w:beforeAutospacing="0" w:afterAutospacing="0"/>
              <w:ind w:left="0" w:right="0"/>
              <w:rPr>
                <w:rFonts w:hint="eastAsia"/>
              </w:rPr>
            </w:pPr>
            <w:r>
              <w:rPr>
                <w:rFonts w:hint="eastAsia"/>
              </w:rPr>
              <w:t>一级B标</w:t>
            </w:r>
          </w:p>
        </w:tc>
        <w:tc>
          <w:tcPr>
            <w:tcW w:w="672" w:type="pct"/>
            <w:noWrap w:val="0"/>
            <w:vAlign w:val="center"/>
          </w:tcPr>
          <w:p>
            <w:pPr>
              <w:pStyle w:val="28"/>
              <w:keepNext w:val="0"/>
              <w:keepLines w:val="0"/>
              <w:suppressLineNumbers w:val="0"/>
              <w:spacing w:beforeAutospacing="0" w:afterAutospacing="0"/>
              <w:ind w:left="0" w:right="0"/>
              <w:rPr>
                <w:rFonts w:hint="default"/>
              </w:rPr>
            </w:pPr>
            <w:r>
              <w:rPr>
                <w:rFonts w:hint="default"/>
              </w:rPr>
              <w:t>活性污泥法</w:t>
            </w:r>
          </w:p>
        </w:tc>
        <w:tc>
          <w:tcPr>
            <w:tcW w:w="521" w:type="pct"/>
            <w:noWrap w:val="0"/>
            <w:vAlign w:val="center"/>
          </w:tcPr>
          <w:p>
            <w:pPr>
              <w:pStyle w:val="28"/>
              <w:keepNext w:val="0"/>
              <w:keepLines w:val="0"/>
              <w:suppressLineNumbers w:val="0"/>
              <w:spacing w:beforeAutospacing="0" w:afterAutospacing="0"/>
              <w:ind w:left="0" w:right="0"/>
              <w:rPr>
                <w:rFonts w:hint="default"/>
              </w:rPr>
            </w:pPr>
            <w:r>
              <w:rPr>
                <w:rFonts w:hint="eastAsia"/>
              </w:rPr>
              <w:t>1500</w:t>
            </w:r>
          </w:p>
        </w:tc>
        <w:tc>
          <w:tcPr>
            <w:tcW w:w="493" w:type="pct"/>
            <w:noWrap w:val="0"/>
            <w:vAlign w:val="center"/>
          </w:tcPr>
          <w:p>
            <w:pPr>
              <w:pStyle w:val="28"/>
              <w:keepNext w:val="0"/>
              <w:keepLines w:val="0"/>
              <w:suppressLineNumbers w:val="0"/>
              <w:spacing w:beforeAutospacing="0" w:afterAutospacing="0"/>
              <w:ind w:left="0" w:right="0"/>
              <w:rPr>
                <w:rFonts w:hint="eastAsia"/>
              </w:rPr>
            </w:pPr>
            <w:r>
              <w:rPr>
                <w:rFonts w:hint="default"/>
              </w:rPr>
              <w:t>雅江</w:t>
            </w:r>
          </w:p>
        </w:tc>
        <w:tc>
          <w:tcPr>
            <w:tcW w:w="879" w:type="pct"/>
            <w:noWrap w:val="0"/>
            <w:vAlign w:val="center"/>
          </w:tcPr>
          <w:p>
            <w:pPr>
              <w:pStyle w:val="28"/>
              <w:keepNext w:val="0"/>
              <w:keepLines w:val="0"/>
              <w:suppressLineNumbers w:val="0"/>
              <w:spacing w:beforeAutospacing="0" w:afterAutospacing="0"/>
              <w:ind w:left="0" w:right="0"/>
              <w:rPr>
                <w:rFonts w:hint="default"/>
              </w:rPr>
            </w:pPr>
            <w:r>
              <w:rPr>
                <w:rFonts w:hint="eastAsia"/>
              </w:rPr>
              <w:t>朗县住房和城乡建设局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noWrap w:val="0"/>
            <w:vAlign w:val="center"/>
          </w:tcPr>
          <w:p>
            <w:pPr>
              <w:pStyle w:val="28"/>
              <w:keepNext w:val="0"/>
              <w:keepLines w:val="0"/>
              <w:suppressLineNumbers w:val="0"/>
              <w:spacing w:beforeAutospacing="0" w:afterAutospacing="0"/>
              <w:ind w:left="0" w:right="0"/>
              <w:rPr>
                <w:rFonts w:hint="default"/>
              </w:rPr>
            </w:pPr>
            <w:r>
              <w:rPr>
                <w:rFonts w:hint="eastAsia"/>
              </w:rPr>
              <w:t>6</w:t>
            </w:r>
          </w:p>
        </w:tc>
        <w:tc>
          <w:tcPr>
            <w:tcW w:w="923" w:type="pct"/>
            <w:noWrap w:val="0"/>
            <w:vAlign w:val="center"/>
          </w:tcPr>
          <w:p>
            <w:pPr>
              <w:pStyle w:val="28"/>
              <w:keepNext w:val="0"/>
              <w:keepLines w:val="0"/>
              <w:suppressLineNumbers w:val="0"/>
              <w:spacing w:beforeAutospacing="0" w:afterAutospacing="0"/>
              <w:ind w:left="0" w:right="0"/>
              <w:rPr>
                <w:rFonts w:hint="eastAsia"/>
              </w:rPr>
            </w:pPr>
            <w:r>
              <w:rPr>
                <w:rFonts w:hint="eastAsia"/>
              </w:rPr>
              <w:t>林芝市波密县污水处理厂</w:t>
            </w:r>
          </w:p>
        </w:tc>
        <w:tc>
          <w:tcPr>
            <w:tcW w:w="746" w:type="pct"/>
            <w:noWrap w:val="0"/>
            <w:vAlign w:val="center"/>
          </w:tcPr>
          <w:p>
            <w:pPr>
              <w:pStyle w:val="28"/>
              <w:keepNext w:val="0"/>
              <w:keepLines w:val="0"/>
              <w:suppressLineNumbers w:val="0"/>
              <w:spacing w:beforeAutospacing="0" w:afterAutospacing="0"/>
              <w:ind w:left="0" w:right="0"/>
              <w:rPr>
                <w:rFonts w:hint="eastAsia"/>
              </w:rPr>
            </w:pPr>
            <w:r>
              <w:rPr>
                <w:rFonts w:hint="eastAsia"/>
              </w:rPr>
              <w:t>林芝市波密县卡达村</w:t>
            </w:r>
          </w:p>
        </w:tc>
        <w:tc>
          <w:tcPr>
            <w:tcW w:w="470" w:type="pct"/>
            <w:noWrap w:val="0"/>
            <w:vAlign w:val="center"/>
          </w:tcPr>
          <w:p>
            <w:pPr>
              <w:pStyle w:val="28"/>
              <w:keepNext w:val="0"/>
              <w:keepLines w:val="0"/>
              <w:suppressLineNumbers w:val="0"/>
              <w:spacing w:beforeAutospacing="0" w:afterAutospacing="0"/>
              <w:ind w:left="0" w:right="0"/>
              <w:rPr>
                <w:rFonts w:hint="eastAsia"/>
              </w:rPr>
            </w:pPr>
            <w:r>
              <w:rPr>
                <w:rFonts w:hint="eastAsia"/>
              </w:rPr>
              <w:t>一级B标</w:t>
            </w:r>
          </w:p>
        </w:tc>
        <w:tc>
          <w:tcPr>
            <w:tcW w:w="672" w:type="pct"/>
            <w:noWrap w:val="0"/>
            <w:vAlign w:val="center"/>
          </w:tcPr>
          <w:p>
            <w:pPr>
              <w:pStyle w:val="28"/>
              <w:keepNext w:val="0"/>
              <w:keepLines w:val="0"/>
              <w:suppressLineNumbers w:val="0"/>
              <w:spacing w:beforeAutospacing="0" w:afterAutospacing="0"/>
              <w:ind w:left="0" w:right="0"/>
              <w:rPr>
                <w:rFonts w:hint="default"/>
              </w:rPr>
            </w:pPr>
            <w:r>
              <w:rPr>
                <w:rFonts w:hint="default"/>
              </w:rPr>
              <w:t>活性污泥法</w:t>
            </w:r>
          </w:p>
        </w:tc>
        <w:tc>
          <w:tcPr>
            <w:tcW w:w="521" w:type="pct"/>
            <w:noWrap w:val="0"/>
            <w:vAlign w:val="center"/>
          </w:tcPr>
          <w:p>
            <w:pPr>
              <w:pStyle w:val="28"/>
              <w:keepNext w:val="0"/>
              <w:keepLines w:val="0"/>
              <w:suppressLineNumbers w:val="0"/>
              <w:spacing w:beforeAutospacing="0" w:afterAutospacing="0"/>
              <w:ind w:left="0" w:right="0"/>
              <w:rPr>
                <w:rFonts w:hint="default"/>
              </w:rPr>
            </w:pPr>
            <w:r>
              <w:rPr>
                <w:rFonts w:hint="eastAsia"/>
              </w:rPr>
              <w:t>3000</w:t>
            </w:r>
          </w:p>
        </w:tc>
        <w:tc>
          <w:tcPr>
            <w:tcW w:w="493" w:type="pct"/>
            <w:noWrap w:val="0"/>
            <w:vAlign w:val="center"/>
          </w:tcPr>
          <w:p>
            <w:pPr>
              <w:pStyle w:val="28"/>
              <w:keepNext w:val="0"/>
              <w:keepLines w:val="0"/>
              <w:suppressLineNumbers w:val="0"/>
              <w:spacing w:beforeAutospacing="0" w:afterAutospacing="0"/>
              <w:ind w:left="0" w:right="0"/>
              <w:rPr>
                <w:rFonts w:hint="eastAsia"/>
              </w:rPr>
            </w:pPr>
            <w:r>
              <w:rPr>
                <w:rFonts w:hint="eastAsia"/>
              </w:rPr>
              <w:t>帕隆藏布河</w:t>
            </w:r>
          </w:p>
        </w:tc>
        <w:tc>
          <w:tcPr>
            <w:tcW w:w="879" w:type="pct"/>
            <w:noWrap w:val="0"/>
            <w:vAlign w:val="center"/>
          </w:tcPr>
          <w:p>
            <w:pPr>
              <w:pStyle w:val="28"/>
              <w:keepNext w:val="0"/>
              <w:keepLines w:val="0"/>
              <w:suppressLineNumbers w:val="0"/>
              <w:spacing w:beforeAutospacing="0" w:afterAutospacing="0"/>
              <w:ind w:left="0" w:right="0"/>
              <w:rPr>
                <w:rFonts w:hint="default"/>
              </w:rPr>
            </w:pPr>
            <w:r>
              <w:rPr>
                <w:rFonts w:hint="eastAsia"/>
              </w:rPr>
              <w:t>林芝市净源水务集团有限责任公司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noWrap w:val="0"/>
            <w:vAlign w:val="center"/>
          </w:tcPr>
          <w:p>
            <w:pPr>
              <w:pStyle w:val="28"/>
              <w:keepNext w:val="0"/>
              <w:keepLines w:val="0"/>
              <w:suppressLineNumbers w:val="0"/>
              <w:spacing w:beforeAutospacing="0" w:afterAutospacing="0"/>
              <w:ind w:left="0" w:right="0"/>
              <w:rPr>
                <w:rFonts w:hint="default"/>
              </w:rPr>
            </w:pPr>
            <w:r>
              <w:rPr>
                <w:rFonts w:hint="eastAsia"/>
              </w:rPr>
              <w:t>7</w:t>
            </w:r>
          </w:p>
        </w:tc>
        <w:tc>
          <w:tcPr>
            <w:tcW w:w="923" w:type="pct"/>
            <w:noWrap w:val="0"/>
            <w:vAlign w:val="center"/>
          </w:tcPr>
          <w:p>
            <w:pPr>
              <w:pStyle w:val="28"/>
              <w:keepNext w:val="0"/>
              <w:keepLines w:val="0"/>
              <w:suppressLineNumbers w:val="0"/>
              <w:spacing w:beforeAutospacing="0" w:afterAutospacing="0"/>
              <w:ind w:left="0" w:right="0"/>
              <w:rPr>
                <w:rFonts w:hint="eastAsia"/>
              </w:rPr>
            </w:pPr>
            <w:r>
              <w:rPr>
                <w:rFonts w:hint="eastAsia"/>
              </w:rPr>
              <w:t>林芝市米林县污水处理厂</w:t>
            </w:r>
          </w:p>
        </w:tc>
        <w:tc>
          <w:tcPr>
            <w:tcW w:w="746" w:type="pct"/>
            <w:noWrap w:val="0"/>
            <w:vAlign w:val="center"/>
          </w:tcPr>
          <w:p>
            <w:pPr>
              <w:pStyle w:val="28"/>
              <w:keepNext w:val="0"/>
              <w:keepLines w:val="0"/>
              <w:suppressLineNumbers w:val="0"/>
              <w:spacing w:beforeAutospacing="0" w:afterAutospacing="0"/>
              <w:ind w:left="0" w:right="0"/>
              <w:rPr>
                <w:rFonts w:hint="eastAsia"/>
              </w:rPr>
            </w:pPr>
            <w:r>
              <w:rPr>
                <w:rFonts w:hint="eastAsia"/>
              </w:rPr>
              <w:t>林芝市米林县东多村</w:t>
            </w:r>
          </w:p>
        </w:tc>
        <w:tc>
          <w:tcPr>
            <w:tcW w:w="470" w:type="pct"/>
            <w:noWrap w:val="0"/>
            <w:vAlign w:val="center"/>
          </w:tcPr>
          <w:p>
            <w:pPr>
              <w:pStyle w:val="28"/>
              <w:keepNext w:val="0"/>
              <w:keepLines w:val="0"/>
              <w:suppressLineNumbers w:val="0"/>
              <w:spacing w:beforeAutospacing="0" w:afterAutospacing="0"/>
              <w:ind w:left="0" w:right="0"/>
              <w:rPr>
                <w:rFonts w:hint="eastAsia"/>
              </w:rPr>
            </w:pPr>
            <w:r>
              <w:rPr>
                <w:rFonts w:hint="eastAsia"/>
              </w:rPr>
              <w:t>一级B标</w:t>
            </w:r>
          </w:p>
        </w:tc>
        <w:tc>
          <w:tcPr>
            <w:tcW w:w="672" w:type="pct"/>
            <w:noWrap w:val="0"/>
            <w:vAlign w:val="center"/>
          </w:tcPr>
          <w:p>
            <w:pPr>
              <w:pStyle w:val="28"/>
              <w:keepNext w:val="0"/>
              <w:keepLines w:val="0"/>
              <w:suppressLineNumbers w:val="0"/>
              <w:spacing w:beforeAutospacing="0" w:afterAutospacing="0"/>
              <w:ind w:left="0" w:right="0"/>
              <w:rPr>
                <w:rFonts w:hint="default"/>
              </w:rPr>
            </w:pPr>
            <w:r>
              <w:rPr>
                <w:rFonts w:hint="default"/>
              </w:rPr>
              <w:t>活性污泥法</w:t>
            </w:r>
          </w:p>
        </w:tc>
        <w:tc>
          <w:tcPr>
            <w:tcW w:w="521" w:type="pct"/>
            <w:noWrap w:val="0"/>
            <w:vAlign w:val="center"/>
          </w:tcPr>
          <w:p>
            <w:pPr>
              <w:pStyle w:val="28"/>
              <w:keepNext w:val="0"/>
              <w:keepLines w:val="0"/>
              <w:suppressLineNumbers w:val="0"/>
              <w:spacing w:beforeAutospacing="0" w:afterAutospacing="0"/>
              <w:ind w:left="0" w:right="0"/>
              <w:rPr>
                <w:rFonts w:hint="default"/>
              </w:rPr>
            </w:pPr>
            <w:r>
              <w:rPr>
                <w:rFonts w:hint="eastAsia"/>
              </w:rPr>
              <w:t>2500</w:t>
            </w:r>
          </w:p>
        </w:tc>
        <w:tc>
          <w:tcPr>
            <w:tcW w:w="493" w:type="pct"/>
            <w:noWrap w:val="0"/>
            <w:vAlign w:val="center"/>
          </w:tcPr>
          <w:p>
            <w:pPr>
              <w:pStyle w:val="28"/>
              <w:keepNext w:val="0"/>
              <w:keepLines w:val="0"/>
              <w:suppressLineNumbers w:val="0"/>
              <w:spacing w:beforeAutospacing="0" w:afterAutospacing="0"/>
              <w:ind w:left="0" w:right="0"/>
              <w:rPr>
                <w:rFonts w:hint="eastAsia"/>
              </w:rPr>
            </w:pPr>
            <w:r>
              <w:rPr>
                <w:rFonts w:hint="eastAsia"/>
              </w:rPr>
              <w:t>雅鲁藏布江</w:t>
            </w:r>
          </w:p>
        </w:tc>
        <w:tc>
          <w:tcPr>
            <w:tcW w:w="879" w:type="pct"/>
            <w:noWrap w:val="0"/>
            <w:vAlign w:val="center"/>
          </w:tcPr>
          <w:p>
            <w:pPr>
              <w:pStyle w:val="28"/>
              <w:keepNext w:val="0"/>
              <w:keepLines w:val="0"/>
              <w:suppressLineNumbers w:val="0"/>
              <w:spacing w:beforeAutospacing="0" w:afterAutospacing="0"/>
              <w:ind w:left="0" w:right="0"/>
              <w:rPr>
                <w:rFonts w:hint="default"/>
              </w:rPr>
            </w:pPr>
            <w:r>
              <w:rPr>
                <w:rFonts w:hint="eastAsia"/>
              </w:rPr>
              <w:t>林芝市净源水务集团有限责任公司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noWrap w:val="0"/>
            <w:vAlign w:val="center"/>
          </w:tcPr>
          <w:p>
            <w:pPr>
              <w:pStyle w:val="28"/>
              <w:keepNext w:val="0"/>
              <w:keepLines w:val="0"/>
              <w:suppressLineNumbers w:val="0"/>
              <w:spacing w:beforeAutospacing="0" w:afterAutospacing="0"/>
              <w:ind w:left="0" w:right="0"/>
              <w:rPr>
                <w:rFonts w:hint="default"/>
              </w:rPr>
            </w:pPr>
            <w:r>
              <w:rPr>
                <w:rFonts w:hint="eastAsia"/>
              </w:rPr>
              <w:t>8</w:t>
            </w:r>
          </w:p>
        </w:tc>
        <w:tc>
          <w:tcPr>
            <w:tcW w:w="923" w:type="pct"/>
            <w:noWrap w:val="0"/>
            <w:vAlign w:val="center"/>
          </w:tcPr>
          <w:p>
            <w:pPr>
              <w:pStyle w:val="28"/>
              <w:keepNext w:val="0"/>
              <w:keepLines w:val="0"/>
              <w:suppressLineNumbers w:val="0"/>
              <w:spacing w:beforeAutospacing="0" w:afterAutospacing="0"/>
              <w:ind w:left="0" w:right="0"/>
              <w:rPr>
                <w:rFonts w:hint="eastAsia"/>
              </w:rPr>
            </w:pPr>
            <w:r>
              <w:rPr>
                <w:rFonts w:hint="eastAsia"/>
              </w:rPr>
              <w:t>察隅县县城污水处理厂</w:t>
            </w:r>
          </w:p>
        </w:tc>
        <w:tc>
          <w:tcPr>
            <w:tcW w:w="746" w:type="pct"/>
            <w:noWrap w:val="0"/>
            <w:vAlign w:val="center"/>
          </w:tcPr>
          <w:p>
            <w:pPr>
              <w:pStyle w:val="28"/>
              <w:keepNext w:val="0"/>
              <w:keepLines w:val="0"/>
              <w:suppressLineNumbers w:val="0"/>
              <w:spacing w:beforeAutospacing="0" w:afterAutospacing="0"/>
              <w:ind w:left="0" w:right="0"/>
              <w:rPr>
                <w:rFonts w:hint="eastAsia"/>
              </w:rPr>
            </w:pPr>
            <w:r>
              <w:rPr>
                <w:rFonts w:hint="eastAsia"/>
              </w:rPr>
              <w:t>西藏自治区林芝市察隅县竹瓦根镇</w:t>
            </w:r>
          </w:p>
        </w:tc>
        <w:tc>
          <w:tcPr>
            <w:tcW w:w="470" w:type="pct"/>
            <w:noWrap w:val="0"/>
            <w:vAlign w:val="center"/>
          </w:tcPr>
          <w:p>
            <w:pPr>
              <w:pStyle w:val="28"/>
              <w:keepNext w:val="0"/>
              <w:keepLines w:val="0"/>
              <w:suppressLineNumbers w:val="0"/>
              <w:spacing w:beforeAutospacing="0" w:afterAutospacing="0"/>
              <w:ind w:left="0" w:right="0"/>
              <w:rPr>
                <w:rFonts w:hint="eastAsia"/>
              </w:rPr>
            </w:pPr>
            <w:r>
              <w:rPr>
                <w:rFonts w:hint="eastAsia"/>
              </w:rPr>
              <w:t>一级B标</w:t>
            </w:r>
          </w:p>
        </w:tc>
        <w:tc>
          <w:tcPr>
            <w:tcW w:w="672" w:type="pct"/>
            <w:noWrap w:val="0"/>
            <w:vAlign w:val="center"/>
          </w:tcPr>
          <w:p>
            <w:pPr>
              <w:pStyle w:val="28"/>
              <w:keepNext w:val="0"/>
              <w:keepLines w:val="0"/>
              <w:suppressLineNumbers w:val="0"/>
              <w:spacing w:beforeAutospacing="0" w:afterAutospacing="0"/>
              <w:ind w:left="0" w:right="0"/>
              <w:rPr>
                <w:rFonts w:hint="default"/>
              </w:rPr>
            </w:pPr>
            <w:r>
              <w:rPr>
                <w:rFonts w:hint="default"/>
              </w:rPr>
              <w:t>活性污泥法</w:t>
            </w:r>
          </w:p>
        </w:tc>
        <w:tc>
          <w:tcPr>
            <w:tcW w:w="521" w:type="pct"/>
            <w:noWrap w:val="0"/>
            <w:vAlign w:val="center"/>
          </w:tcPr>
          <w:p>
            <w:pPr>
              <w:pStyle w:val="28"/>
              <w:keepNext w:val="0"/>
              <w:keepLines w:val="0"/>
              <w:suppressLineNumbers w:val="0"/>
              <w:spacing w:beforeAutospacing="0" w:afterAutospacing="0"/>
              <w:ind w:left="0" w:right="0"/>
              <w:rPr>
                <w:rFonts w:hint="default"/>
              </w:rPr>
            </w:pPr>
            <w:r>
              <w:rPr>
                <w:rFonts w:hint="eastAsia"/>
              </w:rPr>
              <w:t>3000</w:t>
            </w:r>
          </w:p>
        </w:tc>
        <w:tc>
          <w:tcPr>
            <w:tcW w:w="493" w:type="pct"/>
            <w:noWrap w:val="0"/>
            <w:vAlign w:val="center"/>
          </w:tcPr>
          <w:p>
            <w:pPr>
              <w:pStyle w:val="28"/>
              <w:keepNext w:val="0"/>
              <w:keepLines w:val="0"/>
              <w:suppressLineNumbers w:val="0"/>
              <w:spacing w:beforeAutospacing="0" w:afterAutospacing="0"/>
              <w:ind w:left="0" w:right="0"/>
              <w:rPr>
                <w:rFonts w:hint="eastAsia"/>
              </w:rPr>
            </w:pPr>
            <w:r>
              <w:rPr>
                <w:rFonts w:hint="default"/>
              </w:rPr>
              <w:t>桑曲河</w:t>
            </w:r>
          </w:p>
        </w:tc>
        <w:tc>
          <w:tcPr>
            <w:tcW w:w="879" w:type="pct"/>
            <w:noWrap w:val="0"/>
            <w:vAlign w:val="center"/>
          </w:tcPr>
          <w:p>
            <w:pPr>
              <w:pStyle w:val="28"/>
              <w:keepNext w:val="0"/>
              <w:keepLines w:val="0"/>
              <w:suppressLineNumbers w:val="0"/>
              <w:spacing w:beforeAutospacing="0" w:afterAutospacing="0"/>
              <w:ind w:left="0" w:right="0"/>
              <w:rPr>
                <w:rFonts w:hint="default"/>
              </w:rPr>
            </w:pPr>
            <w:r>
              <w:rPr>
                <w:rFonts w:hint="eastAsia"/>
              </w:rPr>
              <w:t>察隅县住房和城乡建设局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noWrap w:val="0"/>
            <w:vAlign w:val="center"/>
          </w:tcPr>
          <w:p>
            <w:pPr>
              <w:pStyle w:val="28"/>
              <w:keepNext w:val="0"/>
              <w:keepLines w:val="0"/>
              <w:suppressLineNumbers w:val="0"/>
              <w:spacing w:beforeAutospacing="0" w:afterAutospacing="0"/>
              <w:ind w:left="0" w:right="0"/>
              <w:rPr>
                <w:rFonts w:hint="default"/>
              </w:rPr>
            </w:pPr>
            <w:r>
              <w:rPr>
                <w:rFonts w:hint="eastAsia"/>
              </w:rPr>
              <w:t>9</w:t>
            </w:r>
          </w:p>
        </w:tc>
        <w:tc>
          <w:tcPr>
            <w:tcW w:w="923" w:type="pct"/>
            <w:noWrap w:val="0"/>
            <w:vAlign w:val="center"/>
          </w:tcPr>
          <w:p>
            <w:pPr>
              <w:pStyle w:val="28"/>
              <w:keepNext w:val="0"/>
              <w:keepLines w:val="0"/>
              <w:suppressLineNumbers w:val="0"/>
              <w:spacing w:beforeAutospacing="0" w:afterAutospacing="0"/>
              <w:ind w:left="0" w:right="0"/>
              <w:rPr>
                <w:rFonts w:hint="eastAsia"/>
              </w:rPr>
            </w:pPr>
            <w:r>
              <w:rPr>
                <w:rFonts w:hint="eastAsia"/>
              </w:rPr>
              <w:t>鲁朗污水处理厂</w:t>
            </w:r>
          </w:p>
        </w:tc>
        <w:tc>
          <w:tcPr>
            <w:tcW w:w="746" w:type="pct"/>
            <w:noWrap w:val="0"/>
            <w:vAlign w:val="center"/>
          </w:tcPr>
          <w:p>
            <w:pPr>
              <w:pStyle w:val="28"/>
              <w:keepNext w:val="0"/>
              <w:keepLines w:val="0"/>
              <w:suppressLineNumbers w:val="0"/>
              <w:spacing w:beforeAutospacing="0" w:afterAutospacing="0"/>
              <w:ind w:left="0" w:right="0"/>
              <w:rPr>
                <w:rFonts w:hint="eastAsia"/>
              </w:rPr>
            </w:pPr>
            <w:r>
              <w:rPr>
                <w:rFonts w:hint="eastAsia"/>
              </w:rPr>
              <w:t>鲁朗国际旅游小镇规划人工湖水坝下游约500米处</w:t>
            </w:r>
          </w:p>
        </w:tc>
        <w:tc>
          <w:tcPr>
            <w:tcW w:w="470" w:type="pct"/>
            <w:noWrap w:val="0"/>
            <w:vAlign w:val="center"/>
          </w:tcPr>
          <w:p>
            <w:pPr>
              <w:pStyle w:val="28"/>
              <w:keepNext w:val="0"/>
              <w:keepLines w:val="0"/>
              <w:suppressLineNumbers w:val="0"/>
              <w:spacing w:beforeAutospacing="0" w:afterAutospacing="0"/>
              <w:ind w:left="0" w:right="0"/>
              <w:rPr>
                <w:rFonts w:hint="eastAsia"/>
              </w:rPr>
            </w:pPr>
            <w:r>
              <w:rPr>
                <w:rFonts w:hint="eastAsia"/>
              </w:rPr>
              <w:t>一级A标</w:t>
            </w:r>
          </w:p>
        </w:tc>
        <w:tc>
          <w:tcPr>
            <w:tcW w:w="672" w:type="pct"/>
            <w:noWrap w:val="0"/>
            <w:vAlign w:val="center"/>
          </w:tcPr>
          <w:p>
            <w:pPr>
              <w:pStyle w:val="28"/>
              <w:keepNext w:val="0"/>
              <w:keepLines w:val="0"/>
              <w:suppressLineNumbers w:val="0"/>
              <w:spacing w:beforeAutospacing="0" w:afterAutospacing="0"/>
              <w:ind w:left="0" w:right="0"/>
              <w:rPr>
                <w:rFonts w:hint="default"/>
              </w:rPr>
            </w:pPr>
            <w:r>
              <w:rPr>
                <w:rFonts w:hint="default"/>
              </w:rPr>
              <w:t>活性污泥法</w:t>
            </w:r>
          </w:p>
        </w:tc>
        <w:tc>
          <w:tcPr>
            <w:tcW w:w="521" w:type="pct"/>
            <w:noWrap w:val="0"/>
            <w:vAlign w:val="center"/>
          </w:tcPr>
          <w:p>
            <w:pPr>
              <w:pStyle w:val="28"/>
              <w:keepNext w:val="0"/>
              <w:keepLines w:val="0"/>
              <w:suppressLineNumbers w:val="0"/>
              <w:spacing w:beforeAutospacing="0" w:afterAutospacing="0"/>
              <w:ind w:left="0" w:right="0"/>
              <w:rPr>
                <w:rFonts w:hint="default"/>
              </w:rPr>
            </w:pPr>
            <w:r>
              <w:rPr>
                <w:rFonts w:hint="eastAsia"/>
              </w:rPr>
              <w:t>900</w:t>
            </w:r>
          </w:p>
        </w:tc>
        <w:tc>
          <w:tcPr>
            <w:tcW w:w="493" w:type="pct"/>
            <w:noWrap w:val="0"/>
            <w:vAlign w:val="center"/>
          </w:tcPr>
          <w:p>
            <w:pPr>
              <w:pStyle w:val="28"/>
              <w:keepNext w:val="0"/>
              <w:keepLines w:val="0"/>
              <w:suppressLineNumbers w:val="0"/>
              <w:spacing w:beforeAutospacing="0" w:afterAutospacing="0"/>
              <w:ind w:left="0" w:right="0"/>
              <w:rPr>
                <w:rFonts w:hint="eastAsia"/>
              </w:rPr>
            </w:pPr>
            <w:r>
              <w:rPr>
                <w:rFonts w:hint="default"/>
              </w:rPr>
              <w:t>鲁朗河</w:t>
            </w:r>
          </w:p>
        </w:tc>
        <w:tc>
          <w:tcPr>
            <w:tcW w:w="879" w:type="pct"/>
            <w:noWrap w:val="0"/>
            <w:vAlign w:val="center"/>
          </w:tcPr>
          <w:p>
            <w:pPr>
              <w:pStyle w:val="28"/>
              <w:keepNext w:val="0"/>
              <w:keepLines w:val="0"/>
              <w:suppressLineNumbers w:val="0"/>
              <w:spacing w:beforeAutospacing="0" w:afterAutospacing="0"/>
              <w:ind w:left="0" w:right="0"/>
              <w:rPr>
                <w:rFonts w:hint="default"/>
              </w:rPr>
            </w:pPr>
            <w:r>
              <w:rPr>
                <w:rFonts w:hint="eastAsia"/>
              </w:rPr>
              <w:t>西藏国策环保科技股份有限公司</w:t>
            </w:r>
          </w:p>
        </w:tc>
      </w:tr>
    </w:tbl>
    <w:p>
      <w:pPr>
        <w:pStyle w:val="6"/>
        <w:ind w:firstLine="482"/>
        <w:rPr>
          <w:rFonts w:hint="eastAsia"/>
          <w:b/>
          <w:bCs/>
        </w:rPr>
      </w:pPr>
    </w:p>
    <w:p>
      <w:pPr>
        <w:pStyle w:val="6"/>
        <w:ind w:firstLine="482"/>
        <w:rPr>
          <w:rFonts w:hint="eastAsia"/>
          <w:b/>
          <w:bCs/>
        </w:rPr>
      </w:pPr>
    </w:p>
    <w:p>
      <w:pPr>
        <w:pStyle w:val="6"/>
        <w:ind w:firstLine="482"/>
        <w:rPr>
          <w:b/>
          <w:bCs/>
        </w:rPr>
      </w:pPr>
      <w:r>
        <w:rPr>
          <w:rFonts w:hint="eastAsia"/>
          <w:b/>
          <w:bCs/>
        </w:rPr>
        <w:t>2、林芝市城镇生活垃圾处理设施</w:t>
      </w:r>
    </w:p>
    <w:p>
      <w:pPr>
        <w:pStyle w:val="6"/>
        <w:ind w:firstLine="480"/>
      </w:pPr>
      <w:r>
        <w:rPr>
          <w:rFonts w:hint="eastAsia"/>
        </w:rPr>
        <w:t>林芝市生活垃圾处理设施情况见表3.5-5。</w:t>
      </w:r>
    </w:p>
    <w:p>
      <w:pPr>
        <w:pStyle w:val="27"/>
      </w:pPr>
      <w:r>
        <w:rPr>
          <w:rFonts w:hint="eastAsia"/>
        </w:rPr>
        <w:t>表3.5-5  林芝市生活垃圾处理设施情况表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900"/>
        <w:gridCol w:w="5167"/>
        <w:gridCol w:w="1885"/>
        <w:gridCol w:w="188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center"/>
          </w:tcPr>
          <w:p>
            <w:pPr>
              <w:pStyle w:val="28"/>
              <w:keepNext w:val="0"/>
              <w:keepLines w:val="0"/>
              <w:suppressLineNumbers w:val="0"/>
              <w:spacing w:beforeAutospacing="0" w:afterAutospacing="0"/>
              <w:ind w:left="0" w:right="0"/>
              <w:rPr>
                <w:rFonts w:hint="default"/>
              </w:rPr>
            </w:pPr>
            <w:r>
              <w:rPr>
                <w:rFonts w:hint="eastAsia"/>
              </w:rPr>
              <w:t>序号</w:t>
            </w:r>
          </w:p>
        </w:tc>
        <w:tc>
          <w:tcPr>
            <w:tcW w:w="1900" w:type="dxa"/>
            <w:noWrap w:val="0"/>
            <w:vAlign w:val="center"/>
          </w:tcPr>
          <w:p>
            <w:pPr>
              <w:pStyle w:val="28"/>
              <w:keepNext w:val="0"/>
              <w:keepLines w:val="0"/>
              <w:suppressLineNumbers w:val="0"/>
              <w:spacing w:beforeAutospacing="0" w:afterAutospacing="0"/>
              <w:ind w:left="0" w:right="0"/>
              <w:rPr>
                <w:rFonts w:hint="default"/>
              </w:rPr>
            </w:pPr>
            <w:r>
              <w:rPr>
                <w:rFonts w:hint="eastAsia"/>
              </w:rPr>
              <w:t>行政区域</w:t>
            </w:r>
          </w:p>
        </w:tc>
        <w:tc>
          <w:tcPr>
            <w:tcW w:w="5167" w:type="dxa"/>
            <w:noWrap w:val="0"/>
            <w:vAlign w:val="center"/>
          </w:tcPr>
          <w:p>
            <w:pPr>
              <w:pStyle w:val="28"/>
              <w:keepNext w:val="0"/>
              <w:keepLines w:val="0"/>
              <w:suppressLineNumbers w:val="0"/>
              <w:spacing w:beforeAutospacing="0" w:afterAutospacing="0"/>
              <w:ind w:left="0" w:right="0"/>
              <w:rPr>
                <w:rFonts w:hint="default"/>
              </w:rPr>
            </w:pPr>
            <w:r>
              <w:rPr>
                <w:rFonts w:hint="eastAsia"/>
              </w:rPr>
              <w:t>项目名称</w:t>
            </w:r>
          </w:p>
        </w:tc>
        <w:tc>
          <w:tcPr>
            <w:tcW w:w="1885" w:type="dxa"/>
            <w:noWrap w:val="0"/>
            <w:vAlign w:val="center"/>
          </w:tcPr>
          <w:p>
            <w:pPr>
              <w:pStyle w:val="28"/>
              <w:keepNext w:val="0"/>
              <w:keepLines w:val="0"/>
              <w:suppressLineNumbers w:val="0"/>
              <w:spacing w:beforeAutospacing="0" w:afterAutospacing="0"/>
              <w:ind w:left="0" w:right="0"/>
              <w:rPr>
                <w:rFonts w:hint="default"/>
              </w:rPr>
            </w:pPr>
            <w:r>
              <w:rPr>
                <w:rFonts w:hint="eastAsia"/>
              </w:rPr>
              <w:t>运行状态</w:t>
            </w:r>
          </w:p>
        </w:tc>
        <w:tc>
          <w:tcPr>
            <w:tcW w:w="1885" w:type="dxa"/>
            <w:noWrap w:val="0"/>
            <w:vAlign w:val="center"/>
          </w:tcPr>
          <w:p>
            <w:pPr>
              <w:pStyle w:val="28"/>
              <w:keepNext w:val="0"/>
              <w:keepLines w:val="0"/>
              <w:suppressLineNumbers w:val="0"/>
              <w:spacing w:beforeAutospacing="0" w:afterAutospacing="0"/>
              <w:ind w:left="0" w:right="0"/>
              <w:rPr>
                <w:rFonts w:hint="default"/>
              </w:rPr>
            </w:pPr>
            <w:r>
              <w:rPr>
                <w:rFonts w:hint="eastAsia"/>
              </w:rPr>
              <w:t>设计库容</w:t>
            </w:r>
          </w:p>
          <w:p>
            <w:pPr>
              <w:pStyle w:val="28"/>
              <w:keepNext w:val="0"/>
              <w:keepLines w:val="0"/>
              <w:suppressLineNumbers w:val="0"/>
              <w:spacing w:beforeAutospacing="0" w:afterAutospacing="0"/>
              <w:ind w:left="0" w:right="0"/>
              <w:rPr>
                <w:rFonts w:hint="default"/>
              </w:rPr>
            </w:pPr>
            <w:r>
              <w:rPr>
                <w:rFonts w:hint="eastAsia"/>
              </w:rPr>
              <w:t>（万m</w:t>
            </w:r>
            <w:r>
              <w:rPr>
                <w:rFonts w:hint="eastAsia"/>
                <w:vertAlign w:val="superscript"/>
              </w:rPr>
              <w:t>3</w:t>
            </w:r>
            <w:r>
              <w:rPr>
                <w:rFonts w:hint="eastAsia"/>
              </w:rPr>
              <w:t>）</w:t>
            </w:r>
          </w:p>
        </w:tc>
        <w:tc>
          <w:tcPr>
            <w:tcW w:w="2450" w:type="dxa"/>
            <w:noWrap w:val="0"/>
            <w:vAlign w:val="center"/>
          </w:tcPr>
          <w:p>
            <w:pPr>
              <w:pStyle w:val="28"/>
              <w:keepNext w:val="0"/>
              <w:keepLines w:val="0"/>
              <w:suppressLineNumbers w:val="0"/>
              <w:spacing w:beforeAutospacing="0" w:afterAutospacing="0"/>
              <w:ind w:left="0" w:right="0"/>
              <w:rPr>
                <w:rFonts w:hint="default"/>
              </w:rPr>
            </w:pPr>
            <w:r>
              <w:rPr>
                <w:rFonts w:hint="eastAsia"/>
              </w:rPr>
              <w:t>剩余库容</w:t>
            </w:r>
          </w:p>
          <w:p>
            <w:pPr>
              <w:pStyle w:val="28"/>
              <w:keepNext w:val="0"/>
              <w:keepLines w:val="0"/>
              <w:suppressLineNumbers w:val="0"/>
              <w:spacing w:beforeAutospacing="0" w:afterAutospacing="0"/>
              <w:ind w:left="0" w:right="0"/>
              <w:rPr>
                <w:rFonts w:hint="default"/>
              </w:rPr>
            </w:pPr>
            <w:r>
              <w:rPr>
                <w:rFonts w:hint="eastAsia"/>
              </w:rPr>
              <w:t>（万m</w:t>
            </w:r>
            <w:r>
              <w:rPr>
                <w:rFonts w:hint="eastAsia"/>
                <w:vertAlign w:val="superscript"/>
              </w:rPr>
              <w:t>3</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center"/>
          </w:tcPr>
          <w:p>
            <w:pPr>
              <w:pStyle w:val="28"/>
              <w:keepNext w:val="0"/>
              <w:keepLines w:val="0"/>
              <w:suppressLineNumbers w:val="0"/>
              <w:spacing w:beforeAutospacing="0" w:afterAutospacing="0"/>
              <w:ind w:left="0" w:right="0"/>
              <w:rPr>
                <w:rFonts w:hint="eastAsia"/>
              </w:rPr>
            </w:pPr>
            <w:r>
              <w:rPr>
                <w:rFonts w:hint="eastAsia"/>
              </w:rPr>
              <w:t>1</w:t>
            </w:r>
          </w:p>
        </w:tc>
        <w:tc>
          <w:tcPr>
            <w:tcW w:w="1900" w:type="dxa"/>
            <w:noWrap w:val="0"/>
            <w:vAlign w:val="center"/>
          </w:tcPr>
          <w:p>
            <w:pPr>
              <w:pStyle w:val="28"/>
              <w:keepNext w:val="0"/>
              <w:keepLines w:val="0"/>
              <w:suppressLineNumbers w:val="0"/>
              <w:spacing w:beforeAutospacing="0" w:afterAutospacing="0"/>
              <w:ind w:left="0" w:right="0"/>
              <w:rPr>
                <w:rFonts w:hint="eastAsia"/>
              </w:rPr>
            </w:pPr>
            <w:r>
              <w:rPr>
                <w:rFonts w:hint="eastAsia"/>
              </w:rPr>
              <w:t>波密县</w:t>
            </w:r>
          </w:p>
        </w:tc>
        <w:tc>
          <w:tcPr>
            <w:tcW w:w="5167" w:type="dxa"/>
            <w:noWrap w:val="0"/>
            <w:vAlign w:val="center"/>
          </w:tcPr>
          <w:p>
            <w:pPr>
              <w:pStyle w:val="28"/>
              <w:keepNext w:val="0"/>
              <w:keepLines w:val="0"/>
              <w:suppressLineNumbers w:val="0"/>
              <w:spacing w:beforeAutospacing="0" w:afterAutospacing="0"/>
              <w:ind w:left="0" w:right="0"/>
              <w:rPr>
                <w:rFonts w:hint="default"/>
              </w:rPr>
            </w:pPr>
            <w:r>
              <w:rPr>
                <w:rFonts w:hint="eastAsia"/>
              </w:rPr>
              <w:t>波密县生活垃圾处理场</w:t>
            </w:r>
          </w:p>
        </w:tc>
        <w:tc>
          <w:tcPr>
            <w:tcW w:w="1885" w:type="dxa"/>
            <w:noWrap w:val="0"/>
            <w:vAlign w:val="center"/>
          </w:tcPr>
          <w:p>
            <w:pPr>
              <w:pStyle w:val="28"/>
              <w:keepNext w:val="0"/>
              <w:keepLines w:val="0"/>
              <w:suppressLineNumbers w:val="0"/>
              <w:spacing w:beforeAutospacing="0" w:afterAutospacing="0"/>
              <w:ind w:left="0" w:right="0"/>
              <w:rPr>
                <w:rFonts w:hint="eastAsia"/>
              </w:rPr>
            </w:pPr>
            <w:r>
              <w:rPr>
                <w:rFonts w:hint="eastAsia"/>
              </w:rPr>
              <w:t>运行</w:t>
            </w:r>
          </w:p>
        </w:tc>
        <w:tc>
          <w:tcPr>
            <w:tcW w:w="1885"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lang w:val="en-US" w:eastAsia="zh-CN"/>
              </w:rPr>
              <w:t>21</w:t>
            </w:r>
          </w:p>
        </w:tc>
        <w:tc>
          <w:tcPr>
            <w:tcW w:w="2450" w:type="dxa"/>
            <w:noWrap w:val="0"/>
            <w:vAlign w:val="center"/>
          </w:tcPr>
          <w:p>
            <w:pPr>
              <w:pStyle w:val="28"/>
              <w:keepNext w:val="0"/>
              <w:keepLines w:val="0"/>
              <w:suppressLineNumbers w:val="0"/>
              <w:spacing w:beforeAutospacing="0" w:afterAutospacing="0"/>
              <w:ind w:left="0" w:right="0"/>
              <w:rPr>
                <w:rFonts w:hint="eastAsia" w:ascii="Times New Roman" w:hAnsi="Times New Roman" w:eastAsia="宋体" w:cs="Times New Roman"/>
                <w:color w:val="1A15F1"/>
                <w:kern w:val="2"/>
                <w:sz w:val="21"/>
                <w:szCs w:val="24"/>
                <w:lang w:val="en-US" w:eastAsia="zh-CN" w:bidi="ar-SA"/>
              </w:rPr>
            </w:pPr>
            <w:r>
              <w:rPr>
                <w:rFonts w:hint="eastAsia"/>
                <w:color w:val="1A15F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center"/>
          </w:tcPr>
          <w:p>
            <w:pPr>
              <w:pStyle w:val="28"/>
              <w:keepNext w:val="0"/>
              <w:keepLines w:val="0"/>
              <w:suppressLineNumbers w:val="0"/>
              <w:spacing w:beforeAutospacing="0" w:afterAutospacing="0"/>
              <w:ind w:left="0" w:right="0"/>
              <w:rPr>
                <w:rFonts w:hint="default"/>
              </w:rPr>
            </w:pPr>
            <w:r>
              <w:rPr>
                <w:rFonts w:hint="eastAsia"/>
              </w:rPr>
              <w:t>2</w:t>
            </w:r>
          </w:p>
        </w:tc>
        <w:tc>
          <w:tcPr>
            <w:tcW w:w="1900" w:type="dxa"/>
            <w:noWrap w:val="0"/>
            <w:vAlign w:val="center"/>
          </w:tcPr>
          <w:p>
            <w:pPr>
              <w:pStyle w:val="28"/>
              <w:keepNext w:val="0"/>
              <w:keepLines w:val="0"/>
              <w:suppressLineNumbers w:val="0"/>
              <w:spacing w:beforeAutospacing="0" w:afterAutospacing="0"/>
              <w:ind w:left="0" w:right="0"/>
              <w:rPr>
                <w:rFonts w:hint="eastAsia"/>
              </w:rPr>
            </w:pPr>
            <w:r>
              <w:rPr>
                <w:rFonts w:hint="eastAsia"/>
              </w:rPr>
              <w:t>波密县</w:t>
            </w:r>
          </w:p>
        </w:tc>
        <w:tc>
          <w:tcPr>
            <w:tcW w:w="5167" w:type="dxa"/>
            <w:noWrap w:val="0"/>
            <w:vAlign w:val="center"/>
          </w:tcPr>
          <w:p>
            <w:pPr>
              <w:pStyle w:val="28"/>
              <w:keepNext w:val="0"/>
              <w:keepLines w:val="0"/>
              <w:suppressLineNumbers w:val="0"/>
              <w:spacing w:beforeAutospacing="0" w:afterAutospacing="0"/>
              <w:ind w:left="0" w:right="0"/>
              <w:rPr>
                <w:rFonts w:hint="eastAsia"/>
              </w:rPr>
            </w:pPr>
            <w:r>
              <w:rPr>
                <w:rFonts w:hint="eastAsia"/>
              </w:rPr>
              <w:t>玉许乡生活垃圾填埋场</w:t>
            </w:r>
          </w:p>
        </w:tc>
        <w:tc>
          <w:tcPr>
            <w:tcW w:w="1885" w:type="dxa"/>
            <w:noWrap w:val="0"/>
            <w:vAlign w:val="center"/>
          </w:tcPr>
          <w:p>
            <w:pPr>
              <w:pStyle w:val="28"/>
              <w:keepNext w:val="0"/>
              <w:keepLines w:val="0"/>
              <w:suppressLineNumbers w:val="0"/>
              <w:spacing w:beforeAutospacing="0" w:afterAutospacing="0"/>
              <w:ind w:left="0" w:right="0"/>
              <w:rPr>
                <w:rFonts w:hint="eastAsia"/>
              </w:rPr>
            </w:pPr>
            <w:r>
              <w:rPr>
                <w:rFonts w:hint="eastAsia"/>
              </w:rPr>
              <w:t>运行</w:t>
            </w:r>
          </w:p>
        </w:tc>
        <w:tc>
          <w:tcPr>
            <w:tcW w:w="1885"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kern w:val="2"/>
                <w:sz w:val="21"/>
                <w:szCs w:val="24"/>
                <w:lang w:val="en-US" w:eastAsia="zh-CN" w:bidi="ar-SA"/>
              </w:rPr>
            </w:pPr>
            <w:r>
              <w:rPr>
                <w:rFonts w:hint="eastAsia"/>
              </w:rPr>
              <w:t>1.8632</w:t>
            </w:r>
          </w:p>
        </w:tc>
        <w:tc>
          <w:tcPr>
            <w:tcW w:w="2450"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kern w:val="2"/>
                <w:sz w:val="21"/>
                <w:szCs w:val="24"/>
                <w:lang w:val="en-US" w:eastAsia="zh-CN" w:bidi="ar-SA"/>
              </w:rPr>
            </w:pPr>
            <w:r>
              <w:rPr>
                <w:rFonts w:hint="eastAsia"/>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center"/>
          </w:tcPr>
          <w:p>
            <w:pPr>
              <w:pStyle w:val="28"/>
              <w:keepNext w:val="0"/>
              <w:keepLines w:val="0"/>
              <w:suppressLineNumbers w:val="0"/>
              <w:spacing w:beforeAutospacing="0" w:afterAutospacing="0"/>
              <w:ind w:left="0" w:right="0"/>
              <w:rPr>
                <w:rFonts w:hint="eastAsia"/>
              </w:rPr>
            </w:pPr>
            <w:r>
              <w:rPr>
                <w:rFonts w:hint="eastAsia"/>
              </w:rPr>
              <w:t>3</w:t>
            </w:r>
          </w:p>
        </w:tc>
        <w:tc>
          <w:tcPr>
            <w:tcW w:w="1900" w:type="dxa"/>
            <w:noWrap w:val="0"/>
            <w:vAlign w:val="center"/>
          </w:tcPr>
          <w:p>
            <w:pPr>
              <w:pStyle w:val="28"/>
              <w:keepNext w:val="0"/>
              <w:keepLines w:val="0"/>
              <w:suppressLineNumbers w:val="0"/>
              <w:spacing w:beforeAutospacing="0" w:afterAutospacing="0"/>
              <w:ind w:left="0" w:right="0"/>
              <w:rPr>
                <w:rFonts w:hint="eastAsia"/>
              </w:rPr>
            </w:pPr>
            <w:r>
              <w:rPr>
                <w:rFonts w:hint="eastAsia"/>
              </w:rPr>
              <w:t>墨脱县</w:t>
            </w:r>
          </w:p>
        </w:tc>
        <w:tc>
          <w:tcPr>
            <w:tcW w:w="5167" w:type="dxa"/>
            <w:noWrap w:val="0"/>
            <w:vAlign w:val="center"/>
          </w:tcPr>
          <w:p>
            <w:pPr>
              <w:pStyle w:val="28"/>
              <w:keepNext w:val="0"/>
              <w:keepLines w:val="0"/>
              <w:suppressLineNumbers w:val="0"/>
              <w:spacing w:beforeAutospacing="0" w:afterAutospacing="0"/>
              <w:ind w:left="0" w:right="0"/>
              <w:rPr>
                <w:rFonts w:hint="eastAsia"/>
              </w:rPr>
            </w:pPr>
            <w:r>
              <w:rPr>
                <w:rFonts w:hint="eastAsia"/>
              </w:rPr>
              <w:t>墨脱县住房和城乡建设局生活垃圾填埋场</w:t>
            </w:r>
          </w:p>
        </w:tc>
        <w:tc>
          <w:tcPr>
            <w:tcW w:w="1885" w:type="dxa"/>
            <w:noWrap w:val="0"/>
            <w:vAlign w:val="center"/>
          </w:tcPr>
          <w:p>
            <w:pPr>
              <w:pStyle w:val="28"/>
              <w:keepNext w:val="0"/>
              <w:keepLines w:val="0"/>
              <w:suppressLineNumbers w:val="0"/>
              <w:spacing w:beforeAutospacing="0" w:afterAutospacing="0"/>
              <w:ind w:left="0" w:right="0"/>
              <w:rPr>
                <w:rFonts w:hint="eastAsia"/>
              </w:rPr>
            </w:pPr>
            <w:r>
              <w:rPr>
                <w:rFonts w:hint="eastAsia"/>
              </w:rPr>
              <w:t>运行</w:t>
            </w:r>
          </w:p>
        </w:tc>
        <w:tc>
          <w:tcPr>
            <w:tcW w:w="1885"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5.95</w:t>
            </w:r>
          </w:p>
        </w:tc>
        <w:tc>
          <w:tcPr>
            <w:tcW w:w="2450"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center"/>
          </w:tcPr>
          <w:p>
            <w:pPr>
              <w:pStyle w:val="28"/>
              <w:keepNext w:val="0"/>
              <w:keepLines w:val="0"/>
              <w:suppressLineNumbers w:val="0"/>
              <w:spacing w:beforeAutospacing="0" w:afterAutospacing="0"/>
              <w:ind w:left="0" w:right="0"/>
              <w:rPr>
                <w:rFonts w:hint="eastAsia"/>
              </w:rPr>
            </w:pPr>
            <w:r>
              <w:rPr>
                <w:rFonts w:hint="eastAsia"/>
              </w:rPr>
              <w:t>4</w:t>
            </w:r>
          </w:p>
        </w:tc>
        <w:tc>
          <w:tcPr>
            <w:tcW w:w="1900" w:type="dxa"/>
            <w:noWrap w:val="0"/>
            <w:vAlign w:val="center"/>
          </w:tcPr>
          <w:p>
            <w:pPr>
              <w:pStyle w:val="28"/>
              <w:keepNext w:val="0"/>
              <w:keepLines w:val="0"/>
              <w:suppressLineNumbers w:val="0"/>
              <w:spacing w:beforeAutospacing="0" w:afterAutospacing="0"/>
              <w:ind w:left="0" w:right="0"/>
              <w:rPr>
                <w:rFonts w:hint="eastAsia"/>
              </w:rPr>
            </w:pPr>
            <w:r>
              <w:rPr>
                <w:rFonts w:hint="eastAsia"/>
              </w:rPr>
              <w:t>米林县</w:t>
            </w:r>
          </w:p>
        </w:tc>
        <w:tc>
          <w:tcPr>
            <w:tcW w:w="5167" w:type="dxa"/>
            <w:noWrap w:val="0"/>
            <w:vAlign w:val="center"/>
          </w:tcPr>
          <w:p>
            <w:pPr>
              <w:pStyle w:val="28"/>
              <w:keepNext w:val="0"/>
              <w:keepLines w:val="0"/>
              <w:suppressLineNumbers w:val="0"/>
              <w:spacing w:beforeAutospacing="0" w:afterAutospacing="0"/>
              <w:ind w:left="0" w:right="0"/>
              <w:rPr>
                <w:rFonts w:hint="eastAsia"/>
              </w:rPr>
            </w:pPr>
            <w:r>
              <w:rPr>
                <w:rFonts w:hint="eastAsia"/>
              </w:rPr>
              <w:t>西藏自治区米林县县城生活垃圾卫生填埋场</w:t>
            </w:r>
          </w:p>
        </w:tc>
        <w:tc>
          <w:tcPr>
            <w:tcW w:w="1885" w:type="dxa"/>
            <w:noWrap w:val="0"/>
            <w:vAlign w:val="center"/>
          </w:tcPr>
          <w:p>
            <w:pPr>
              <w:pStyle w:val="28"/>
              <w:keepNext w:val="0"/>
              <w:keepLines w:val="0"/>
              <w:suppressLineNumbers w:val="0"/>
              <w:spacing w:beforeAutospacing="0" w:afterAutospacing="0"/>
              <w:ind w:left="0" w:right="0"/>
              <w:rPr>
                <w:rFonts w:hint="eastAsia"/>
              </w:rPr>
            </w:pPr>
            <w:r>
              <w:rPr>
                <w:rFonts w:hint="eastAsia"/>
              </w:rPr>
              <w:t>运行</w:t>
            </w:r>
          </w:p>
        </w:tc>
        <w:tc>
          <w:tcPr>
            <w:tcW w:w="1885"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9.69</w:t>
            </w:r>
          </w:p>
        </w:tc>
        <w:tc>
          <w:tcPr>
            <w:tcW w:w="2450"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lang w:val="en-US" w:eastAsia="zh-CN"/>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887" w:type="dxa"/>
            <w:noWrap w:val="0"/>
            <w:vAlign w:val="center"/>
          </w:tcPr>
          <w:p>
            <w:pPr>
              <w:pStyle w:val="28"/>
              <w:keepNext w:val="0"/>
              <w:keepLines w:val="0"/>
              <w:suppressLineNumbers w:val="0"/>
              <w:spacing w:beforeAutospacing="0" w:afterAutospacing="0"/>
              <w:ind w:left="0" w:right="0"/>
              <w:rPr>
                <w:rFonts w:hint="eastAsia"/>
              </w:rPr>
            </w:pPr>
            <w:r>
              <w:rPr>
                <w:rFonts w:hint="eastAsia"/>
              </w:rPr>
              <w:t>5</w:t>
            </w:r>
          </w:p>
        </w:tc>
        <w:tc>
          <w:tcPr>
            <w:tcW w:w="1900" w:type="dxa"/>
            <w:noWrap w:val="0"/>
            <w:vAlign w:val="center"/>
          </w:tcPr>
          <w:p>
            <w:pPr>
              <w:pStyle w:val="28"/>
              <w:keepNext w:val="0"/>
              <w:keepLines w:val="0"/>
              <w:suppressLineNumbers w:val="0"/>
              <w:spacing w:beforeAutospacing="0" w:afterAutospacing="0"/>
              <w:ind w:left="0" w:right="0"/>
              <w:rPr>
                <w:rFonts w:hint="eastAsia"/>
              </w:rPr>
            </w:pPr>
            <w:r>
              <w:rPr>
                <w:rFonts w:hint="eastAsia"/>
              </w:rPr>
              <w:t>察隅县</w:t>
            </w:r>
          </w:p>
        </w:tc>
        <w:tc>
          <w:tcPr>
            <w:tcW w:w="5167" w:type="dxa"/>
            <w:noWrap w:val="0"/>
            <w:vAlign w:val="center"/>
          </w:tcPr>
          <w:p>
            <w:pPr>
              <w:pStyle w:val="28"/>
              <w:keepNext w:val="0"/>
              <w:keepLines w:val="0"/>
              <w:suppressLineNumbers w:val="0"/>
              <w:spacing w:beforeAutospacing="0" w:afterAutospacing="0"/>
              <w:ind w:left="0" w:right="0"/>
              <w:rPr>
                <w:rFonts w:hint="eastAsia"/>
              </w:rPr>
            </w:pPr>
            <w:r>
              <w:rPr>
                <w:rFonts w:hint="eastAsia"/>
              </w:rPr>
              <w:t>察隅县县城生活垃圾填埋场</w:t>
            </w:r>
          </w:p>
        </w:tc>
        <w:tc>
          <w:tcPr>
            <w:tcW w:w="1885" w:type="dxa"/>
            <w:noWrap w:val="0"/>
            <w:vAlign w:val="center"/>
          </w:tcPr>
          <w:p>
            <w:pPr>
              <w:pStyle w:val="28"/>
              <w:keepNext w:val="0"/>
              <w:keepLines w:val="0"/>
              <w:suppressLineNumbers w:val="0"/>
              <w:spacing w:beforeAutospacing="0" w:afterAutospacing="0"/>
              <w:ind w:left="0" w:right="0"/>
              <w:rPr>
                <w:rFonts w:hint="eastAsia"/>
              </w:rPr>
            </w:pPr>
            <w:r>
              <w:rPr>
                <w:rFonts w:hint="eastAsia"/>
              </w:rPr>
              <w:t>运行</w:t>
            </w:r>
          </w:p>
        </w:tc>
        <w:tc>
          <w:tcPr>
            <w:tcW w:w="1885"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kern w:val="2"/>
                <w:sz w:val="21"/>
                <w:szCs w:val="24"/>
                <w:lang w:val="en-US" w:eastAsia="zh-CN" w:bidi="ar-SA"/>
              </w:rPr>
            </w:pPr>
            <w:r>
              <w:rPr>
                <w:rFonts w:hint="eastAsia"/>
              </w:rPr>
              <w:t>6.8</w:t>
            </w:r>
          </w:p>
        </w:tc>
        <w:tc>
          <w:tcPr>
            <w:tcW w:w="2450"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kern w:val="2"/>
                <w:sz w:val="21"/>
                <w:szCs w:val="24"/>
                <w:lang w:val="en-US" w:eastAsia="zh-CN" w:bidi="ar-SA"/>
              </w:rPr>
            </w:pPr>
            <w:r>
              <w:rPr>
                <w:rFonts w:hint="eastAsia"/>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center"/>
          </w:tcPr>
          <w:p>
            <w:pPr>
              <w:pStyle w:val="28"/>
              <w:keepNext w:val="0"/>
              <w:keepLines w:val="0"/>
              <w:suppressLineNumbers w:val="0"/>
              <w:spacing w:beforeAutospacing="0" w:afterAutospacing="0"/>
              <w:ind w:left="0" w:right="0"/>
              <w:rPr>
                <w:rFonts w:hint="eastAsia"/>
              </w:rPr>
            </w:pPr>
            <w:r>
              <w:rPr>
                <w:rFonts w:hint="eastAsia"/>
              </w:rPr>
              <w:t>6</w:t>
            </w:r>
          </w:p>
        </w:tc>
        <w:tc>
          <w:tcPr>
            <w:tcW w:w="1900" w:type="dxa"/>
            <w:noWrap w:val="0"/>
            <w:vAlign w:val="center"/>
          </w:tcPr>
          <w:p>
            <w:pPr>
              <w:pStyle w:val="28"/>
              <w:keepNext w:val="0"/>
              <w:keepLines w:val="0"/>
              <w:suppressLineNumbers w:val="0"/>
              <w:spacing w:beforeAutospacing="0" w:afterAutospacing="0"/>
              <w:ind w:left="0" w:right="0"/>
              <w:rPr>
                <w:rFonts w:hint="eastAsia"/>
              </w:rPr>
            </w:pPr>
            <w:r>
              <w:rPr>
                <w:rFonts w:hint="eastAsia"/>
              </w:rPr>
              <w:t>工布江达县</w:t>
            </w:r>
          </w:p>
        </w:tc>
        <w:tc>
          <w:tcPr>
            <w:tcW w:w="5167" w:type="dxa"/>
            <w:noWrap w:val="0"/>
            <w:vAlign w:val="center"/>
          </w:tcPr>
          <w:p>
            <w:pPr>
              <w:pStyle w:val="28"/>
              <w:keepNext w:val="0"/>
              <w:keepLines w:val="0"/>
              <w:suppressLineNumbers w:val="0"/>
              <w:spacing w:beforeAutospacing="0" w:afterAutospacing="0"/>
              <w:ind w:left="0" w:right="0"/>
              <w:rPr>
                <w:rFonts w:hint="eastAsia"/>
              </w:rPr>
            </w:pPr>
            <w:r>
              <w:rPr>
                <w:rFonts w:hint="eastAsia"/>
              </w:rPr>
              <w:t>工布江达县县城生活垃圾卫生填埋场</w:t>
            </w:r>
          </w:p>
        </w:tc>
        <w:tc>
          <w:tcPr>
            <w:tcW w:w="1885" w:type="dxa"/>
            <w:noWrap w:val="0"/>
            <w:vAlign w:val="center"/>
          </w:tcPr>
          <w:p>
            <w:pPr>
              <w:pStyle w:val="28"/>
              <w:keepNext w:val="0"/>
              <w:keepLines w:val="0"/>
              <w:suppressLineNumbers w:val="0"/>
              <w:spacing w:beforeAutospacing="0" w:afterAutospacing="0"/>
              <w:ind w:left="0" w:right="0"/>
              <w:rPr>
                <w:rFonts w:hint="eastAsia"/>
              </w:rPr>
            </w:pPr>
            <w:r>
              <w:rPr>
                <w:rFonts w:hint="eastAsia"/>
              </w:rPr>
              <w:t>运行</w:t>
            </w:r>
          </w:p>
        </w:tc>
        <w:tc>
          <w:tcPr>
            <w:tcW w:w="1885"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9.5</w:t>
            </w:r>
            <w:r>
              <w:rPr>
                <w:rFonts w:hint="eastAsia"/>
                <w:color w:val="1A15F1"/>
                <w:lang w:val="en-US" w:eastAsia="zh-CN"/>
              </w:rPr>
              <w:t>7</w:t>
            </w:r>
          </w:p>
        </w:tc>
        <w:tc>
          <w:tcPr>
            <w:tcW w:w="2450"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lang w:val="en-US" w:eastAsia="zh-CN"/>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center"/>
          </w:tcPr>
          <w:p>
            <w:pPr>
              <w:pStyle w:val="28"/>
              <w:keepNext w:val="0"/>
              <w:keepLines w:val="0"/>
              <w:suppressLineNumbers w:val="0"/>
              <w:spacing w:beforeAutospacing="0" w:afterAutospacing="0"/>
              <w:ind w:left="0" w:right="0"/>
              <w:rPr>
                <w:rFonts w:hint="eastAsia"/>
              </w:rPr>
            </w:pPr>
            <w:r>
              <w:rPr>
                <w:rFonts w:hint="eastAsia"/>
              </w:rPr>
              <w:t>7</w:t>
            </w:r>
          </w:p>
        </w:tc>
        <w:tc>
          <w:tcPr>
            <w:tcW w:w="1900" w:type="dxa"/>
            <w:noWrap w:val="0"/>
            <w:vAlign w:val="center"/>
          </w:tcPr>
          <w:p>
            <w:pPr>
              <w:pStyle w:val="28"/>
              <w:keepNext w:val="0"/>
              <w:keepLines w:val="0"/>
              <w:suppressLineNumbers w:val="0"/>
              <w:spacing w:beforeAutospacing="0" w:afterAutospacing="0"/>
              <w:ind w:left="0" w:right="0"/>
              <w:rPr>
                <w:rFonts w:hint="eastAsia"/>
              </w:rPr>
            </w:pPr>
            <w:r>
              <w:rPr>
                <w:rFonts w:hint="eastAsia"/>
              </w:rPr>
              <w:t>巴宜区</w:t>
            </w:r>
          </w:p>
        </w:tc>
        <w:tc>
          <w:tcPr>
            <w:tcW w:w="5167" w:type="dxa"/>
            <w:noWrap w:val="0"/>
            <w:vAlign w:val="center"/>
          </w:tcPr>
          <w:p>
            <w:pPr>
              <w:pStyle w:val="28"/>
              <w:keepNext w:val="0"/>
              <w:keepLines w:val="0"/>
              <w:suppressLineNumbers w:val="0"/>
              <w:spacing w:beforeAutospacing="0" w:afterAutospacing="0"/>
              <w:ind w:left="0" w:right="0"/>
              <w:rPr>
                <w:rFonts w:hint="eastAsia"/>
              </w:rPr>
            </w:pPr>
            <w:r>
              <w:rPr>
                <w:rFonts w:hint="eastAsia"/>
              </w:rPr>
              <w:t>林芝市巴宜区生活垃圾填埋场</w:t>
            </w:r>
          </w:p>
        </w:tc>
        <w:tc>
          <w:tcPr>
            <w:tcW w:w="1885" w:type="dxa"/>
            <w:noWrap w:val="0"/>
            <w:vAlign w:val="center"/>
          </w:tcPr>
          <w:p>
            <w:pPr>
              <w:pStyle w:val="28"/>
              <w:keepNext w:val="0"/>
              <w:keepLines w:val="0"/>
              <w:suppressLineNumbers w:val="0"/>
              <w:spacing w:beforeAutospacing="0" w:afterAutospacing="0"/>
              <w:ind w:left="0" w:right="0"/>
              <w:rPr>
                <w:rFonts w:hint="eastAsia"/>
              </w:rPr>
            </w:pPr>
            <w:r>
              <w:rPr>
                <w:rFonts w:hint="eastAsia"/>
              </w:rPr>
              <w:t>运行</w:t>
            </w:r>
          </w:p>
        </w:tc>
        <w:tc>
          <w:tcPr>
            <w:tcW w:w="1885"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kern w:val="2"/>
                <w:sz w:val="21"/>
                <w:szCs w:val="24"/>
                <w:lang w:val="en-US" w:eastAsia="zh-CN" w:bidi="ar-SA"/>
              </w:rPr>
            </w:pPr>
            <w:r>
              <w:rPr>
                <w:rFonts w:hint="eastAsia"/>
              </w:rPr>
              <w:t>91.2</w:t>
            </w:r>
          </w:p>
        </w:tc>
        <w:tc>
          <w:tcPr>
            <w:tcW w:w="2450"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kern w:val="2"/>
                <w:sz w:val="21"/>
                <w:szCs w:val="24"/>
                <w:lang w:val="en-US" w:eastAsia="zh-CN" w:bidi="ar-SA"/>
              </w:rPr>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center"/>
          </w:tcPr>
          <w:p>
            <w:pPr>
              <w:pStyle w:val="28"/>
              <w:keepNext w:val="0"/>
              <w:keepLines w:val="0"/>
              <w:suppressLineNumbers w:val="0"/>
              <w:spacing w:beforeAutospacing="0" w:afterAutospacing="0"/>
              <w:ind w:left="0" w:right="0"/>
              <w:rPr>
                <w:rFonts w:hint="eastAsia"/>
              </w:rPr>
            </w:pPr>
            <w:r>
              <w:rPr>
                <w:rFonts w:hint="eastAsia"/>
              </w:rPr>
              <w:t>8</w:t>
            </w:r>
          </w:p>
        </w:tc>
        <w:tc>
          <w:tcPr>
            <w:tcW w:w="1900" w:type="dxa"/>
            <w:noWrap w:val="0"/>
            <w:vAlign w:val="center"/>
          </w:tcPr>
          <w:p>
            <w:pPr>
              <w:pStyle w:val="28"/>
              <w:keepNext w:val="0"/>
              <w:keepLines w:val="0"/>
              <w:suppressLineNumbers w:val="0"/>
              <w:spacing w:beforeAutospacing="0" w:afterAutospacing="0"/>
              <w:ind w:left="0" w:right="0"/>
              <w:rPr>
                <w:rFonts w:hint="eastAsia"/>
              </w:rPr>
            </w:pPr>
            <w:r>
              <w:rPr>
                <w:rFonts w:hint="eastAsia"/>
              </w:rPr>
              <w:t>工布江达县</w:t>
            </w:r>
          </w:p>
        </w:tc>
        <w:tc>
          <w:tcPr>
            <w:tcW w:w="5167" w:type="dxa"/>
            <w:noWrap w:val="0"/>
            <w:vAlign w:val="center"/>
          </w:tcPr>
          <w:p>
            <w:pPr>
              <w:pStyle w:val="28"/>
              <w:keepNext w:val="0"/>
              <w:keepLines w:val="0"/>
              <w:suppressLineNumbers w:val="0"/>
              <w:spacing w:beforeAutospacing="0" w:afterAutospacing="0"/>
              <w:ind w:left="0" w:right="0"/>
              <w:rPr>
                <w:rFonts w:hint="eastAsia"/>
              </w:rPr>
            </w:pPr>
            <w:r>
              <w:rPr>
                <w:rFonts w:hint="eastAsia"/>
              </w:rPr>
              <w:t>工布江达县巴河镇垃圾填埋场</w:t>
            </w:r>
          </w:p>
        </w:tc>
        <w:tc>
          <w:tcPr>
            <w:tcW w:w="1885" w:type="dxa"/>
            <w:noWrap w:val="0"/>
            <w:vAlign w:val="center"/>
          </w:tcPr>
          <w:p>
            <w:pPr>
              <w:pStyle w:val="28"/>
              <w:keepNext w:val="0"/>
              <w:keepLines w:val="0"/>
              <w:suppressLineNumbers w:val="0"/>
              <w:spacing w:beforeAutospacing="0" w:afterAutospacing="0"/>
              <w:ind w:left="0" w:right="0"/>
              <w:rPr>
                <w:rFonts w:hint="eastAsia"/>
              </w:rPr>
            </w:pPr>
            <w:r>
              <w:rPr>
                <w:rFonts w:hint="eastAsia"/>
              </w:rPr>
              <w:t>运行</w:t>
            </w:r>
          </w:p>
        </w:tc>
        <w:tc>
          <w:tcPr>
            <w:tcW w:w="1885"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kern w:val="2"/>
                <w:sz w:val="21"/>
                <w:szCs w:val="24"/>
                <w:lang w:val="en-US" w:eastAsia="zh-CN" w:bidi="ar-SA"/>
              </w:rPr>
            </w:pPr>
            <w:r>
              <w:rPr>
                <w:rFonts w:hint="eastAsia"/>
              </w:rPr>
              <w:t>1.39</w:t>
            </w:r>
          </w:p>
        </w:tc>
        <w:tc>
          <w:tcPr>
            <w:tcW w:w="2450"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kern w:val="2"/>
                <w:sz w:val="21"/>
                <w:szCs w:val="24"/>
                <w:lang w:val="en-US" w:eastAsia="zh-CN" w:bidi="ar-SA"/>
              </w:rPr>
            </w:pPr>
            <w:r>
              <w:rPr>
                <w:rFonts w:hint="eastAsi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center"/>
          </w:tcPr>
          <w:p>
            <w:pPr>
              <w:pStyle w:val="28"/>
              <w:keepNext w:val="0"/>
              <w:keepLines w:val="0"/>
              <w:suppressLineNumbers w:val="0"/>
              <w:spacing w:beforeAutospacing="0" w:afterAutospacing="0"/>
              <w:ind w:left="0" w:right="0"/>
              <w:rPr>
                <w:rFonts w:hint="eastAsia"/>
              </w:rPr>
            </w:pPr>
            <w:r>
              <w:rPr>
                <w:rFonts w:hint="eastAsia"/>
              </w:rPr>
              <w:t>9</w:t>
            </w:r>
          </w:p>
        </w:tc>
        <w:tc>
          <w:tcPr>
            <w:tcW w:w="1900" w:type="dxa"/>
            <w:noWrap w:val="0"/>
            <w:vAlign w:val="center"/>
          </w:tcPr>
          <w:p>
            <w:pPr>
              <w:pStyle w:val="28"/>
              <w:keepNext w:val="0"/>
              <w:keepLines w:val="0"/>
              <w:suppressLineNumbers w:val="0"/>
              <w:spacing w:beforeAutospacing="0" w:afterAutospacing="0"/>
              <w:ind w:left="0" w:right="0"/>
              <w:rPr>
                <w:rFonts w:hint="eastAsia"/>
              </w:rPr>
            </w:pPr>
            <w:r>
              <w:rPr>
                <w:rFonts w:hint="eastAsia"/>
              </w:rPr>
              <w:t>工布江达县</w:t>
            </w:r>
          </w:p>
        </w:tc>
        <w:tc>
          <w:tcPr>
            <w:tcW w:w="5167" w:type="dxa"/>
            <w:noWrap w:val="0"/>
            <w:vAlign w:val="center"/>
          </w:tcPr>
          <w:p>
            <w:pPr>
              <w:pStyle w:val="28"/>
              <w:keepNext w:val="0"/>
              <w:keepLines w:val="0"/>
              <w:suppressLineNumbers w:val="0"/>
              <w:spacing w:beforeAutospacing="0" w:afterAutospacing="0"/>
              <w:ind w:left="0" w:right="0"/>
              <w:rPr>
                <w:rFonts w:hint="eastAsia"/>
              </w:rPr>
            </w:pPr>
            <w:r>
              <w:rPr>
                <w:rFonts w:hint="eastAsia"/>
              </w:rPr>
              <w:t>工布江达县错高乡垃圾填埋场</w:t>
            </w:r>
          </w:p>
        </w:tc>
        <w:tc>
          <w:tcPr>
            <w:tcW w:w="1885" w:type="dxa"/>
            <w:noWrap w:val="0"/>
            <w:vAlign w:val="center"/>
          </w:tcPr>
          <w:p>
            <w:pPr>
              <w:pStyle w:val="28"/>
              <w:keepNext w:val="0"/>
              <w:keepLines w:val="0"/>
              <w:suppressLineNumbers w:val="0"/>
              <w:spacing w:beforeAutospacing="0" w:afterAutospacing="0"/>
              <w:ind w:left="0" w:right="0"/>
              <w:rPr>
                <w:rFonts w:hint="eastAsia"/>
              </w:rPr>
            </w:pPr>
            <w:r>
              <w:rPr>
                <w:rFonts w:hint="eastAsia"/>
              </w:rPr>
              <w:t>运行</w:t>
            </w:r>
          </w:p>
        </w:tc>
        <w:tc>
          <w:tcPr>
            <w:tcW w:w="1885"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kern w:val="2"/>
                <w:sz w:val="21"/>
                <w:szCs w:val="24"/>
                <w:lang w:val="en-US" w:eastAsia="zh-CN" w:bidi="ar-SA"/>
              </w:rPr>
            </w:pPr>
            <w:r>
              <w:rPr>
                <w:rFonts w:hint="eastAsia"/>
              </w:rPr>
              <w:t>0.865</w:t>
            </w:r>
          </w:p>
        </w:tc>
        <w:tc>
          <w:tcPr>
            <w:tcW w:w="2450"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kern w:val="2"/>
                <w:sz w:val="21"/>
                <w:szCs w:val="24"/>
                <w:lang w:val="en-US" w:eastAsia="zh-CN" w:bidi="ar-SA"/>
              </w:rPr>
            </w:pPr>
            <w:r>
              <w:rPr>
                <w:rFonts w:hint="eastAsi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center"/>
          </w:tcPr>
          <w:p>
            <w:pPr>
              <w:pStyle w:val="28"/>
              <w:keepNext w:val="0"/>
              <w:keepLines w:val="0"/>
              <w:suppressLineNumbers w:val="0"/>
              <w:spacing w:beforeAutospacing="0" w:afterAutospacing="0"/>
              <w:ind w:left="0" w:right="0"/>
              <w:rPr>
                <w:rFonts w:hint="default"/>
              </w:rPr>
            </w:pPr>
            <w:r>
              <w:rPr>
                <w:rFonts w:hint="eastAsia"/>
              </w:rPr>
              <w:t>10</w:t>
            </w:r>
          </w:p>
        </w:tc>
        <w:tc>
          <w:tcPr>
            <w:tcW w:w="1900" w:type="dxa"/>
            <w:noWrap w:val="0"/>
            <w:vAlign w:val="center"/>
          </w:tcPr>
          <w:p>
            <w:pPr>
              <w:pStyle w:val="28"/>
              <w:keepNext w:val="0"/>
              <w:keepLines w:val="0"/>
              <w:suppressLineNumbers w:val="0"/>
              <w:spacing w:beforeAutospacing="0" w:afterAutospacing="0"/>
              <w:ind w:left="0" w:right="0"/>
              <w:rPr>
                <w:rFonts w:hint="eastAsia"/>
              </w:rPr>
            </w:pPr>
            <w:r>
              <w:rPr>
                <w:rFonts w:hint="eastAsia"/>
              </w:rPr>
              <w:t>朗县</w:t>
            </w:r>
          </w:p>
        </w:tc>
        <w:tc>
          <w:tcPr>
            <w:tcW w:w="5167" w:type="dxa"/>
            <w:noWrap w:val="0"/>
            <w:vAlign w:val="center"/>
          </w:tcPr>
          <w:p>
            <w:pPr>
              <w:pStyle w:val="28"/>
              <w:keepNext w:val="0"/>
              <w:keepLines w:val="0"/>
              <w:suppressLineNumbers w:val="0"/>
              <w:spacing w:beforeAutospacing="0" w:afterAutospacing="0"/>
              <w:ind w:left="0" w:right="0"/>
              <w:rPr>
                <w:rFonts w:hint="eastAsia"/>
              </w:rPr>
            </w:pPr>
            <w:r>
              <w:rPr>
                <w:rFonts w:hint="eastAsia"/>
              </w:rPr>
              <w:t>林芝市朗县生活垃圾卫生填埋场</w:t>
            </w:r>
          </w:p>
        </w:tc>
        <w:tc>
          <w:tcPr>
            <w:tcW w:w="1885" w:type="dxa"/>
            <w:noWrap w:val="0"/>
            <w:vAlign w:val="center"/>
          </w:tcPr>
          <w:p>
            <w:pPr>
              <w:pStyle w:val="28"/>
              <w:keepNext w:val="0"/>
              <w:keepLines w:val="0"/>
              <w:suppressLineNumbers w:val="0"/>
              <w:spacing w:beforeAutospacing="0" w:afterAutospacing="0"/>
              <w:ind w:left="0" w:right="0"/>
              <w:rPr>
                <w:rFonts w:hint="eastAsia"/>
              </w:rPr>
            </w:pPr>
            <w:r>
              <w:rPr>
                <w:rFonts w:hint="eastAsia"/>
              </w:rPr>
              <w:t>运行</w:t>
            </w:r>
          </w:p>
        </w:tc>
        <w:tc>
          <w:tcPr>
            <w:tcW w:w="1885"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kern w:val="2"/>
                <w:sz w:val="21"/>
                <w:szCs w:val="24"/>
                <w:lang w:val="en-US" w:eastAsia="zh-CN" w:bidi="ar-SA"/>
              </w:rPr>
            </w:pPr>
            <w:r>
              <w:rPr>
                <w:rFonts w:hint="eastAsia"/>
              </w:rPr>
              <w:t>6.67</w:t>
            </w:r>
          </w:p>
        </w:tc>
        <w:tc>
          <w:tcPr>
            <w:tcW w:w="2450"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kern w:val="2"/>
                <w:sz w:val="21"/>
                <w:szCs w:val="24"/>
                <w:lang w:val="en-US" w:eastAsia="zh-CN" w:bidi="ar-SA"/>
              </w:rPr>
            </w:pPr>
            <w:r>
              <w:rPr>
                <w:rFonts w:hint="eastAsia"/>
                <w:lang w:val="en-US" w:eastAsia="zh-CN"/>
              </w:rPr>
              <w:t>4.9</w:t>
            </w:r>
          </w:p>
        </w:tc>
      </w:tr>
    </w:tbl>
    <w:p>
      <w:pPr>
        <w:spacing w:line="360" w:lineRule="auto"/>
        <w:ind w:firstLine="560" w:firstLineChars="200"/>
        <w:rPr>
          <w:color w:val="FF0000"/>
          <w:sz w:val="28"/>
          <w:szCs w:val="28"/>
        </w:rPr>
      </w:pPr>
    </w:p>
    <w:p>
      <w:pPr>
        <w:pStyle w:val="4"/>
        <w:spacing w:before="156" w:after="156"/>
        <w:rPr>
          <w:rFonts w:ascii="黑体" w:hAnsi="黑体"/>
          <w:color w:val="FF0000"/>
          <w:sz w:val="30"/>
          <w:szCs w:val="30"/>
        </w:rPr>
        <w:sectPr>
          <w:pgSz w:w="16838" w:h="11906" w:orient="landscape"/>
          <w:pgMar w:top="1797" w:right="1440" w:bottom="1797" w:left="1440" w:header="851" w:footer="992" w:gutter="0"/>
          <w:pgNumType w:fmt="decimal"/>
          <w:cols w:space="720" w:num="1"/>
          <w:docGrid w:linePitch="312" w:charSpace="0"/>
        </w:sectPr>
      </w:pPr>
    </w:p>
    <w:p>
      <w:pPr>
        <w:pStyle w:val="5"/>
      </w:pPr>
      <w:bookmarkStart w:id="114" w:name="_Toc11886"/>
      <w:bookmarkStart w:id="115" w:name="_Toc1542"/>
      <w:r>
        <w:rPr>
          <w:rFonts w:hint="eastAsia"/>
        </w:rPr>
        <w:t>3.5.3开发过程中存在问题</w:t>
      </w:r>
      <w:bookmarkEnd w:id="114"/>
      <w:bookmarkEnd w:id="115"/>
    </w:p>
    <w:p>
      <w:pPr>
        <w:pStyle w:val="6"/>
        <w:numPr>
          <w:ilvl w:val="0"/>
          <w:numId w:val="9"/>
        </w:numPr>
        <w:ind w:firstLine="482"/>
        <w:rPr>
          <w:rFonts w:hint="eastAsia"/>
          <w:b/>
          <w:bCs/>
        </w:rPr>
      </w:pPr>
      <w:r>
        <w:rPr>
          <w:rFonts w:hint="eastAsia"/>
          <w:b/>
          <w:bCs/>
        </w:rPr>
        <w:t>发展中存在的问题</w:t>
      </w:r>
    </w:p>
    <w:p>
      <w:pPr>
        <w:pStyle w:val="6"/>
        <w:ind w:firstLine="480"/>
        <w:rPr>
          <w:rFonts w:hint="eastAsia"/>
          <w:color w:val="2A26F7"/>
        </w:rPr>
      </w:pPr>
      <w:r>
        <w:rPr>
          <w:rFonts w:hint="eastAsia"/>
          <w:color w:val="2A26F7"/>
        </w:rPr>
        <w:t>（1）林芝市旅游资源丰富、品级高，在旅游业的发展上有着得天独厚的优势，但是开发深度不够，旅游产品体系单一，以高原自然山水观光、藏民族文化观光体验等形式为主，旅游产品面临着形式趋同、产品同质、差异性和特色性不足的弊端。</w:t>
      </w:r>
    </w:p>
    <w:p>
      <w:pPr>
        <w:pStyle w:val="6"/>
        <w:ind w:firstLine="480"/>
        <w:rPr>
          <w:rFonts w:hint="eastAsia"/>
          <w:color w:val="2A26F7"/>
        </w:rPr>
      </w:pPr>
      <w:r>
        <w:rPr>
          <w:rFonts w:hint="eastAsia"/>
          <w:color w:val="2A26F7"/>
        </w:rPr>
        <w:t>（2）林芝市内有5个自然保护区、3个国家级森林公园、3个国家级湿地公园、1个国家级地质公园，旅游资源丰富、文化深厚、旅游市场潜力巨大，但另一方面也面临生态环境脆弱的问题，旅游开发将给当地自然环境和原生社区带来一定的影响和冲击。</w:t>
      </w:r>
    </w:p>
    <w:p>
      <w:pPr>
        <w:pStyle w:val="6"/>
        <w:ind w:firstLine="480"/>
        <w:rPr>
          <w:rFonts w:hint="eastAsia"/>
          <w:color w:val="2A26F7"/>
        </w:rPr>
      </w:pPr>
      <w:r>
        <w:rPr>
          <w:rFonts w:hint="eastAsia"/>
          <w:color w:val="2A26F7"/>
        </w:rPr>
        <w:t>（3）内部交通有待改善，景区之间及景区内部的公共交通系统尚未建立，景区回头路、断头路较多。</w:t>
      </w:r>
    </w:p>
    <w:p>
      <w:pPr>
        <w:pStyle w:val="6"/>
        <w:ind w:firstLine="480"/>
        <w:rPr>
          <w:rFonts w:hint="eastAsia"/>
          <w:color w:val="2A26F7"/>
        </w:rPr>
      </w:pPr>
      <w:r>
        <w:rPr>
          <w:rFonts w:hint="eastAsia"/>
          <w:color w:val="2A26F7"/>
        </w:rPr>
        <w:t>（4）基础设施建设不到位，林芝市生活污水集中收集率仅为16.3%。污水处理系统倘若不尽完善，可能对水环境造成一定污染风险。</w:t>
      </w:r>
    </w:p>
    <w:p>
      <w:pPr>
        <w:pStyle w:val="6"/>
        <w:ind w:firstLine="482"/>
        <w:rPr>
          <w:b/>
          <w:bCs/>
        </w:rPr>
      </w:pPr>
      <w:r>
        <w:rPr>
          <w:rFonts w:hint="eastAsia"/>
          <w:b/>
          <w:bCs/>
        </w:rPr>
        <w:t>2、旅游发展中景区存在的问题及采取的保护措施</w:t>
      </w:r>
    </w:p>
    <w:p>
      <w:pPr>
        <w:pStyle w:val="6"/>
        <w:ind w:firstLine="480"/>
        <w:rPr>
          <w:rFonts w:hint="eastAsia"/>
          <w:color w:val="2A26F7"/>
        </w:rPr>
      </w:pPr>
      <w:r>
        <w:rPr>
          <w:rFonts w:hint="eastAsia"/>
          <w:color w:val="2A26F7"/>
        </w:rPr>
        <w:t>本次规划涉及的世界柏树王园林景区位于林芝市巴宜区巴吉村，距八一镇5公里，该景区依托的资源为林芝巴结巨柏自然保护区。</w:t>
      </w:r>
    </w:p>
    <w:p>
      <w:pPr>
        <w:pStyle w:val="6"/>
        <w:ind w:firstLine="480"/>
        <w:rPr>
          <w:rFonts w:hint="eastAsia"/>
          <w:color w:val="2A26F7"/>
        </w:rPr>
      </w:pPr>
      <w:r>
        <w:rPr>
          <w:rFonts w:hint="eastAsia"/>
          <w:color w:val="2A26F7"/>
        </w:rPr>
        <w:t>林芝巴结巨柏自然保护区建立于1985年是自治区级自然保护区，位于林芝县八一镇巴结村，占地仅8hm</w:t>
      </w:r>
      <w:r>
        <w:rPr>
          <w:rFonts w:hint="eastAsia"/>
          <w:color w:val="2A26F7"/>
          <w:vertAlign w:val="superscript"/>
        </w:rPr>
        <w:t>2</w:t>
      </w:r>
      <w:r>
        <w:rPr>
          <w:rFonts w:hint="eastAsia"/>
          <w:color w:val="2A26F7"/>
        </w:rPr>
        <w:t>，是西藏境内最小的保护区，属干特有植物保护区。由于该保护区未进行分区，根据《中华人民共和国自然保护区管理条例》中的“第三十条、自然保护区的内部未分区的，依照核心区和缓冲区的规定管理”。该保护区应全部划为核心区和缓冲区的要求进行管理。根据调查，大柏树世界柏树王园林景区成立于2004年，在此之前当地政府已于1990年在林芝巴结巨柏自然保护区内建设了简易的栈道和观景平台，后陆续对现有的设施进行升级改造。2014年巴宜区政府对景区游客中心、停车场、广场等外围接待设施进行了新建，该项目不涉及林芝巴结巨柏自然保护区。根据叠图分析，景区内的栈道和观景平台全部位于缓冲区内，并作为景区的核心区对游客进行开放，这与《中华人民共和国自然保护区条例》中“第十八条：自然保护区可以分为核心区、缓冲区和实验区。自然保护区内保存完好的天然状态的生态系统以及珍稀、濒危动植物的集中分布地，应当划为核心区，禁止任何单位和个人进入；除依照本条例第二十七条的规定经批准外，也不允许进入从事科学研究活动；核心区外围可以划定一定面积的缓冲区，只准进入从事科学研究观测活动。第二十八条：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要求相冲突。</w:t>
      </w:r>
    </w:p>
    <w:p>
      <w:pPr>
        <w:pStyle w:val="6"/>
        <w:ind w:firstLine="480"/>
        <w:rPr>
          <w:rFonts w:hint="eastAsia"/>
          <w:color w:val="2A26F7"/>
          <w:highlight w:val="yellow"/>
        </w:rPr>
      </w:pPr>
      <w:r>
        <w:rPr>
          <w:rFonts w:hint="eastAsia"/>
          <w:color w:val="2A26F7"/>
        </w:rPr>
        <w:t>本次环评建议当地政府应按照《中华人民共和国自然保护区条例》的要求应禁止游客进入核心区及缓冲区范围内。同时建议当地政府对该保护区的功能区划和范围进行适当调整，在满足《中华人民共和国自然保护区条例》中的相关要后，才能对游客开放。如若不能调整，本次环评考虑到拆除现有的景观平台及栈道所带来的景观、生态影响较大，建议保留其景观设施，对涉及自然保护区缓冲区的观景平台及栈道进行功能调整，用于从事经自然保护区管理机构批准的非破坏性的科学研究、教学实习和标本采集活动等行为。</w:t>
      </w:r>
    </w:p>
    <w:p>
      <w:pPr>
        <w:pStyle w:val="6"/>
        <w:ind w:firstLine="482"/>
        <w:rPr>
          <w:rFonts w:hint="eastAsia"/>
          <w:b/>
          <w:bCs/>
          <w:color w:val="2A26F7"/>
        </w:rPr>
      </w:pPr>
      <w:r>
        <w:rPr>
          <w:rFonts w:hint="eastAsia"/>
          <w:b/>
          <w:bCs/>
          <w:color w:val="2A26F7"/>
        </w:rPr>
        <w:t>3、环保督查发现的问题及其整改情况</w:t>
      </w:r>
    </w:p>
    <w:p>
      <w:pPr>
        <w:pStyle w:val="6"/>
        <w:ind w:firstLine="480"/>
        <w:rPr>
          <w:rFonts w:hint="eastAsia"/>
          <w:color w:val="2A26F7"/>
        </w:rPr>
      </w:pPr>
      <w:r>
        <w:rPr>
          <w:rFonts w:hint="eastAsia"/>
          <w:color w:val="2A26F7"/>
        </w:rPr>
        <w:t>岗云杉林景区位于波密县古乡巴卡村和扎木镇岗村间，属雅鲁藏布大峡谷国家级自然保护区的一部分，占地面积4600公顷，森林覆盖率达61%以上，盛产世界罕见的云杉、冷杉、高山松等，于2005年被中国国家地理评为“中国最美原始森林”之一。</w:t>
      </w:r>
    </w:p>
    <w:p>
      <w:pPr>
        <w:pStyle w:val="6"/>
        <w:ind w:firstLine="480"/>
        <w:rPr>
          <w:rFonts w:hint="eastAsia"/>
          <w:color w:val="2A26F7"/>
        </w:rPr>
      </w:pPr>
      <w:r>
        <w:rPr>
          <w:rFonts w:hint="eastAsia"/>
          <w:color w:val="2A26F7"/>
        </w:rPr>
        <w:t>根据中央第四生态环境保护督察组向西藏自治区反馈督察情况，波密县岗云杉林景区部分观景台、栈道涉及西藏雅鲁藏布大峡谷国家自然保护区核心区，与《中华人民共和国自然保护区条例》“第十八条：自然保护区可以分为核心区、缓冲区和实验区。自然保护区内保存完好的天然状态的生态系统以及珍稀、濒危动植物的集中分布地，应当划为核心区，禁止任何单位和个人进入；第二十八条：禁止在自然保护区的缓冲区开展旅游和生产经营活动。”相冲突。</w:t>
      </w:r>
    </w:p>
    <w:p>
      <w:pPr>
        <w:pStyle w:val="6"/>
        <w:ind w:firstLine="480"/>
        <w:rPr>
          <w:color w:val="2A26F7"/>
        </w:rPr>
      </w:pPr>
      <w:r>
        <w:rPr>
          <w:rFonts w:hint="eastAsia"/>
          <w:color w:val="2A26F7"/>
        </w:rPr>
        <w:t>目前，西藏自治区人民政府、林芝市政府、波密县政府正在督促其进行整改，现已将位于核心区、缓冲区的景区全部关闭，禁止游客进入。考虑到拆除现有的景观平台及栈道所带来的景观、生态影响较大，本次环评建议保留现有位于核心区、缓冲区的全部设施，并将其功能调整为用于从事经自然保护区管理机构批准的非破坏性的科学研究、教学实习和标本采集活动的平台及通道。</w:t>
      </w:r>
    </w:p>
    <w:p>
      <w:pPr>
        <w:pStyle w:val="4"/>
        <w:rPr>
          <w:rFonts w:hint="eastAsia"/>
          <w:color w:val="00B050"/>
        </w:rPr>
      </w:pPr>
      <w:bookmarkStart w:id="116" w:name="_Toc5955"/>
      <w:r>
        <w:rPr>
          <w:rFonts w:hint="eastAsia"/>
          <w:color w:val="00B050"/>
        </w:rPr>
        <w:t>3.6环保督查发现的问题及其整改情况</w:t>
      </w:r>
      <w:bookmarkEnd w:id="116"/>
    </w:p>
    <w:p>
      <w:pPr>
        <w:pStyle w:val="6"/>
        <w:ind w:firstLine="480"/>
        <w:rPr>
          <w:rFonts w:hint="default"/>
          <w:color w:val="00B050"/>
          <w:lang w:val="en-US" w:eastAsia="zh-CN"/>
        </w:rPr>
      </w:pPr>
      <w:r>
        <w:rPr>
          <w:rFonts w:hint="eastAsia"/>
          <w:color w:val="00B050"/>
          <w:lang w:val="en-US" w:eastAsia="zh-CN"/>
        </w:rPr>
        <w:t>在规划实施的2018年～2022年期间，中央环保督察“回头看”交办问题件中与</w:t>
      </w:r>
      <w:r>
        <w:rPr>
          <w:rFonts w:hint="eastAsia"/>
          <w:b w:val="0"/>
          <w:bCs w:val="0"/>
          <w:color w:val="1A15F1"/>
          <w:lang w:val="en-US" w:eastAsia="zh-CN"/>
        </w:rPr>
        <w:t>“林芝市全域旅游发展规划（2018~2025年）”</w:t>
      </w:r>
      <w:r>
        <w:rPr>
          <w:rFonts w:hint="eastAsia"/>
          <w:color w:val="00B050"/>
          <w:lang w:val="en-US" w:eastAsia="zh-CN"/>
        </w:rPr>
        <w:t>相关的环保问题共计4件。</w:t>
      </w:r>
    </w:p>
    <w:p>
      <w:pPr>
        <w:pStyle w:val="6"/>
        <w:bidi w:val="0"/>
        <w:rPr>
          <w:rFonts w:hint="default"/>
          <w:b/>
          <w:bCs/>
          <w:color w:val="00B050"/>
          <w:lang w:val="en-US" w:eastAsia="zh-CN"/>
        </w:rPr>
      </w:pPr>
      <w:r>
        <w:rPr>
          <w:rFonts w:hint="eastAsia"/>
          <w:b/>
          <w:bCs/>
          <w:color w:val="00B050"/>
          <w:lang w:val="en-US" w:eastAsia="zh-CN"/>
        </w:rPr>
        <w:t>1、中央第六环境保护督察组反馈问题及整改情况</w:t>
      </w:r>
    </w:p>
    <w:p>
      <w:pPr>
        <w:pStyle w:val="6"/>
        <w:ind w:firstLine="480"/>
        <w:rPr>
          <w:rFonts w:hint="eastAsia"/>
          <w:color w:val="00B050"/>
          <w:lang w:val="en-US" w:eastAsia="zh-CN"/>
        </w:rPr>
      </w:pPr>
      <w:r>
        <w:rPr>
          <w:rFonts w:hint="eastAsia"/>
          <w:color w:val="00B050"/>
          <w:lang w:val="en-US" w:eastAsia="zh-CN"/>
        </w:rPr>
        <w:t>2017年8月15日至9月15日中央第六环境保护督察组对西藏自治区开展了环境保护督察，督察组于2018年1月3日向西藏自治区党委自治区政府进行了反馈。</w:t>
      </w:r>
    </w:p>
    <w:p>
      <w:pPr>
        <w:pStyle w:val="6"/>
        <w:ind w:firstLine="480"/>
        <w:rPr>
          <w:rFonts w:hint="eastAsia"/>
          <w:b/>
          <w:bCs/>
          <w:color w:val="00B050"/>
          <w:lang w:val="en-US" w:eastAsia="zh-CN"/>
        </w:rPr>
      </w:pPr>
      <w:r>
        <w:rPr>
          <w:rFonts w:hint="eastAsia"/>
          <w:b/>
          <w:bCs/>
          <w:color w:val="00B050"/>
          <w:lang w:val="en-US" w:eastAsia="zh-CN"/>
        </w:rPr>
        <w:t>（1）自治区旅游发展与生态保护协调不够的问题。</w:t>
      </w:r>
    </w:p>
    <w:p>
      <w:pPr>
        <w:pStyle w:val="6"/>
        <w:ind w:firstLine="480"/>
        <w:rPr>
          <w:rFonts w:hint="default"/>
          <w:color w:val="00B050"/>
          <w:lang w:val="en-US" w:eastAsia="zh-CN"/>
        </w:rPr>
      </w:pPr>
      <w:r>
        <w:rPr>
          <w:rFonts w:hint="eastAsia"/>
          <w:b/>
          <w:bCs/>
          <w:color w:val="00B050"/>
          <w:lang w:val="en-US" w:eastAsia="zh-CN"/>
        </w:rPr>
        <w:t>督察反馈：</w:t>
      </w:r>
      <w:r>
        <w:rPr>
          <w:rFonts w:hint="eastAsia"/>
          <w:color w:val="00B050"/>
          <w:lang w:val="en-US" w:eastAsia="zh-CN"/>
        </w:rPr>
        <w:t>自治区旅游发展与生态保护协调不够的问题。</w:t>
      </w:r>
    </w:p>
    <w:p>
      <w:pPr>
        <w:pStyle w:val="6"/>
        <w:ind w:firstLine="480"/>
        <w:rPr>
          <w:rFonts w:hint="eastAsia"/>
          <w:color w:val="00B050"/>
          <w:lang w:val="en-US" w:eastAsia="zh-CN"/>
        </w:rPr>
      </w:pPr>
      <w:r>
        <w:rPr>
          <w:rFonts w:hint="eastAsia"/>
          <w:b/>
          <w:bCs/>
          <w:color w:val="00B050"/>
          <w:lang w:val="en-US" w:eastAsia="zh-CN"/>
        </w:rPr>
        <w:t>整改情况：</w:t>
      </w:r>
      <w:r>
        <w:rPr>
          <w:rFonts w:hint="eastAsia"/>
          <w:color w:val="00B050"/>
          <w:lang w:val="en-US" w:eastAsia="zh-CN"/>
        </w:rPr>
        <w:t>林芝市旅游发展局同时同步展自查工作。在自查过程中发现《林芝市全域旅游发展规划（2018~2025年）》还未开展环境影响评价工作。对此情况，林芝市旅游发展局已委托我单位云南湖柏环保科技有限公司）开展《林芝市全域旅游发展规划（2018~2025年）》环境影响评价工作。</w:t>
      </w:r>
    </w:p>
    <w:p>
      <w:pPr>
        <w:pStyle w:val="6"/>
        <w:rPr>
          <w:rFonts w:hint="default"/>
          <w:b/>
          <w:bCs/>
          <w:color w:val="00B050"/>
          <w:lang w:val="en-US" w:eastAsia="zh-CN"/>
        </w:rPr>
      </w:pPr>
      <w:r>
        <w:rPr>
          <w:rFonts w:hint="eastAsia"/>
          <w:b/>
          <w:bCs/>
          <w:color w:val="00B050"/>
          <w:lang w:val="en-US" w:eastAsia="zh-CN"/>
        </w:rPr>
        <w:t>（2）林芝市部分旅游景区污水处理不够到位的问题</w:t>
      </w:r>
    </w:p>
    <w:p>
      <w:pPr>
        <w:pStyle w:val="6"/>
        <w:ind w:firstLine="480"/>
        <w:rPr>
          <w:rFonts w:hint="eastAsia"/>
          <w:color w:val="00B050"/>
          <w:lang w:val="en-US" w:eastAsia="zh-CN"/>
        </w:rPr>
      </w:pPr>
      <w:r>
        <w:rPr>
          <w:rFonts w:hint="eastAsia"/>
          <w:b/>
          <w:bCs/>
          <w:color w:val="00B050"/>
          <w:lang w:val="en-US" w:eastAsia="zh-CN"/>
        </w:rPr>
        <w:t>督察反馈：</w:t>
      </w:r>
      <w:r>
        <w:rPr>
          <w:rFonts w:hint="eastAsia"/>
          <w:color w:val="00B050"/>
          <w:lang w:val="en-US" w:eastAsia="zh-CN"/>
        </w:rPr>
        <w:t>林芝市有关景区污水处理设施建设不到位，污水处理不够规范。</w:t>
      </w:r>
    </w:p>
    <w:p>
      <w:pPr>
        <w:pStyle w:val="6"/>
        <w:ind w:firstLine="480"/>
        <w:rPr>
          <w:rFonts w:hint="default"/>
          <w:color w:val="00B050"/>
          <w:lang w:val="en-US" w:eastAsia="zh-CN"/>
        </w:rPr>
      </w:pPr>
      <w:r>
        <w:rPr>
          <w:rFonts w:hint="default"/>
          <w:b/>
          <w:bCs/>
          <w:color w:val="00B050"/>
          <w:lang w:val="en-US" w:eastAsia="zh-CN"/>
        </w:rPr>
        <w:t>整改时限：</w:t>
      </w:r>
      <w:r>
        <w:rPr>
          <w:rFonts w:hint="default"/>
          <w:color w:val="00B050"/>
          <w:lang w:val="en-US" w:eastAsia="zh-CN"/>
        </w:rPr>
        <w:t>2018年9月30日前完成，长期坚持。</w:t>
      </w:r>
    </w:p>
    <w:p>
      <w:pPr>
        <w:pStyle w:val="6"/>
        <w:ind w:firstLine="480"/>
        <w:rPr>
          <w:rFonts w:hint="eastAsia"/>
          <w:color w:val="00B050"/>
          <w:lang w:val="en-US" w:eastAsia="zh-CN"/>
        </w:rPr>
      </w:pPr>
      <w:r>
        <w:rPr>
          <w:rFonts w:hint="eastAsia"/>
          <w:b/>
          <w:bCs/>
          <w:color w:val="00B050"/>
          <w:lang w:val="en-US" w:eastAsia="zh-CN"/>
        </w:rPr>
        <w:t>整改进度：</w:t>
      </w:r>
      <w:r>
        <w:rPr>
          <w:rFonts w:hint="eastAsia"/>
          <w:color w:val="00B050"/>
          <w:lang w:val="en-US" w:eastAsia="zh-CN"/>
        </w:rPr>
        <w:t>①林芝市制定景区保障污水处理设施正常运行方案，认真组织实施，限期完成整改工作，实现污水处理设施正常运行，杜绝污水直排现象（2018年9月30日）。②林芝市政府责成相关职能部门加大监管力度，每季度开展一次水质监测，从严查处污水直排违法行为，确保景区污水达标排放（长期坚持）</w:t>
      </w:r>
    </w:p>
    <w:p>
      <w:pPr>
        <w:pStyle w:val="6"/>
        <w:ind w:firstLine="480"/>
        <w:rPr>
          <w:rFonts w:hint="eastAsia"/>
          <w:color w:val="00B050"/>
          <w:lang w:val="en-US" w:eastAsia="zh-CN"/>
        </w:rPr>
      </w:pPr>
      <w:r>
        <w:rPr>
          <w:rFonts w:hint="eastAsia"/>
          <w:b/>
          <w:bCs/>
          <w:color w:val="00B050"/>
          <w:lang w:val="en-US" w:eastAsia="zh-CN"/>
        </w:rPr>
        <w:t>整改进展：</w:t>
      </w:r>
      <w:r>
        <w:rPr>
          <w:rFonts w:hint="eastAsia"/>
          <w:color w:val="00B050"/>
          <w:lang w:val="en-US" w:eastAsia="zh-CN"/>
        </w:rPr>
        <w:t>林芝市制定景区保障污水处理设施正常运行方案，召开专题会议协调推进景区污水处理不规范问题整改工作，全面加强各景区污水处理设施规范建设、运营管理情况的监督，确保景区污水规范处置。林芝市按季度开展重要景区污水处理设施出水水质监测工作，加大行业监管执法力度，形成监管执法高压态势。目前，有关景区污水处理设施出水水质达到污水排放标准。</w:t>
      </w:r>
    </w:p>
    <w:p>
      <w:pPr>
        <w:pStyle w:val="6"/>
        <w:numPr>
          <w:ilvl w:val="0"/>
          <w:numId w:val="9"/>
        </w:numPr>
        <w:ind w:left="0" w:leftChars="0" w:firstLine="482" w:firstLineChars="200"/>
        <w:rPr>
          <w:rFonts w:hint="eastAsia"/>
          <w:b/>
          <w:bCs/>
          <w:color w:val="00B050"/>
        </w:rPr>
      </w:pPr>
      <w:r>
        <w:rPr>
          <w:rFonts w:hint="eastAsia"/>
          <w:b/>
          <w:bCs/>
          <w:color w:val="00B050"/>
        </w:rPr>
        <w:t>中央第四生态环境保护督察组</w:t>
      </w:r>
      <w:r>
        <w:rPr>
          <w:rFonts w:hint="eastAsia"/>
          <w:b/>
          <w:bCs/>
          <w:color w:val="00B050"/>
          <w:lang w:val="en-US" w:eastAsia="zh-CN"/>
        </w:rPr>
        <w:t>反馈问题及整改情况</w:t>
      </w:r>
    </w:p>
    <w:p>
      <w:pPr>
        <w:pStyle w:val="6"/>
        <w:ind w:firstLine="480"/>
        <w:rPr>
          <w:rFonts w:hint="eastAsia"/>
          <w:color w:val="00B050"/>
        </w:rPr>
      </w:pPr>
      <w:r>
        <w:rPr>
          <w:rFonts w:hint="eastAsia"/>
          <w:color w:val="00B050"/>
        </w:rPr>
        <w:t>2022年中央第四生态环境保护督察组对西藏自治区开展了第二轮生态环境保护督察。督察</w:t>
      </w:r>
      <w:r>
        <w:rPr>
          <w:rFonts w:hint="eastAsia"/>
          <w:color w:val="00B050"/>
          <w:lang w:val="en-US" w:eastAsia="zh-CN"/>
        </w:rPr>
        <w:t>组</w:t>
      </w:r>
      <w:r>
        <w:rPr>
          <w:rFonts w:hint="eastAsia"/>
          <w:color w:val="00B050"/>
        </w:rPr>
        <w:t>于2022年6月1日向自治区党委、政府进行</w:t>
      </w:r>
      <w:r>
        <w:rPr>
          <w:rFonts w:hint="eastAsia"/>
          <w:color w:val="00B050"/>
          <w:lang w:val="en-US" w:eastAsia="zh-CN"/>
        </w:rPr>
        <w:t>了</w:t>
      </w:r>
      <w:r>
        <w:rPr>
          <w:rFonts w:hint="eastAsia"/>
          <w:color w:val="00B050"/>
        </w:rPr>
        <w:t>反馈。</w:t>
      </w:r>
    </w:p>
    <w:p>
      <w:pPr>
        <w:pStyle w:val="6"/>
        <w:ind w:firstLine="480"/>
        <w:rPr>
          <w:rFonts w:hint="default" w:eastAsia="宋体"/>
          <w:b/>
          <w:bCs/>
          <w:color w:val="00B050"/>
          <w:lang w:val="en-US" w:eastAsia="zh-CN"/>
        </w:rPr>
      </w:pPr>
      <w:r>
        <w:rPr>
          <w:rFonts w:hint="eastAsia"/>
          <w:b/>
          <w:bCs/>
          <w:color w:val="00B050"/>
          <w:lang w:eastAsia="zh-CN"/>
        </w:rPr>
        <w:t>（</w:t>
      </w:r>
      <w:r>
        <w:rPr>
          <w:rFonts w:hint="eastAsia"/>
          <w:b/>
          <w:bCs/>
          <w:color w:val="00B050"/>
          <w:lang w:val="en-US" w:eastAsia="zh-CN"/>
        </w:rPr>
        <w:t>1</w:t>
      </w:r>
      <w:r>
        <w:rPr>
          <w:rFonts w:hint="eastAsia"/>
          <w:b/>
          <w:bCs/>
          <w:color w:val="00B050"/>
          <w:lang w:eastAsia="zh-CN"/>
        </w:rPr>
        <w:t>）</w:t>
      </w:r>
      <w:r>
        <w:rPr>
          <w:rFonts w:hint="eastAsia"/>
          <w:b/>
          <w:bCs/>
          <w:color w:val="00B050"/>
          <w:lang w:val="en-US" w:eastAsia="zh-CN"/>
        </w:rPr>
        <w:t>自然生态保护领域问题较多</w:t>
      </w:r>
    </w:p>
    <w:p>
      <w:pPr>
        <w:pStyle w:val="6"/>
        <w:ind w:firstLine="480"/>
        <w:rPr>
          <w:rFonts w:hint="default"/>
          <w:color w:val="00B050"/>
          <w:lang w:val="en-US" w:eastAsia="zh-CN"/>
        </w:rPr>
      </w:pPr>
      <w:r>
        <w:rPr>
          <w:rFonts w:hint="eastAsia"/>
          <w:b/>
          <w:bCs/>
          <w:color w:val="00B050"/>
          <w:lang w:val="en-US" w:eastAsia="zh-CN"/>
        </w:rPr>
        <w:t>督查反馈：</w:t>
      </w:r>
      <w:r>
        <w:rPr>
          <w:rFonts w:hint="eastAsia"/>
          <w:color w:val="00B050"/>
          <w:lang w:val="en-US" w:eastAsia="zh-CN"/>
        </w:rPr>
        <w:t>林芝市岗云杉林景区在国家级自然保护区核心区内建设旅游设施。</w:t>
      </w:r>
    </w:p>
    <w:p>
      <w:pPr>
        <w:pStyle w:val="6"/>
        <w:ind w:firstLine="480"/>
        <w:rPr>
          <w:rFonts w:hint="eastAsia"/>
          <w:color w:val="00B050"/>
        </w:rPr>
      </w:pPr>
      <w:r>
        <w:rPr>
          <w:rFonts w:hint="eastAsia"/>
          <w:b/>
          <w:bCs/>
          <w:color w:val="00B050"/>
          <w:lang w:val="en-US" w:eastAsia="zh-CN"/>
        </w:rPr>
        <w:t>整改情况：</w:t>
      </w:r>
      <w:r>
        <w:rPr>
          <w:rFonts w:hint="eastAsia"/>
          <w:color w:val="00B050"/>
        </w:rPr>
        <w:t>波密县岗云杉林景区部分观景台、栈道涉及西藏雅鲁藏布大峡谷国家自然保护区核心区，与《中华人民共和国自然保护区条例》“第十八条：自然保护区可以分为核心区、缓冲区和实验区。自然保护区内保存完好的天然状态的生态系统以及珍稀、濒危动植物的集中分布地，应当划为核心区，禁止任何单位和个人进入；第二十八条：禁止在自然保护区的缓冲区开展旅游和生产经营活动。”相冲突。</w:t>
      </w:r>
    </w:p>
    <w:p>
      <w:pPr>
        <w:pStyle w:val="6"/>
        <w:ind w:firstLine="480"/>
        <w:rPr>
          <w:rFonts w:hint="eastAsia"/>
          <w:color w:val="00B050"/>
          <w:lang w:eastAsia="zh-CN"/>
        </w:rPr>
      </w:pPr>
      <w:r>
        <w:rPr>
          <w:rFonts w:hint="eastAsia"/>
          <w:color w:val="00B050"/>
        </w:rPr>
        <w:t>目前，波密县岗云杉林景区已将位于核心区、缓冲区的景区全部关闭，禁止游客进入。西藏自治区人民政府、林芝市政府、波密县政府正在督促其进行整改，</w:t>
      </w:r>
      <w:r>
        <w:rPr>
          <w:rFonts w:hint="eastAsia"/>
          <w:color w:val="00B050"/>
          <w:lang w:val="en-US" w:eastAsia="zh-CN"/>
        </w:rPr>
        <w:t>正在对涉及禁止</w:t>
      </w:r>
      <w:r>
        <w:rPr>
          <w:rFonts w:hint="eastAsia"/>
          <w:color w:val="00B050"/>
        </w:rPr>
        <w:t>建设区域的旅游景区</w:t>
      </w:r>
      <w:r>
        <w:rPr>
          <w:rFonts w:hint="eastAsia"/>
          <w:color w:val="00B050"/>
          <w:lang w:val="en-US" w:eastAsia="zh-CN"/>
        </w:rPr>
        <w:t>及</w:t>
      </w:r>
      <w:r>
        <w:rPr>
          <w:rFonts w:hint="eastAsia"/>
          <w:color w:val="00B050"/>
        </w:rPr>
        <w:t>线路节点予以调整</w:t>
      </w:r>
      <w:r>
        <w:rPr>
          <w:rFonts w:hint="eastAsia"/>
          <w:color w:val="00B050"/>
          <w:lang w:eastAsia="zh-CN"/>
        </w:rPr>
        <w:t>。</w:t>
      </w:r>
    </w:p>
    <w:p>
      <w:pPr>
        <w:pStyle w:val="6"/>
        <w:ind w:firstLine="480"/>
        <w:rPr>
          <w:b/>
          <w:bCs/>
          <w:color w:val="00B050"/>
        </w:rPr>
      </w:pPr>
      <w:r>
        <w:rPr>
          <w:rFonts w:hint="eastAsia"/>
          <w:b/>
          <w:bCs/>
          <w:color w:val="00B050"/>
          <w:lang w:eastAsia="zh-CN"/>
        </w:rPr>
        <w:t>（</w:t>
      </w:r>
      <w:r>
        <w:rPr>
          <w:rFonts w:hint="eastAsia"/>
          <w:b/>
          <w:bCs/>
          <w:color w:val="00B050"/>
          <w:lang w:val="en-US" w:eastAsia="zh-CN"/>
        </w:rPr>
        <w:t>2</w:t>
      </w:r>
      <w:r>
        <w:rPr>
          <w:rFonts w:hint="eastAsia"/>
          <w:b/>
          <w:bCs/>
          <w:color w:val="00B050"/>
          <w:lang w:eastAsia="zh-CN"/>
        </w:rPr>
        <w:t>）</w:t>
      </w:r>
      <w:r>
        <w:rPr>
          <w:rFonts w:hint="eastAsia"/>
          <w:b/>
          <w:bCs/>
          <w:color w:val="00B050"/>
          <w:lang w:val="en-US" w:eastAsia="zh-CN"/>
        </w:rPr>
        <w:t>环境基础设施缺口较大</w:t>
      </w:r>
      <w:r>
        <w:rPr>
          <w:b/>
          <w:bCs/>
          <w:color w:val="00B050"/>
        </w:rPr>
        <w:t>的问题</w:t>
      </w:r>
    </w:p>
    <w:p>
      <w:pPr>
        <w:pStyle w:val="6"/>
        <w:ind w:firstLine="480"/>
        <w:rPr>
          <w:rFonts w:hint="eastAsia"/>
          <w:b w:val="0"/>
          <w:bCs w:val="0"/>
          <w:color w:val="00B050"/>
          <w:lang w:val="en-US" w:eastAsia="zh-CN"/>
        </w:rPr>
      </w:pPr>
      <w:r>
        <w:rPr>
          <w:rFonts w:hint="eastAsia"/>
          <w:b/>
          <w:bCs/>
          <w:color w:val="00B050"/>
          <w:lang w:val="en-US" w:eastAsia="zh-CN"/>
        </w:rPr>
        <w:t>督查反馈：</w:t>
      </w:r>
      <w:r>
        <w:rPr>
          <w:rFonts w:hint="eastAsia"/>
          <w:b w:val="0"/>
          <w:bCs w:val="0"/>
          <w:color w:val="00B050"/>
          <w:lang w:val="en-US" w:eastAsia="zh-CN"/>
        </w:rPr>
        <w:t>自治区7个市地所在城市生活污水集中收集率均低于40%，其中日喀则、昌都、林芝市分别仅为11.4%、16%、16.3%。林芝市巴宜区污水处理厂和河西污水处理厂因管网配套不完善，不能稳定运行。</w:t>
      </w:r>
    </w:p>
    <w:p>
      <w:pPr>
        <w:pStyle w:val="6"/>
        <w:ind w:firstLine="480"/>
        <w:rPr>
          <w:rFonts w:hint="eastAsia"/>
          <w:b w:val="0"/>
          <w:bCs w:val="0"/>
          <w:color w:val="00B050"/>
          <w:lang w:val="en-US" w:eastAsia="zh-CN"/>
        </w:rPr>
      </w:pPr>
      <w:r>
        <w:rPr>
          <w:rFonts w:hint="eastAsia"/>
          <w:b/>
          <w:bCs/>
          <w:color w:val="00B050"/>
          <w:lang w:val="en-US" w:eastAsia="zh-CN"/>
        </w:rPr>
        <w:t>整改情况：</w:t>
      </w:r>
      <w:r>
        <w:rPr>
          <w:rFonts w:hint="eastAsia"/>
          <w:b w:val="0"/>
          <w:bCs w:val="0"/>
          <w:color w:val="00B050"/>
          <w:lang w:val="en-US" w:eastAsia="zh-CN"/>
        </w:rPr>
        <w:t>西藏自治区人民政府、林芝市政府、巴宜区政府正在督促巴宜区污水处理厂和河西污水处理厂严格按照《林芝市城镇污水处理设施建设与运营管理办法》进行整改，深入排查污水处理厂的运行管理问题。</w:t>
      </w:r>
    </w:p>
    <w:p>
      <w:pPr>
        <w:pStyle w:val="4"/>
        <w:rPr>
          <w:rFonts w:hint="eastAsia"/>
        </w:rPr>
      </w:pPr>
      <w:bookmarkStart w:id="117" w:name="_Toc17264"/>
      <w:bookmarkStart w:id="118" w:name="_Toc18218"/>
      <w:r>
        <w:rPr>
          <w:rFonts w:hint="eastAsia"/>
        </w:rPr>
        <w:t>3.</w:t>
      </w:r>
      <w:r>
        <w:t>7</w:t>
      </w:r>
      <w:r>
        <w:rPr>
          <w:rFonts w:hint="eastAsia"/>
        </w:rPr>
        <w:t>环境制约因素分析</w:t>
      </w:r>
      <w:bookmarkEnd w:id="117"/>
      <w:bookmarkEnd w:id="118"/>
    </w:p>
    <w:p>
      <w:pPr>
        <w:pStyle w:val="6"/>
        <w:ind w:firstLine="482"/>
        <w:rPr>
          <w:rFonts w:hint="eastAsia"/>
          <w:b/>
          <w:bCs/>
          <w:color w:val="2A26F7"/>
        </w:rPr>
      </w:pPr>
      <w:r>
        <w:rPr>
          <w:rFonts w:hint="eastAsia"/>
          <w:b/>
          <w:bCs/>
          <w:color w:val="2A26F7"/>
        </w:rPr>
        <w:t>1、重要生态环境敏感区制约</w:t>
      </w:r>
    </w:p>
    <w:p>
      <w:pPr>
        <w:pStyle w:val="6"/>
        <w:ind w:firstLine="480"/>
        <w:rPr>
          <w:rFonts w:hint="eastAsia"/>
          <w:color w:val="2A26F7"/>
        </w:rPr>
      </w:pPr>
      <w:r>
        <w:rPr>
          <w:rFonts w:hint="eastAsia"/>
          <w:color w:val="2A26F7"/>
        </w:rPr>
        <w:t>鉴于旅游开发的特殊性，旅游项目大部分会考虑在生态环境好、自然风光美等条件较好的区域建设，按目前划定的规划范围，涉及的重要生态敏感区主要有5个自然保护区（西藏雅鲁藏布大峡谷国家级自然保护区、西藏察隅慈巴沟国家级自然保护区、西藏工布自然保护区、林芝巴结巨柏自然保护区、西藏白朗沟白唇鹿自然保护区）、3个国家级森林公园（西藏色季拉国家森林公园、西藏巴松湖国家森林公园、西藏比日神山国家森林公园）、3个国家级湿地公园（西藏雅尼国家湿地公园、西藏嘎朗国家湿地公园、西藏朱拉河国家湿地公园）、1个国家级地质公园（易贡国家地质公园），规划项目可能受各类敏感区管控要求的制约。</w:t>
      </w:r>
    </w:p>
    <w:p>
      <w:pPr>
        <w:pStyle w:val="6"/>
        <w:ind w:firstLine="480"/>
        <w:rPr>
          <w:rFonts w:hint="eastAsia"/>
          <w:b/>
          <w:bCs/>
          <w:color w:val="00B050"/>
          <w:lang w:val="en-US" w:eastAsia="zh-CN"/>
        </w:rPr>
      </w:pPr>
      <w:r>
        <w:rPr>
          <w:rFonts w:hint="eastAsia"/>
          <w:b/>
          <w:bCs/>
          <w:color w:val="00B050"/>
          <w:lang w:val="en-US" w:eastAsia="zh-CN"/>
        </w:rPr>
        <w:t>2、环境因素制约</w:t>
      </w:r>
    </w:p>
    <w:p>
      <w:pPr>
        <w:pStyle w:val="6"/>
        <w:ind w:firstLine="480"/>
        <w:rPr>
          <w:rFonts w:hint="eastAsia" w:eastAsia="宋体"/>
          <w:color w:val="00B050"/>
          <w:lang w:val="en-US" w:eastAsia="zh-CN"/>
        </w:rPr>
      </w:pPr>
      <w:r>
        <w:rPr>
          <w:rFonts w:hint="eastAsia"/>
          <w:color w:val="00B050"/>
          <w:lang w:val="en-US" w:eastAsia="zh-CN"/>
        </w:rPr>
        <w:t>根据</w:t>
      </w:r>
      <w:r>
        <w:rPr>
          <w:rFonts w:hint="eastAsia"/>
          <w:color w:val="00B050"/>
        </w:rPr>
        <w:t>根据《西藏自治区林芝市二级支流水功能区划报告》（2017年~2025），林芝境内I类</w:t>
      </w:r>
      <w:r>
        <w:rPr>
          <w:rFonts w:hint="eastAsia"/>
          <w:color w:val="00B050"/>
          <w:lang w:val="en-US" w:eastAsia="zh-CN"/>
        </w:rPr>
        <w:t>及</w:t>
      </w:r>
      <w:r>
        <w:rPr>
          <w:rFonts w:hint="eastAsia"/>
          <w:color w:val="00B050"/>
        </w:rPr>
        <w:t>II类水体</w:t>
      </w:r>
      <w:r>
        <w:rPr>
          <w:rFonts w:hint="eastAsia"/>
          <w:color w:val="00B050"/>
          <w:lang w:val="en-US" w:eastAsia="zh-CN"/>
        </w:rPr>
        <w:t>较多，水域环境较为敏感，林芝市内部分旅游开发项目存在不能设置排污口的制约因素。</w:t>
      </w:r>
    </w:p>
    <w:p>
      <w:pPr>
        <w:pStyle w:val="6"/>
        <w:ind w:firstLine="482"/>
        <w:rPr>
          <w:rFonts w:hint="eastAsia"/>
          <w:b/>
          <w:bCs/>
          <w:color w:val="2A26F7"/>
        </w:rPr>
      </w:pPr>
      <w:r>
        <w:rPr>
          <w:rFonts w:hint="eastAsia"/>
          <w:b/>
          <w:bCs/>
          <w:color w:val="2A26F7"/>
          <w:lang w:val="en-US" w:eastAsia="zh-CN"/>
        </w:rPr>
        <w:t>3</w:t>
      </w:r>
      <w:r>
        <w:rPr>
          <w:rFonts w:hint="eastAsia"/>
          <w:b/>
          <w:bCs/>
          <w:color w:val="2A26F7"/>
        </w:rPr>
        <w:t>、环保基础设施制约</w:t>
      </w:r>
    </w:p>
    <w:p>
      <w:pPr>
        <w:pStyle w:val="6"/>
        <w:ind w:firstLine="480"/>
        <w:rPr>
          <w:rFonts w:hint="eastAsia"/>
          <w:color w:val="2A26F7"/>
        </w:rPr>
      </w:pPr>
      <w:r>
        <w:rPr>
          <w:rFonts w:hint="eastAsia"/>
          <w:color w:val="2A26F7"/>
        </w:rPr>
        <w:t>（1）污水集中处理工程</w:t>
      </w:r>
    </w:p>
    <w:p>
      <w:pPr>
        <w:pStyle w:val="6"/>
        <w:ind w:firstLine="480"/>
        <w:rPr>
          <w:rFonts w:hint="eastAsia"/>
          <w:color w:val="2A26F7"/>
        </w:rPr>
      </w:pPr>
      <w:r>
        <w:rPr>
          <w:rFonts w:hint="eastAsia"/>
          <w:color w:val="2A26F7"/>
        </w:rPr>
        <w:t>根据规划区域内基础设施建设情况，评价范围内可依托的污水集中处理工程主要集中在城市建成区、乡镇及部分成熟景区，除少数规划项目可以依托已建成污水处理工程外，其余规划项目污水处理系统倘若不尽完善，可能对水环境造成一定污染风险。因此，污水处理工程的建设和稳定运行是旅游开发的限制因素之一。</w:t>
      </w:r>
    </w:p>
    <w:p>
      <w:pPr>
        <w:pStyle w:val="6"/>
        <w:ind w:firstLine="480"/>
        <w:rPr>
          <w:color w:val="2A26F7"/>
        </w:rPr>
      </w:pPr>
      <w:r>
        <w:rPr>
          <w:rFonts w:hint="eastAsia"/>
          <w:color w:val="2A26F7"/>
        </w:rPr>
        <w:t>（2）生活垃圾集中处置工程</w:t>
      </w:r>
    </w:p>
    <w:p>
      <w:pPr>
        <w:pStyle w:val="6"/>
        <w:ind w:firstLine="480"/>
        <w:rPr>
          <w:rFonts w:hint="eastAsia"/>
          <w:color w:val="2A26F7"/>
        </w:rPr>
      </w:pPr>
      <w:r>
        <w:rPr>
          <w:rFonts w:hint="eastAsia"/>
          <w:color w:val="2A26F7"/>
        </w:rPr>
        <w:t>根据调查可知，</w:t>
      </w:r>
      <w:r>
        <w:rPr>
          <w:rFonts w:hint="eastAsia"/>
          <w:color w:val="2A26F7"/>
          <w:lang w:val="en-US" w:eastAsia="zh-CN"/>
        </w:rPr>
        <w:t>规划区内</w:t>
      </w:r>
      <w:r>
        <w:rPr>
          <w:rFonts w:hint="eastAsia"/>
          <w:color w:val="2A26F7"/>
        </w:rPr>
        <w:t>部分乡镇生活垃圾的收集和处理还没有完全形成有效系统，村与村、村与镇距离较远，转运成本极高，转运难度较大，生活垃圾处理方式不规范，多为露天自行堆放，旅游过程产生大量生活垃圾的处理也是旅游开发的限制因素之一。</w:t>
      </w:r>
    </w:p>
    <w:p>
      <w:pPr>
        <w:pStyle w:val="6"/>
        <w:ind w:firstLine="480"/>
        <w:rPr>
          <w:rFonts w:hint="eastAsia"/>
        </w:rPr>
      </w:pPr>
    </w:p>
    <w:p>
      <w:pPr>
        <w:pStyle w:val="6"/>
        <w:ind w:firstLine="480"/>
      </w:pPr>
    </w:p>
    <w:p>
      <w:pPr>
        <w:pStyle w:val="6"/>
        <w:ind w:firstLine="480"/>
      </w:pPr>
    </w:p>
    <w:p>
      <w:pPr>
        <w:pStyle w:val="6"/>
        <w:ind w:firstLine="480"/>
        <w:rPr>
          <w:rFonts w:hint="eastAsia"/>
        </w:rPr>
        <w:sectPr>
          <w:pgSz w:w="11906" w:h="16838"/>
          <w:pgMar w:top="1440" w:right="1800" w:bottom="1440" w:left="1800" w:header="851" w:footer="992" w:gutter="0"/>
          <w:pgNumType w:fmt="decimal"/>
          <w:cols w:space="720" w:num="1"/>
          <w:docGrid w:type="lines" w:linePitch="312" w:charSpace="0"/>
        </w:sectPr>
      </w:pPr>
    </w:p>
    <w:p>
      <w:pPr>
        <w:pStyle w:val="3"/>
        <w:bidi w:val="0"/>
        <w:rPr>
          <w:color w:val="auto"/>
          <w:highlight w:val="none"/>
        </w:rPr>
      </w:pPr>
      <w:bookmarkStart w:id="119" w:name="_Toc3853"/>
      <w:bookmarkStart w:id="120" w:name="_Toc93155998"/>
      <w:r>
        <w:rPr>
          <w:rFonts w:hint="eastAsia"/>
          <w:color w:val="auto"/>
          <w:highlight w:val="none"/>
        </w:rPr>
        <w:t>4环境影响识别与评价指标体系构建</w:t>
      </w:r>
      <w:bookmarkEnd w:id="119"/>
      <w:bookmarkEnd w:id="120"/>
    </w:p>
    <w:p>
      <w:pPr>
        <w:pStyle w:val="4"/>
        <w:bidi w:val="0"/>
        <w:rPr>
          <w:color w:val="auto"/>
          <w:highlight w:val="none"/>
        </w:rPr>
      </w:pPr>
      <w:bookmarkStart w:id="121" w:name="_Toc93155999"/>
      <w:bookmarkStart w:id="122" w:name="_Toc26959"/>
      <w:r>
        <w:rPr>
          <w:rFonts w:hint="eastAsia"/>
          <w:color w:val="auto"/>
          <w:highlight w:val="none"/>
        </w:rPr>
        <w:t>4.1规划实施主要环境影响识别</w:t>
      </w:r>
      <w:bookmarkEnd w:id="121"/>
      <w:bookmarkEnd w:id="122"/>
      <w:r>
        <w:rPr>
          <w:rFonts w:hint="eastAsia"/>
          <w:color w:val="auto"/>
          <w:highlight w:val="none"/>
        </w:rPr>
        <w:t xml:space="preserve"> </w:t>
      </w:r>
    </w:p>
    <w:p>
      <w:pPr>
        <w:pStyle w:val="6"/>
        <w:bidi w:val="0"/>
        <w:rPr>
          <w:color w:val="auto"/>
          <w:highlight w:val="none"/>
        </w:rPr>
      </w:pPr>
      <w:r>
        <w:rPr>
          <w:rFonts w:hint="eastAsia"/>
          <w:color w:val="auto"/>
          <w:highlight w:val="none"/>
        </w:rPr>
        <w:t>本次评价按照</w:t>
      </w:r>
      <w:r>
        <w:rPr>
          <w:color w:val="auto"/>
          <w:highlight w:val="none"/>
        </w:rPr>
        <w:t>《规划环境影响评价技术导则 总纲》（HJ 130-201</w:t>
      </w:r>
      <w:r>
        <w:rPr>
          <w:rFonts w:hint="eastAsia"/>
          <w:color w:val="auto"/>
          <w:highlight w:val="none"/>
        </w:rPr>
        <w:t>9</w:t>
      </w:r>
      <w:r>
        <w:rPr>
          <w:color w:val="auto"/>
          <w:highlight w:val="none"/>
        </w:rPr>
        <w:t>）的要求</w:t>
      </w:r>
      <w:r>
        <w:rPr>
          <w:rFonts w:hint="eastAsia"/>
          <w:color w:val="auto"/>
          <w:highlight w:val="none"/>
        </w:rPr>
        <w:t>，根据本次规划方案的内容、年限，识别和分析评价期内规划实施对资源、生态、造成影响的途径、方式以及影响的性质、范围和程度。</w:t>
      </w:r>
    </w:p>
    <w:p>
      <w:pPr>
        <w:pStyle w:val="6"/>
        <w:bidi w:val="0"/>
        <w:rPr>
          <w:color w:val="auto"/>
          <w:highlight w:val="none"/>
        </w:rPr>
      </w:pPr>
      <w:r>
        <w:rPr>
          <w:color w:val="auto"/>
          <w:highlight w:val="none"/>
        </w:rPr>
        <w:t>本规划环境影响识别采用列表清单法和矩阵法从土地利用、能源、水资源、大气环境质量、水环境质量、固体废物、社会等方面进行环境影响识别。</w:t>
      </w:r>
    </w:p>
    <w:p>
      <w:pPr>
        <w:pStyle w:val="6"/>
        <w:bidi w:val="0"/>
        <w:rPr>
          <w:color w:val="auto"/>
          <w:highlight w:val="none"/>
        </w:rPr>
      </w:pPr>
      <w:r>
        <w:rPr>
          <w:color w:val="auto"/>
          <w:highlight w:val="none"/>
        </w:rPr>
        <w:t>本规划环境影响因素分析见表4-1，环境影响见表4-2。</w:t>
      </w:r>
    </w:p>
    <w:p>
      <w:pPr>
        <w:widowControl/>
        <w:jc w:val="left"/>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br w:type="page"/>
      </w:r>
    </w:p>
    <w:p>
      <w:pPr>
        <w:spacing w:line="360" w:lineRule="auto"/>
        <w:ind w:firstLine="560" w:firstLineChars="200"/>
        <w:rPr>
          <w:rFonts w:ascii="Times New Roman" w:hAnsi="Times New Roman" w:eastAsia="宋体" w:cs="Times New Roman"/>
          <w:color w:val="auto"/>
          <w:sz w:val="28"/>
          <w:szCs w:val="28"/>
          <w:highlight w:val="none"/>
        </w:rPr>
        <w:sectPr>
          <w:pgSz w:w="11906" w:h="16838"/>
          <w:pgMar w:top="1440" w:right="1797" w:bottom="1440" w:left="1797" w:header="851" w:footer="992" w:gutter="0"/>
          <w:pgNumType w:fmt="decimal"/>
          <w:cols w:space="425" w:num="1"/>
          <w:docGrid w:linePitch="312" w:charSpace="0"/>
        </w:sectPr>
      </w:pPr>
    </w:p>
    <w:p>
      <w:pPr>
        <w:pStyle w:val="27"/>
        <w:bidi w:val="0"/>
        <w:rPr>
          <w:color w:val="auto"/>
          <w:highlight w:val="none"/>
        </w:rPr>
      </w:pPr>
      <w:r>
        <w:rPr>
          <w:color w:val="auto"/>
          <w:highlight w:val="none"/>
        </w:rPr>
        <w:t xml:space="preserve">表 4-1 </w:t>
      </w:r>
      <w:r>
        <w:rPr>
          <w:rFonts w:hint="eastAsia"/>
          <w:color w:val="auto"/>
          <w:highlight w:val="none"/>
        </w:rPr>
        <w:t xml:space="preserve">  </w:t>
      </w:r>
      <w:r>
        <w:rPr>
          <w:color w:val="auto"/>
          <w:highlight w:val="none"/>
        </w:rPr>
        <w:t>环境影响因素分析表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901"/>
        <w:gridCol w:w="1288"/>
        <w:gridCol w:w="1288"/>
        <w:gridCol w:w="1288"/>
        <w:gridCol w:w="1289"/>
        <w:gridCol w:w="1289"/>
        <w:gridCol w:w="1289"/>
        <w:gridCol w:w="1289"/>
        <w:gridCol w:w="1289"/>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gridSpan w:val="2"/>
            <w:tcBorders>
              <w:tl2br w:val="single" w:color="auto" w:sz="4" w:space="0"/>
            </w:tcBorders>
            <w:vAlign w:val="center"/>
          </w:tcPr>
          <w:p>
            <w:pPr>
              <w:keepNext w:val="0"/>
              <w:keepLines w:val="0"/>
              <w:suppressLineNumbers w:val="0"/>
              <w:spacing w:before="0" w:beforeAutospacing="0" w:after="0" w:afterAutospacing="0" w:line="300" w:lineRule="exact"/>
              <w:ind w:left="0" w:right="0" w:firstLine="1500" w:firstLineChars="750"/>
              <w:jc w:val="right"/>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相关活动</w:t>
            </w:r>
          </w:p>
          <w:p>
            <w:pPr>
              <w:keepNext w:val="0"/>
              <w:keepLines w:val="0"/>
              <w:suppressLineNumbers w:val="0"/>
              <w:spacing w:before="0" w:beforeAutospacing="0" w:after="0" w:afterAutospacing="0" w:line="300" w:lineRule="exact"/>
              <w:ind w:left="0" w:right="0"/>
              <w:jc w:val="left"/>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影响受体</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道路建设及运行</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文旅设</w:t>
            </w:r>
          </w:p>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施建设</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环保设施</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接待游客</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陆地娱乐</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水上娱乐</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生态旅游</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文化旅游</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乡村旅游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自然资源</w:t>
            </w: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土地资源</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ⅠⅡ×→长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ⅠⅡ×→长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ⅠⅡ×→长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水资源</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生物资源</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能源资源</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ⅠⅡ×长</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景观资源</w:t>
            </w: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自然资源</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人文景观</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生态环境</w:t>
            </w: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水环境</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w:t>
            </w:r>
            <w:r>
              <w:rPr>
                <w:rFonts w:hint="eastAsia" w:ascii="Times New Roman" w:hAnsi="Times New Roman" w:eastAsia="宋体" w:cs="Times New Roman"/>
                <w:color w:val="auto"/>
                <w:kern w:val="0"/>
                <w:sz w:val="20"/>
                <w:szCs w:val="20"/>
                <w:highlight w:val="none"/>
              </w:rPr>
              <w:t>←短</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大气环境</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w:t>
            </w:r>
            <w:r>
              <w:rPr>
                <w:rFonts w:hint="eastAsia" w:ascii="Times New Roman" w:hAnsi="Times New Roman" w:eastAsia="宋体" w:cs="Times New Roman"/>
                <w:color w:val="auto"/>
                <w:kern w:val="0"/>
                <w:sz w:val="20"/>
                <w:szCs w:val="20"/>
                <w:highlight w:val="none"/>
              </w:rPr>
              <w:t>←短</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声环境</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w:t>
            </w:r>
            <w:r>
              <w:rPr>
                <w:rFonts w:hint="eastAsia" w:ascii="Times New Roman" w:hAnsi="Times New Roman" w:eastAsia="宋体" w:cs="Times New Roman"/>
                <w:color w:val="auto"/>
                <w:kern w:val="0"/>
                <w:sz w:val="20"/>
                <w:szCs w:val="20"/>
                <w:highlight w:val="none"/>
              </w:rPr>
              <w:t>←短</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土壤环境</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水生生态</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陆地生态</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w:t>
            </w:r>
            <w:r>
              <w:rPr>
                <w:rFonts w:hint="eastAsia" w:ascii="Times New Roman" w:hAnsi="Times New Roman" w:eastAsia="宋体" w:cs="Times New Roman"/>
                <w:color w:val="auto"/>
                <w:kern w:val="0"/>
                <w:sz w:val="20"/>
                <w:szCs w:val="20"/>
                <w:highlight w:val="none"/>
              </w:rPr>
              <w:t>←短</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环境敏感区</w:t>
            </w: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自然保护区</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风景名胜区</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饮用水源保护区</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森林公园</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地质公园</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湿地</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文物保护单位</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w:t>
            </w:r>
            <w:r>
              <w:rPr>
                <w:rFonts w:hint="eastAsia" w:ascii="Times New Roman" w:hAnsi="Times New Roman" w:eastAsia="宋体" w:cs="Times New Roman"/>
                <w:color w:val="auto"/>
                <w:kern w:val="0"/>
                <w:sz w:val="20"/>
                <w:szCs w:val="20"/>
                <w:highlight w:val="none"/>
              </w:rPr>
              <w:t>←短</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社会经济文化</w:t>
            </w: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城镇发展</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人民生活水平</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p>
        </w:tc>
        <w:tc>
          <w:tcPr>
            <w:tcW w:w="1901"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民族传统文化</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8"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Ⅱ√长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Times New Roman" w:hAnsi="Times New Roman" w:eastAsia="宋体" w:cs="Times New Roman"/>
                <w:color w:val="auto"/>
                <w:kern w:val="0"/>
                <w:sz w:val="20"/>
                <w:szCs w:val="20"/>
                <w:highlight w:val="none"/>
              </w:rPr>
              <w:t>？</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c>
          <w:tcPr>
            <w:tcW w:w="1289" w:type="dxa"/>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Ⅰ√长</w:t>
            </w:r>
          </w:p>
        </w:tc>
      </w:tr>
    </w:tbl>
    <w:p>
      <w:pPr>
        <w:rPr>
          <w:color w:val="auto"/>
          <w:highlight w:val="none"/>
        </w:rPr>
      </w:pPr>
      <w:r>
        <w:rPr>
          <w:rFonts w:hint="eastAsia"/>
          <w:color w:val="auto"/>
          <w:highlight w:val="none"/>
        </w:rPr>
        <w:t>注：Ⅰ</w:t>
      </w:r>
      <w:r>
        <w:rPr>
          <w:color w:val="auto"/>
          <w:highlight w:val="none"/>
        </w:rPr>
        <w:t>/</w:t>
      </w:r>
      <w:r>
        <w:rPr>
          <w:rFonts w:hint="eastAsia"/>
          <w:color w:val="auto"/>
          <w:highlight w:val="none"/>
        </w:rPr>
        <w:t>Ⅱ—直接</w:t>
      </w:r>
      <w:r>
        <w:rPr>
          <w:color w:val="auto"/>
          <w:highlight w:val="none"/>
        </w:rPr>
        <w:t>/</w:t>
      </w:r>
      <w:r>
        <w:rPr>
          <w:rFonts w:hint="eastAsia"/>
          <w:color w:val="auto"/>
          <w:highlight w:val="none"/>
        </w:rPr>
        <w:t>间接影响；√</w:t>
      </w:r>
      <w:r>
        <w:rPr>
          <w:color w:val="auto"/>
          <w:highlight w:val="none"/>
        </w:rPr>
        <w:t>/</w:t>
      </w:r>
      <w:r>
        <w:rPr>
          <w:rFonts w:hint="eastAsia"/>
          <w:color w:val="auto"/>
          <w:highlight w:val="none"/>
        </w:rPr>
        <w:t>×—有利</w:t>
      </w:r>
      <w:r>
        <w:rPr>
          <w:color w:val="auto"/>
          <w:highlight w:val="none"/>
        </w:rPr>
        <w:t>/</w:t>
      </w:r>
      <w:r>
        <w:rPr>
          <w:rFonts w:hint="eastAsia"/>
          <w:color w:val="auto"/>
          <w:highlight w:val="none"/>
        </w:rPr>
        <w:t>不利影响；←</w:t>
      </w:r>
      <w:r>
        <w:rPr>
          <w:color w:val="auto"/>
          <w:highlight w:val="none"/>
        </w:rPr>
        <w:t>/</w:t>
      </w:r>
      <w:r>
        <w:rPr>
          <w:rFonts w:hint="eastAsia"/>
          <w:color w:val="auto"/>
          <w:highlight w:val="none"/>
        </w:rPr>
        <w:t>→—可逆</w:t>
      </w:r>
      <w:r>
        <w:rPr>
          <w:color w:val="auto"/>
          <w:highlight w:val="none"/>
        </w:rPr>
        <w:t>/</w:t>
      </w:r>
      <w:r>
        <w:rPr>
          <w:rFonts w:hint="eastAsia"/>
          <w:color w:val="auto"/>
          <w:highlight w:val="none"/>
        </w:rPr>
        <w:t>不可逆影响；长</w:t>
      </w:r>
      <w:r>
        <w:rPr>
          <w:color w:val="auto"/>
          <w:highlight w:val="none"/>
        </w:rPr>
        <w:t>/</w:t>
      </w:r>
      <w:r>
        <w:rPr>
          <w:rFonts w:hint="eastAsia"/>
          <w:color w:val="auto"/>
          <w:highlight w:val="none"/>
        </w:rPr>
        <w:t>短—长期</w:t>
      </w:r>
      <w:r>
        <w:rPr>
          <w:color w:val="auto"/>
          <w:highlight w:val="none"/>
        </w:rPr>
        <w:t>/</w:t>
      </w:r>
      <w:r>
        <w:rPr>
          <w:rFonts w:hint="eastAsia"/>
          <w:color w:val="auto"/>
          <w:highlight w:val="none"/>
        </w:rPr>
        <w:t>短期影响；？—不确定影响。</w:t>
      </w:r>
    </w:p>
    <w:p>
      <w:pPr>
        <w:rPr>
          <w:color w:val="auto"/>
          <w:highlight w:val="none"/>
        </w:rPr>
        <w:sectPr>
          <w:pgSz w:w="16838" w:h="11906" w:orient="landscape"/>
          <w:pgMar w:top="1797" w:right="1440" w:bottom="1797" w:left="1440" w:header="851" w:footer="992" w:gutter="0"/>
          <w:pgNumType w:fmt="decimal"/>
          <w:cols w:space="425" w:num="1"/>
          <w:docGrid w:linePitch="312" w:charSpace="0"/>
        </w:sectPr>
      </w:pPr>
    </w:p>
    <w:p>
      <w:pPr>
        <w:pStyle w:val="27"/>
        <w:bidi w:val="0"/>
        <w:rPr>
          <w:color w:val="auto"/>
          <w:highlight w:val="none"/>
        </w:rPr>
      </w:pPr>
      <w:r>
        <w:rPr>
          <w:color w:val="auto"/>
          <w:highlight w:val="none"/>
        </w:rPr>
        <w:t>表4-</w:t>
      </w:r>
      <w:r>
        <w:rPr>
          <w:rFonts w:hint="eastAsia"/>
          <w:color w:val="auto"/>
          <w:highlight w:val="none"/>
        </w:rPr>
        <w:t>2  规划实施对生态环境影响</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831"/>
        <w:gridCol w:w="2977"/>
        <w:gridCol w:w="803"/>
        <w:gridCol w:w="803"/>
        <w:gridCol w:w="804"/>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Align w:val="center"/>
          </w:tcPr>
          <w:p>
            <w:pPr>
              <w:pStyle w:val="30"/>
              <w:keepNext w:val="0"/>
              <w:keepLines w:val="0"/>
              <w:suppressLineNumbers w:val="0"/>
              <w:spacing w:before="0" w:beforeAutospacing="0" w:after="0" w:afterAutospacing="0" w:line="276" w:lineRule="auto"/>
              <w:ind w:left="0" w:right="0"/>
              <w:jc w:val="center"/>
              <w:rPr>
                <w:rFonts w:asciiTheme="minorEastAsia" w:hAnsiTheme="minorEastAsia" w:eastAsiaTheme="minorEastAsia"/>
                <w:b/>
                <w:color w:val="auto"/>
                <w:kern w:val="0"/>
                <w:sz w:val="21"/>
                <w:szCs w:val="21"/>
                <w:highlight w:val="none"/>
              </w:rPr>
            </w:pPr>
            <w:r>
              <w:rPr>
                <w:rFonts w:hint="eastAsia" w:asciiTheme="minorEastAsia" w:hAnsiTheme="minorEastAsia" w:eastAsiaTheme="minorEastAsia"/>
                <w:b/>
                <w:color w:val="auto"/>
                <w:kern w:val="0"/>
                <w:sz w:val="21"/>
                <w:szCs w:val="21"/>
                <w:highlight w:val="none"/>
              </w:rPr>
              <w:t>可能诱发环境问题</w:t>
            </w:r>
          </w:p>
        </w:tc>
        <w:tc>
          <w:tcPr>
            <w:tcW w:w="2977" w:type="dxa"/>
            <w:vAlign w:val="center"/>
          </w:tcPr>
          <w:p>
            <w:pPr>
              <w:pStyle w:val="30"/>
              <w:keepNext w:val="0"/>
              <w:keepLines w:val="0"/>
              <w:suppressLineNumbers w:val="0"/>
              <w:spacing w:before="0" w:beforeAutospacing="0" w:after="0" w:afterAutospacing="0" w:line="276" w:lineRule="auto"/>
              <w:ind w:left="0" w:right="0"/>
              <w:jc w:val="center"/>
              <w:rPr>
                <w:rFonts w:asciiTheme="minorEastAsia" w:hAnsiTheme="minorEastAsia" w:eastAsiaTheme="minorEastAsia"/>
                <w:b/>
                <w:color w:val="auto"/>
                <w:kern w:val="0"/>
                <w:sz w:val="21"/>
                <w:szCs w:val="21"/>
                <w:highlight w:val="none"/>
              </w:rPr>
            </w:pPr>
            <w:r>
              <w:rPr>
                <w:rFonts w:hint="eastAsia" w:asciiTheme="minorEastAsia" w:hAnsiTheme="minorEastAsia" w:eastAsiaTheme="minorEastAsia"/>
                <w:b/>
                <w:color w:val="auto"/>
                <w:kern w:val="0"/>
                <w:sz w:val="21"/>
                <w:szCs w:val="21"/>
                <w:highlight w:val="none"/>
              </w:rPr>
              <w:t>主要环境影响行为或主要影响</w:t>
            </w:r>
          </w:p>
        </w:tc>
        <w:tc>
          <w:tcPr>
            <w:tcW w:w="803" w:type="dxa"/>
            <w:vAlign w:val="center"/>
          </w:tcPr>
          <w:p>
            <w:pPr>
              <w:keepNext w:val="0"/>
              <w:keepLines w:val="0"/>
              <w:suppressLineNumbers w:val="0"/>
              <w:spacing w:before="0" w:beforeAutospacing="0" w:after="0" w:afterAutospacing="0" w:line="276" w:lineRule="auto"/>
              <w:ind w:left="0" w:right="0"/>
              <w:jc w:val="center"/>
              <w:rPr>
                <w:rFonts w:hint="default" w:cs="Times New Roman" w:asciiTheme="minorEastAsia" w:hAnsiTheme="minorEastAsia" w:eastAsiaTheme="minorEastAsia"/>
                <w:b/>
                <w:color w:val="auto"/>
                <w:kern w:val="0"/>
                <w:sz w:val="21"/>
                <w:szCs w:val="21"/>
                <w:highlight w:val="none"/>
              </w:rPr>
            </w:pPr>
            <w:r>
              <w:rPr>
                <w:rFonts w:hint="eastAsia" w:cs="Times New Roman" w:asciiTheme="minorEastAsia" w:hAnsiTheme="minorEastAsia" w:eastAsiaTheme="minorEastAsia"/>
                <w:b/>
                <w:color w:val="auto"/>
                <w:kern w:val="0"/>
                <w:sz w:val="21"/>
                <w:szCs w:val="21"/>
                <w:highlight w:val="none"/>
              </w:rPr>
              <w:t>正/负</w:t>
            </w:r>
          </w:p>
          <w:p>
            <w:pPr>
              <w:keepNext w:val="0"/>
              <w:keepLines w:val="0"/>
              <w:suppressLineNumbers w:val="0"/>
              <w:spacing w:before="0" w:beforeAutospacing="0" w:after="0" w:afterAutospacing="0" w:line="276" w:lineRule="auto"/>
              <w:ind w:left="0" w:right="0"/>
              <w:jc w:val="center"/>
              <w:rPr>
                <w:rFonts w:hint="default" w:cs="Times New Roman" w:asciiTheme="minorEastAsia" w:hAnsiTheme="minorEastAsia" w:eastAsiaTheme="minorEastAsia"/>
                <w:b/>
                <w:color w:val="auto"/>
                <w:kern w:val="0"/>
                <w:sz w:val="21"/>
                <w:szCs w:val="21"/>
                <w:highlight w:val="none"/>
              </w:rPr>
            </w:pPr>
            <w:r>
              <w:rPr>
                <w:rFonts w:hint="eastAsia" w:cs="Times New Roman" w:asciiTheme="minorEastAsia" w:hAnsiTheme="minorEastAsia" w:eastAsiaTheme="minorEastAsia"/>
                <w:b/>
                <w:color w:val="auto"/>
                <w:kern w:val="0"/>
                <w:sz w:val="21"/>
                <w:szCs w:val="21"/>
                <w:highlight w:val="none"/>
              </w:rPr>
              <w:t>效应</w:t>
            </w:r>
          </w:p>
        </w:tc>
        <w:tc>
          <w:tcPr>
            <w:tcW w:w="803" w:type="dxa"/>
            <w:vAlign w:val="center"/>
          </w:tcPr>
          <w:p>
            <w:pPr>
              <w:keepNext w:val="0"/>
              <w:keepLines w:val="0"/>
              <w:suppressLineNumbers w:val="0"/>
              <w:spacing w:before="0" w:beforeAutospacing="0" w:after="0" w:afterAutospacing="0" w:line="276" w:lineRule="auto"/>
              <w:ind w:left="0" w:right="0"/>
              <w:jc w:val="center"/>
              <w:rPr>
                <w:rFonts w:hint="default" w:cs="Times New Roman" w:asciiTheme="minorEastAsia" w:hAnsiTheme="minorEastAsia" w:eastAsiaTheme="minorEastAsia"/>
                <w:b/>
                <w:color w:val="auto"/>
                <w:kern w:val="0"/>
                <w:sz w:val="21"/>
                <w:szCs w:val="21"/>
                <w:highlight w:val="none"/>
              </w:rPr>
            </w:pPr>
            <w:r>
              <w:rPr>
                <w:rFonts w:hint="eastAsia" w:cs="Times New Roman" w:asciiTheme="minorEastAsia" w:hAnsiTheme="minorEastAsia" w:eastAsiaTheme="minorEastAsia"/>
                <w:b/>
                <w:color w:val="auto"/>
                <w:kern w:val="0"/>
                <w:sz w:val="21"/>
                <w:szCs w:val="21"/>
                <w:highlight w:val="none"/>
              </w:rPr>
              <w:t>影响</w:t>
            </w:r>
          </w:p>
          <w:p>
            <w:pPr>
              <w:keepNext w:val="0"/>
              <w:keepLines w:val="0"/>
              <w:suppressLineNumbers w:val="0"/>
              <w:spacing w:before="0" w:beforeAutospacing="0" w:after="0" w:afterAutospacing="0" w:line="276" w:lineRule="auto"/>
              <w:ind w:left="0" w:right="0"/>
              <w:jc w:val="center"/>
              <w:rPr>
                <w:rFonts w:hint="default" w:cs="Times New Roman" w:asciiTheme="minorEastAsia" w:hAnsiTheme="minorEastAsia" w:eastAsiaTheme="minorEastAsia"/>
                <w:b/>
                <w:color w:val="auto"/>
                <w:kern w:val="0"/>
                <w:sz w:val="21"/>
                <w:szCs w:val="21"/>
                <w:highlight w:val="none"/>
              </w:rPr>
            </w:pPr>
            <w:r>
              <w:rPr>
                <w:rFonts w:hint="eastAsia" w:cs="Times New Roman" w:asciiTheme="minorEastAsia" w:hAnsiTheme="minorEastAsia" w:eastAsiaTheme="minorEastAsia"/>
                <w:b/>
                <w:color w:val="auto"/>
                <w:kern w:val="0"/>
                <w:sz w:val="21"/>
                <w:szCs w:val="21"/>
                <w:highlight w:val="none"/>
              </w:rPr>
              <w:t>程度</w:t>
            </w:r>
          </w:p>
        </w:tc>
        <w:tc>
          <w:tcPr>
            <w:tcW w:w="804" w:type="dxa"/>
            <w:vAlign w:val="center"/>
          </w:tcPr>
          <w:p>
            <w:pPr>
              <w:keepNext w:val="0"/>
              <w:keepLines w:val="0"/>
              <w:suppressLineNumbers w:val="0"/>
              <w:spacing w:before="0" w:beforeAutospacing="0" w:after="0" w:afterAutospacing="0" w:line="276" w:lineRule="auto"/>
              <w:ind w:left="0" w:right="0"/>
              <w:jc w:val="center"/>
              <w:rPr>
                <w:rFonts w:hint="default" w:cs="Times New Roman" w:asciiTheme="minorEastAsia" w:hAnsiTheme="minorEastAsia" w:eastAsiaTheme="minorEastAsia"/>
                <w:b/>
                <w:color w:val="auto"/>
                <w:kern w:val="0"/>
                <w:sz w:val="21"/>
                <w:szCs w:val="21"/>
                <w:highlight w:val="none"/>
              </w:rPr>
            </w:pPr>
            <w:r>
              <w:rPr>
                <w:rFonts w:hint="eastAsia" w:cs="Times New Roman" w:asciiTheme="minorEastAsia" w:hAnsiTheme="minorEastAsia" w:eastAsiaTheme="minorEastAsia"/>
                <w:b/>
                <w:color w:val="auto"/>
                <w:kern w:val="0"/>
                <w:sz w:val="21"/>
                <w:szCs w:val="21"/>
                <w:highlight w:val="none"/>
              </w:rPr>
              <w:t>影响时段</w:t>
            </w:r>
          </w:p>
        </w:tc>
        <w:tc>
          <w:tcPr>
            <w:tcW w:w="1899" w:type="dxa"/>
            <w:vAlign w:val="center"/>
          </w:tcPr>
          <w:p>
            <w:pPr>
              <w:keepNext w:val="0"/>
              <w:keepLines w:val="0"/>
              <w:suppressLineNumbers w:val="0"/>
              <w:spacing w:before="0" w:beforeAutospacing="0" w:after="0" w:afterAutospacing="0" w:line="276" w:lineRule="auto"/>
              <w:ind w:left="0" w:right="0"/>
              <w:jc w:val="center"/>
              <w:rPr>
                <w:rFonts w:hint="default" w:cs="Times New Roman" w:asciiTheme="minorEastAsia" w:hAnsiTheme="minorEastAsia" w:eastAsiaTheme="minorEastAsia"/>
                <w:b/>
                <w:color w:val="auto"/>
                <w:kern w:val="0"/>
                <w:sz w:val="21"/>
                <w:szCs w:val="21"/>
                <w:highlight w:val="none"/>
              </w:rPr>
            </w:pPr>
            <w:r>
              <w:rPr>
                <w:rFonts w:hint="eastAsia" w:cs="Times New Roman" w:asciiTheme="minorEastAsia" w:hAnsiTheme="minorEastAsia" w:eastAsiaTheme="minorEastAsia"/>
                <w:b/>
                <w:color w:val="auto"/>
                <w:kern w:val="0"/>
                <w:sz w:val="21"/>
                <w:szCs w:val="21"/>
                <w:highlight w:val="none"/>
              </w:rPr>
              <w:t>与规划决策的相关型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Merge w:val="restart"/>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占用土地</w:t>
            </w: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道路建设、旅游基础设施建设、生活区建设、办公区建设</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r>
              <w:rPr>
                <w:rFonts w:hint="default"/>
              </w:rPr>
              <w:t xml:space="preserve"> </w:t>
            </w:r>
          </w:p>
          <w:p>
            <w:pPr>
              <w:pStyle w:val="29"/>
              <w:keepNext w:val="0"/>
              <w:keepLines w:val="0"/>
              <w:suppressLineNumbers w:val="0"/>
              <w:bidi w:val="0"/>
              <w:spacing w:before="0" w:beforeAutospacing="0" w:after="0" w:afterAutospacing="0"/>
              <w:ind w:left="0" w:right="0"/>
              <w:rPr>
                <w:rFonts w:hint="default"/>
              </w:rPr>
            </w:pP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较大</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长期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用地规模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生活垃圾、建筑垃圾</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中等</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固体废物处置措施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Merge w:val="restart"/>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环境空气质量降低</w:t>
            </w: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道路建设、旅游基础设施建设、生活区建设、办公区建设</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中等</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建设期污染防治措施、文明施工管理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游客大量涌入、部分旅游设施废气排放、机动车辆、野营野餐</w:t>
            </w:r>
            <w:r>
              <w:rPr>
                <w:rFonts w:hint="default"/>
              </w:rPr>
              <w:t xml:space="preserve"> </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中等</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建设期污染防治措施及旅游业管理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娱乐业、餐饮业</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较小</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建设期污染防治措施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水环境质量变差</w:t>
            </w: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游客大量涌入、餐饮业、部分旅游设施污水排放</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中等</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建设期污染防治措施、回用措施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地下水资源过量开采</w:t>
            </w: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游客大量涌入、部分旅游设施地下水采用</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中等</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给水规划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Merge w:val="restart"/>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噪声环境污染</w:t>
            </w: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道路建设、旅游基础设施建设、生活区建设、办公区建设</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中等</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建设期污染防治措施、文明施工管理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游客大量涌入、机动车辆、部分高噪旅游设施</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中等</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旅游业管理</w:t>
            </w:r>
            <w:r>
              <w:rPr>
                <w:rFonts w:hint="defaul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Merge w:val="restart"/>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固体废物污染</w:t>
            </w: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道路建设、旅游基础设施建设、生活区建设、办公区建设</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中等</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建设期污染防治措施、文明施工管理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游客大量涌入、野营野餐</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中等</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旅游业管理</w:t>
            </w:r>
            <w:r>
              <w:rPr>
                <w:rFonts w:hint="defaul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娱乐业、餐饮业</w:t>
            </w:r>
            <w:r>
              <w:rPr>
                <w:rFonts w:hint="default"/>
              </w:rPr>
              <w:t xml:space="preserve"> </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较大</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建设期污染防治措施及旅游业管理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Merge w:val="restart"/>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生态环境</w:t>
            </w:r>
          </w:p>
        </w:tc>
        <w:tc>
          <w:tcPr>
            <w:tcW w:w="831"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植被破坏</w:t>
            </w:r>
            <w:r>
              <w:rPr>
                <w:rFonts w:hint="default"/>
              </w:rPr>
              <w:t xml:space="preserve"> </w:t>
            </w: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道路建设、旅游基础设施建设、生活区建设、办公区建设</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较大</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长期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生态补偿措施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831" w:type="dxa"/>
            <w:vMerge w:val="restart"/>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生物多样性</w:t>
            </w: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道路建设、旅游基础设施建设、生活区建设、办公区建设</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中等</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长期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生态补偿措施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831" w:type="dxa"/>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野营野餐</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较小</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旅游业管理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831"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水土流失</w:t>
            </w: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道路建设、旅游基础设施建设、生活区建设、办公区建设</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较大</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水土保持措施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831" w:type="dxa"/>
            <w:vMerge w:val="restart"/>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土壤肥力下降</w:t>
            </w: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道路建设、旅游基础设施建设、生活区建设、办公区建设</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较大</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长期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建设期污染防治措施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831" w:type="dxa"/>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生活垃圾、建筑垃圾</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中等</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固体废物处置措施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Merge w:val="restart"/>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碳排放</w:t>
            </w: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道路建设、旅游基础设施建设、生活区建设、办公区建设</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中等</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低碳经济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游客大量涌入、野营野餐</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中等</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低碳经济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gridSpan w:val="2"/>
            <w:vMerge w:val="continue"/>
            <w:vAlign w:val="center"/>
          </w:tcPr>
          <w:p>
            <w:pPr>
              <w:pStyle w:val="29"/>
              <w:keepNext w:val="0"/>
              <w:keepLines w:val="0"/>
              <w:suppressLineNumbers w:val="0"/>
              <w:bidi w:val="0"/>
              <w:spacing w:before="0" w:beforeAutospacing="0" w:after="0" w:afterAutospacing="0"/>
              <w:ind w:left="0" w:right="0"/>
              <w:rPr>
                <w:rFonts w:hint="default"/>
              </w:rPr>
            </w:pPr>
          </w:p>
        </w:tc>
        <w:tc>
          <w:tcPr>
            <w:tcW w:w="2977"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娱乐业、餐饮业</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不利</w:t>
            </w:r>
          </w:p>
        </w:tc>
        <w:tc>
          <w:tcPr>
            <w:tcW w:w="803"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中等</w:t>
            </w:r>
          </w:p>
        </w:tc>
        <w:tc>
          <w:tcPr>
            <w:tcW w:w="804"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短期</w:t>
            </w:r>
          </w:p>
        </w:tc>
        <w:tc>
          <w:tcPr>
            <w:tcW w:w="1899" w:type="dxa"/>
            <w:vAlign w:val="center"/>
          </w:tcPr>
          <w:p>
            <w:pPr>
              <w:pStyle w:val="29"/>
              <w:keepNext w:val="0"/>
              <w:keepLines w:val="0"/>
              <w:suppressLineNumbers w:val="0"/>
              <w:bidi w:val="0"/>
              <w:spacing w:before="0" w:beforeAutospacing="0" w:after="0" w:afterAutospacing="0"/>
              <w:ind w:left="0" w:right="0"/>
              <w:rPr>
                <w:rFonts w:hint="default"/>
              </w:rPr>
            </w:pPr>
            <w:r>
              <w:rPr>
                <w:rFonts w:hint="eastAsia"/>
              </w:rPr>
              <w:t>低碳经济</w:t>
            </w:r>
          </w:p>
        </w:tc>
      </w:tr>
    </w:tbl>
    <w:p>
      <w:pPr>
        <w:pStyle w:val="6"/>
        <w:bidi w:val="0"/>
        <w:rPr>
          <w:color w:val="auto"/>
          <w:highlight w:val="none"/>
        </w:rPr>
      </w:pPr>
      <w:r>
        <w:rPr>
          <w:rFonts w:hint="eastAsia"/>
          <w:color w:val="auto"/>
          <w:highlight w:val="none"/>
        </w:rPr>
        <w:t>由表</w:t>
      </w:r>
      <w:r>
        <w:rPr>
          <w:color w:val="auto"/>
          <w:highlight w:val="none"/>
        </w:rPr>
        <w:t>4-1</w:t>
      </w:r>
      <w:r>
        <w:rPr>
          <w:rFonts w:hint="eastAsia"/>
          <w:color w:val="auto"/>
          <w:highlight w:val="none"/>
        </w:rPr>
        <w:t>和表</w:t>
      </w:r>
      <w:r>
        <w:rPr>
          <w:color w:val="auto"/>
          <w:highlight w:val="none"/>
        </w:rPr>
        <w:t>4-2</w:t>
      </w:r>
      <w:r>
        <w:rPr>
          <w:rFonts w:hint="eastAsia"/>
          <w:color w:val="auto"/>
          <w:highlight w:val="none"/>
        </w:rPr>
        <w:t>可见，规划方案实施后，有利影响集中在社会经济方面，能拓展</w:t>
      </w:r>
      <w:r>
        <w:rPr>
          <w:rFonts w:hint="eastAsia"/>
          <w:color w:val="auto"/>
          <w:highlight w:val="none"/>
          <w:lang w:eastAsia="zh-CN"/>
        </w:rPr>
        <w:t>林芝市</w:t>
      </w:r>
      <w:r>
        <w:rPr>
          <w:rFonts w:hint="eastAsia"/>
          <w:color w:val="auto"/>
          <w:highlight w:val="none"/>
        </w:rPr>
        <w:t>的发展空间，改变和提升旅游业产业结构，增加财政收入、提供就业机会，扩大社会保障，改善交通运输条件，提高当地人民特别是农村人口的生活水平等方面。同时，规划的实施产生的不利因素有：主导产业及区域发展对土地资源、水资源、土壤环境、水环境、空气环境、固体废物等环境产生不利影响，同时，规划建设占用大量土地，改变了土地使用性质，也对生态环境产生不利影响。必须把资源环境保护作为发展旅游产业化经营的一条基本方针，使旅游产业化经营与环境保护、生态环境治理、低碳经济、经济社会发展有机结合起来，才能实现可持续发展之路。</w:t>
      </w:r>
    </w:p>
    <w:p>
      <w:pPr>
        <w:pStyle w:val="4"/>
        <w:bidi w:val="0"/>
        <w:rPr>
          <w:color w:val="auto"/>
          <w:highlight w:val="none"/>
        </w:rPr>
      </w:pPr>
      <w:bookmarkStart w:id="123" w:name="_Toc23220"/>
      <w:bookmarkStart w:id="124" w:name="_Toc93156000"/>
      <w:r>
        <w:rPr>
          <w:rFonts w:hint="eastAsia"/>
          <w:color w:val="auto"/>
          <w:highlight w:val="none"/>
        </w:rPr>
        <w:t>4.2规划环境目标与评价指标确定</w:t>
      </w:r>
      <w:bookmarkEnd w:id="123"/>
      <w:bookmarkEnd w:id="124"/>
    </w:p>
    <w:p>
      <w:pPr>
        <w:pStyle w:val="6"/>
        <w:bidi w:val="0"/>
        <w:rPr>
          <w:color w:val="auto"/>
          <w:highlight w:val="none"/>
        </w:rPr>
      </w:pPr>
      <w:r>
        <w:rPr>
          <w:rFonts w:hint="eastAsia"/>
          <w:color w:val="auto"/>
          <w:highlight w:val="none"/>
        </w:rPr>
        <w:t>根据前述环境影响识别结果，结合本规划发展目标及发展方向，本次环境影响评价指标体系分为经济、资源、环境三方面，其环境影响评价指标体系详见表</w:t>
      </w:r>
      <w:r>
        <w:rPr>
          <w:color w:val="auto"/>
          <w:highlight w:val="none"/>
        </w:rPr>
        <w:t>4-</w:t>
      </w:r>
      <w:r>
        <w:rPr>
          <w:rFonts w:hint="eastAsia"/>
          <w:color w:val="auto"/>
          <w:highlight w:val="none"/>
        </w:rPr>
        <w:t>3。</w:t>
      </w:r>
    </w:p>
    <w:p>
      <w:pPr>
        <w:pStyle w:val="27"/>
        <w:bidi w:val="0"/>
        <w:rPr>
          <w:color w:val="auto"/>
          <w:highlight w:val="none"/>
        </w:rPr>
      </w:pPr>
      <w:r>
        <w:rPr>
          <w:rFonts w:hint="eastAsia"/>
          <w:color w:val="auto"/>
          <w:highlight w:val="none"/>
        </w:rPr>
        <w:t>表</w:t>
      </w:r>
      <w:r>
        <w:rPr>
          <w:color w:val="auto"/>
          <w:highlight w:val="none"/>
        </w:rPr>
        <w:t>4-</w:t>
      </w:r>
      <w:r>
        <w:rPr>
          <w:rFonts w:hint="eastAsia"/>
          <w:color w:val="auto"/>
          <w:highlight w:val="none"/>
        </w:rPr>
        <w:t>3</w:t>
      </w:r>
      <w:r>
        <w:rPr>
          <w:color w:val="auto"/>
          <w:highlight w:val="none"/>
        </w:rPr>
        <w:t xml:space="preserve"> </w:t>
      </w:r>
      <w:r>
        <w:rPr>
          <w:rFonts w:hint="eastAsia"/>
          <w:color w:val="auto"/>
          <w:highlight w:val="none"/>
        </w:rPr>
        <w:t xml:space="preserve"> 规划环境影响评价指标体系一览表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2950"/>
        <w:gridCol w:w="1984"/>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环境主题</w:t>
            </w: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指标</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指标目标</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生态空间</w:t>
            </w: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生态保护红线</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严守</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w:t>
            </w:r>
            <w:r>
              <w:rPr>
                <w:rFonts w:hint="eastAsia"/>
                <w:color w:val="auto"/>
                <w:highlight w:val="none"/>
                <w:lang w:val="en-US" w:eastAsia="zh-CN"/>
              </w:rPr>
              <w:t>林芝市</w:t>
            </w:r>
            <w:r>
              <w:rPr>
                <w:rFonts w:hint="eastAsia"/>
                <w:color w:val="auto"/>
                <w:highlight w:val="none"/>
              </w:rPr>
              <w:t>“三线一单”生态环境分区管控实施方案》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国土空间规划</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遵守</w:t>
            </w:r>
          </w:p>
        </w:tc>
        <w:tc>
          <w:tcPr>
            <w:tcW w:w="2325" w:type="dxa"/>
          </w:tcPr>
          <w:p>
            <w:pPr>
              <w:pStyle w:val="29"/>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生态制度</w:t>
            </w: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生态文明建设规划</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制定并实施</w:t>
            </w:r>
          </w:p>
        </w:tc>
        <w:tc>
          <w:tcPr>
            <w:tcW w:w="2325" w:type="dxa"/>
            <w:vMerge w:val="restart"/>
          </w:tcPr>
          <w:p>
            <w:pPr>
              <w:pStyle w:val="29"/>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自然资源资产负债表</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编制并实施</w:t>
            </w:r>
          </w:p>
        </w:tc>
        <w:tc>
          <w:tcPr>
            <w:tcW w:w="2325" w:type="dxa"/>
            <w:vMerge w:val="continue"/>
          </w:tcPr>
          <w:p>
            <w:pPr>
              <w:pStyle w:val="29"/>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生态环境损害责任追究</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开展实施</w:t>
            </w:r>
          </w:p>
        </w:tc>
        <w:tc>
          <w:tcPr>
            <w:tcW w:w="2325" w:type="dxa"/>
            <w:vMerge w:val="continue"/>
          </w:tcPr>
          <w:p>
            <w:pPr>
              <w:pStyle w:val="29"/>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排污许可证核发</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遵守实施</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《排污许可管理条例》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环境信息公开</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实施</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《环保法》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城镇生态自然环境值指标</w:t>
            </w: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城市规划区绿化覆盖率</w:t>
            </w:r>
          </w:p>
        </w:tc>
        <w:tc>
          <w:tcPr>
            <w:tcW w:w="1984" w:type="dxa"/>
            <w:vAlign w:val="center"/>
          </w:tcPr>
          <w:p>
            <w:pPr>
              <w:pStyle w:val="29"/>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40%</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城市饮用水质达标率</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100%</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城市生活垃圾无害化处理率</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100%</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城市生活污水集中处理率</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100%</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声环境功能区达标率</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100%</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餐饮业油烟处置率</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100%</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环境质量</w:t>
            </w: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环境空气</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各区达标</w:t>
            </w:r>
          </w:p>
        </w:tc>
        <w:tc>
          <w:tcPr>
            <w:tcW w:w="2325"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《环境空气质量标准》</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w:t>
            </w:r>
            <w:r>
              <w:rPr>
                <w:rFonts w:hint="default"/>
                <w:color w:val="auto"/>
                <w:highlight w:val="none"/>
              </w:rPr>
              <w:t>GB3095-2012</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地表水环境</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各区达标</w:t>
            </w:r>
          </w:p>
        </w:tc>
        <w:tc>
          <w:tcPr>
            <w:tcW w:w="2325"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《地表水环境质量标准》（</w:t>
            </w:r>
            <w:r>
              <w:rPr>
                <w:rFonts w:hint="default"/>
                <w:color w:val="auto"/>
                <w:highlight w:val="none"/>
              </w:rPr>
              <w:t>GB3838-2002</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声环境</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各区达标</w:t>
            </w:r>
          </w:p>
        </w:tc>
        <w:tc>
          <w:tcPr>
            <w:tcW w:w="2325"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《声环境质量标准》（</w:t>
            </w:r>
            <w:r>
              <w:rPr>
                <w:rFonts w:hint="default"/>
                <w:color w:val="auto"/>
                <w:highlight w:val="none"/>
              </w:rPr>
              <w:t>GB3096-2008</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土壤环境</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各区达标</w:t>
            </w:r>
          </w:p>
        </w:tc>
        <w:tc>
          <w:tcPr>
            <w:tcW w:w="2325"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《土壤环境质量标准》</w:t>
            </w:r>
          </w:p>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w:t>
            </w:r>
            <w:r>
              <w:rPr>
                <w:rFonts w:hint="default"/>
                <w:color w:val="auto"/>
                <w:highlight w:val="none"/>
              </w:rPr>
              <w:t>GB15618-2018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空气质量综合指数优良率</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各区达标</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生态环境状况指数</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各区达标</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旅游生态环境承载力</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各区达标</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管理</w:t>
            </w: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环境管理制度与能力</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完善</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生态旅游信息平台的完善度</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完善</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vAlign w:val="center"/>
          </w:tcPr>
          <w:p>
            <w:pPr>
              <w:pStyle w:val="29"/>
              <w:keepNext w:val="0"/>
              <w:keepLines w:val="0"/>
              <w:suppressLineNumbers w:val="0"/>
              <w:bidi w:val="0"/>
              <w:spacing w:before="0" w:beforeAutospacing="0" w:after="0" w:afterAutospacing="0"/>
              <w:ind w:left="0" w:right="0"/>
              <w:rPr>
                <w:rFonts w:hint="default"/>
                <w:color w:val="auto"/>
                <w:highlight w:val="none"/>
              </w:rPr>
            </w:pPr>
          </w:p>
        </w:tc>
        <w:tc>
          <w:tcPr>
            <w:tcW w:w="2950"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环评制度执行率</w:t>
            </w:r>
          </w:p>
        </w:tc>
        <w:tc>
          <w:tcPr>
            <w:tcW w:w="1984" w:type="dxa"/>
            <w:vAlign w:val="center"/>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100%</w:t>
            </w:r>
          </w:p>
        </w:tc>
        <w:tc>
          <w:tcPr>
            <w:tcW w:w="2325" w:type="dxa"/>
          </w:tcPr>
          <w:p>
            <w:pPr>
              <w:pStyle w:val="29"/>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《环评法》</w:t>
            </w:r>
          </w:p>
        </w:tc>
      </w:tr>
    </w:tbl>
    <w:p>
      <w:pPr>
        <w:spacing w:line="360" w:lineRule="auto"/>
        <w:ind w:firstLine="480" w:firstLineChars="200"/>
        <w:rPr>
          <w:color w:val="auto"/>
          <w:highlight w:val="none"/>
        </w:rPr>
      </w:pPr>
      <w:r>
        <w:rPr>
          <w:color w:val="auto"/>
          <w:highlight w:val="none"/>
        </w:rPr>
        <w:br w:type="page"/>
      </w:r>
    </w:p>
    <w:p>
      <w:pPr>
        <w:pStyle w:val="3"/>
        <w:bidi w:val="0"/>
        <w:rPr>
          <w:rFonts w:hint="eastAsia"/>
          <w:color w:val="auto"/>
          <w:highlight w:val="none"/>
        </w:rPr>
      </w:pPr>
      <w:bookmarkStart w:id="125" w:name="_Toc1079"/>
      <w:bookmarkStart w:id="126" w:name="_Toc93156001"/>
      <w:r>
        <w:rPr>
          <w:rFonts w:hint="eastAsia"/>
          <w:color w:val="auto"/>
          <w:highlight w:val="none"/>
        </w:rPr>
        <w:t>5规划方案环境影响预测与评价</w:t>
      </w:r>
      <w:bookmarkEnd w:id="125"/>
      <w:bookmarkEnd w:id="126"/>
    </w:p>
    <w:p>
      <w:pPr>
        <w:pStyle w:val="4"/>
        <w:rPr>
          <w:rFonts w:hint="eastAsia"/>
        </w:rPr>
      </w:pPr>
      <w:bookmarkStart w:id="127" w:name="_Toc763"/>
      <w:bookmarkStart w:id="128" w:name="_Toc21510"/>
      <w:r>
        <w:rPr>
          <w:rFonts w:hint="eastAsia"/>
        </w:rPr>
        <w:t>5.1规划实施生态环境压力分析</w:t>
      </w:r>
      <w:bookmarkEnd w:id="127"/>
      <w:bookmarkEnd w:id="128"/>
    </w:p>
    <w:p>
      <w:pPr>
        <w:pStyle w:val="5"/>
      </w:pPr>
      <w:bookmarkStart w:id="129" w:name="_Toc28300"/>
      <w:r>
        <w:rPr>
          <w:rFonts w:hint="eastAsia"/>
        </w:rPr>
        <w:t>5.1.1预测情景设置</w:t>
      </w:r>
      <w:bookmarkEnd w:id="129"/>
    </w:p>
    <w:p>
      <w:pPr>
        <w:pStyle w:val="6"/>
        <w:bidi w:val="0"/>
        <w:rPr>
          <w:rFonts w:hint="default"/>
          <w:b w:val="0"/>
          <w:bCs w:val="0"/>
          <w:color w:val="auto"/>
          <w:lang w:val="en-US" w:eastAsia="zh-CN"/>
        </w:rPr>
      </w:pPr>
      <w:r>
        <w:rPr>
          <w:rFonts w:hint="eastAsia"/>
          <w:color w:val="auto"/>
          <w:highlight w:val="none"/>
        </w:rPr>
        <w:t>本次规划年限为201</w:t>
      </w:r>
      <w:r>
        <w:rPr>
          <w:rFonts w:hint="eastAsia"/>
          <w:color w:val="auto"/>
          <w:highlight w:val="none"/>
          <w:lang w:val="en-US" w:eastAsia="zh-CN"/>
        </w:rPr>
        <w:t>8</w:t>
      </w:r>
      <w:r>
        <w:rPr>
          <w:rFonts w:hint="eastAsia"/>
          <w:color w:val="auto"/>
          <w:highlight w:val="none"/>
        </w:rPr>
        <w:t>年至20</w:t>
      </w:r>
      <w:r>
        <w:rPr>
          <w:rFonts w:hint="eastAsia"/>
          <w:color w:val="auto"/>
          <w:highlight w:val="none"/>
          <w:lang w:val="en-US" w:eastAsia="zh-CN"/>
        </w:rPr>
        <w:t>25</w:t>
      </w:r>
      <w:r>
        <w:rPr>
          <w:rFonts w:hint="eastAsia"/>
          <w:color w:val="auto"/>
          <w:highlight w:val="none"/>
        </w:rPr>
        <w:t>年，其中近期</w:t>
      </w:r>
      <w:r>
        <w:rPr>
          <w:rFonts w:hint="eastAsia"/>
          <w:color w:val="auto"/>
          <w:highlight w:val="none"/>
          <w:lang w:eastAsia="zh-CN"/>
        </w:rPr>
        <w:t>：</w:t>
      </w:r>
      <w:r>
        <w:rPr>
          <w:rFonts w:hint="eastAsia"/>
          <w:color w:val="auto"/>
          <w:highlight w:val="none"/>
        </w:rPr>
        <w:t>201</w:t>
      </w:r>
      <w:r>
        <w:rPr>
          <w:rFonts w:hint="eastAsia"/>
          <w:color w:val="auto"/>
          <w:highlight w:val="none"/>
          <w:lang w:val="en-US" w:eastAsia="zh-CN"/>
        </w:rPr>
        <w:t>8</w:t>
      </w:r>
      <w:r>
        <w:rPr>
          <w:rFonts w:hint="eastAsia"/>
          <w:color w:val="auto"/>
          <w:highlight w:val="none"/>
        </w:rPr>
        <w:t>~2020年；</w:t>
      </w:r>
      <w:r>
        <w:rPr>
          <w:rFonts w:hint="eastAsia"/>
          <w:color w:val="auto"/>
          <w:highlight w:val="none"/>
          <w:lang w:val="en-US" w:eastAsia="zh-CN"/>
        </w:rPr>
        <w:t>中期：</w:t>
      </w:r>
      <w:r>
        <w:rPr>
          <w:rFonts w:hint="eastAsia"/>
          <w:color w:val="auto"/>
          <w:highlight w:val="none"/>
        </w:rPr>
        <w:t>2021~202</w:t>
      </w:r>
      <w:r>
        <w:rPr>
          <w:rFonts w:hint="eastAsia"/>
          <w:color w:val="auto"/>
          <w:highlight w:val="none"/>
          <w:lang w:val="en-US" w:eastAsia="zh-CN"/>
        </w:rPr>
        <w:t>3</w:t>
      </w:r>
      <w:r>
        <w:rPr>
          <w:rFonts w:hint="eastAsia"/>
          <w:color w:val="auto"/>
          <w:highlight w:val="none"/>
        </w:rPr>
        <w:t>；远期202</w:t>
      </w:r>
      <w:r>
        <w:rPr>
          <w:rFonts w:hint="eastAsia"/>
          <w:color w:val="auto"/>
          <w:highlight w:val="none"/>
          <w:lang w:val="en-US" w:eastAsia="zh-CN"/>
        </w:rPr>
        <w:t>4</w:t>
      </w:r>
      <w:r>
        <w:rPr>
          <w:rFonts w:hint="eastAsia"/>
          <w:color w:val="auto"/>
          <w:highlight w:val="none"/>
        </w:rPr>
        <w:t>~20</w:t>
      </w:r>
      <w:r>
        <w:rPr>
          <w:rFonts w:hint="eastAsia"/>
          <w:color w:val="auto"/>
          <w:highlight w:val="none"/>
          <w:lang w:val="en-US" w:eastAsia="zh-CN"/>
        </w:rPr>
        <w:t>25</w:t>
      </w:r>
      <w:r>
        <w:rPr>
          <w:rFonts w:hint="eastAsia"/>
          <w:color w:val="auto"/>
          <w:highlight w:val="none"/>
        </w:rPr>
        <w:t>年。</w:t>
      </w:r>
      <w:r>
        <w:rPr>
          <w:rFonts w:hint="eastAsia"/>
          <w:b w:val="0"/>
          <w:bCs w:val="0"/>
          <w:color w:val="auto"/>
          <w:lang w:val="en-US" w:eastAsia="zh-CN"/>
        </w:rPr>
        <w:t>根据全域旅游发展目标，近期（2018~2020年）力争至2020年年接待旅游者850.53万人次，旅游收入达到79.74亿元。规划未给出规划末年（2025年）游客接待量，本次规划按照林芝旅游接待人次年增长率为6%，外推2025年接待游客量为1900万人次。</w:t>
      </w:r>
    </w:p>
    <w:p>
      <w:pPr>
        <w:pStyle w:val="6"/>
        <w:ind w:firstLine="480"/>
        <w:rPr>
          <w:rFonts w:hint="eastAsia"/>
          <w:color w:val="00B050"/>
          <w:highlight w:val="none"/>
        </w:rPr>
      </w:pPr>
      <w:r>
        <w:rPr>
          <w:rFonts w:hint="eastAsia"/>
          <w:color w:val="00B050"/>
        </w:rPr>
        <w:t>本次环评属于补办手续，规划环评介入时</w:t>
      </w:r>
      <w:r>
        <w:rPr>
          <w:rFonts w:hint="eastAsia"/>
          <w:color w:val="00B050"/>
          <w:lang w:eastAsia="zh-CN"/>
        </w:rPr>
        <w:t>（</w:t>
      </w:r>
      <w:r>
        <w:rPr>
          <w:rFonts w:hint="eastAsia"/>
          <w:color w:val="00B050"/>
          <w:lang w:val="en-US" w:eastAsia="zh-CN"/>
        </w:rPr>
        <w:t>2022年</w:t>
      </w:r>
      <w:r>
        <w:rPr>
          <w:rFonts w:hint="eastAsia"/>
          <w:color w:val="00B050"/>
          <w:lang w:eastAsia="zh-CN"/>
        </w:rPr>
        <w:t>）</w:t>
      </w:r>
      <w:r>
        <w:rPr>
          <w:rFonts w:hint="eastAsia"/>
          <w:color w:val="00B050"/>
        </w:rPr>
        <w:t>已属于规划</w:t>
      </w:r>
      <w:r>
        <w:rPr>
          <w:rFonts w:hint="eastAsia"/>
          <w:color w:val="00B050"/>
          <w:lang w:val="en-US" w:eastAsia="zh-CN"/>
        </w:rPr>
        <w:t>中期</w:t>
      </w:r>
      <w:r>
        <w:rPr>
          <w:rFonts w:hint="eastAsia"/>
          <w:color w:val="00B050"/>
        </w:rPr>
        <w:t>阶段</w:t>
      </w:r>
      <w:r>
        <w:rPr>
          <w:rFonts w:hint="eastAsia"/>
          <w:color w:val="00B050"/>
          <w:lang w:eastAsia="zh-CN"/>
        </w:rPr>
        <w:t>（</w:t>
      </w:r>
      <w:r>
        <w:rPr>
          <w:rFonts w:hint="eastAsia"/>
          <w:color w:val="00B050"/>
        </w:rPr>
        <w:t>2</w:t>
      </w:r>
      <w:r>
        <w:rPr>
          <w:color w:val="00B050"/>
        </w:rPr>
        <w:t>020-2025</w:t>
      </w:r>
      <w:r>
        <w:rPr>
          <w:rFonts w:hint="eastAsia"/>
          <w:color w:val="00B050"/>
          <w:lang w:eastAsia="zh-CN"/>
        </w:rPr>
        <w:t>），</w:t>
      </w:r>
      <w:r>
        <w:rPr>
          <w:rFonts w:hint="eastAsia"/>
          <w:color w:val="00B050"/>
          <w:highlight w:val="none"/>
        </w:rPr>
        <w:t>故</w:t>
      </w:r>
      <w:r>
        <w:rPr>
          <w:rFonts w:hint="eastAsia"/>
          <w:color w:val="00B050"/>
          <w:highlight w:val="none"/>
          <w:lang w:val="en-US" w:eastAsia="zh-CN"/>
        </w:rPr>
        <w:t>将</w:t>
      </w:r>
      <w:r>
        <w:rPr>
          <w:rFonts w:hint="eastAsia"/>
          <w:color w:val="00B050"/>
          <w:highlight w:val="none"/>
        </w:rPr>
        <w:t>本次规划环评预测情景设置为至规划末期</w:t>
      </w:r>
      <w:r>
        <w:rPr>
          <w:rFonts w:hint="eastAsia"/>
          <w:color w:val="00B050"/>
          <w:highlight w:val="none"/>
          <w:lang w:val="en-US" w:eastAsia="zh-CN"/>
        </w:rPr>
        <w:t>2025</w:t>
      </w:r>
      <w:r>
        <w:rPr>
          <w:rFonts w:hint="eastAsia"/>
          <w:color w:val="00B050"/>
          <w:highlight w:val="none"/>
        </w:rPr>
        <w:t>年林芝市年接待游客量达</w:t>
      </w:r>
      <w:r>
        <w:rPr>
          <w:rFonts w:hint="eastAsia"/>
          <w:color w:val="00B050"/>
          <w:highlight w:val="none"/>
          <w:lang w:val="en-US" w:eastAsia="zh-CN"/>
        </w:rPr>
        <w:t>1900</w:t>
      </w:r>
      <w:r>
        <w:rPr>
          <w:rFonts w:hint="eastAsia"/>
          <w:color w:val="00B050"/>
          <w:highlight w:val="none"/>
        </w:rPr>
        <w:t>万人次。</w:t>
      </w:r>
    </w:p>
    <w:p>
      <w:pPr>
        <w:pStyle w:val="6"/>
        <w:ind w:firstLine="480"/>
      </w:pPr>
      <w:r>
        <w:t>根据旅游资源利用率、配套设施、各旅游景区管理、清洁水平及循环经济的情况，设定各污染物指标值。指标值见表5</w:t>
      </w:r>
      <w:r>
        <w:rPr>
          <w:rFonts w:hint="eastAsia"/>
        </w:rPr>
        <w:t>.1</w:t>
      </w:r>
      <w:r>
        <w:t>-</w:t>
      </w:r>
      <w:r>
        <w:rPr>
          <w:rFonts w:hint="eastAsia"/>
        </w:rPr>
        <w:t>1</w:t>
      </w:r>
      <w:r>
        <w:t>。</w:t>
      </w:r>
    </w:p>
    <w:p>
      <w:pPr>
        <w:pStyle w:val="27"/>
      </w:pPr>
      <w:r>
        <w:rPr>
          <w:rFonts w:hint="eastAsia"/>
        </w:rPr>
        <w:t>表5.1-1  预设指标</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302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序号</w:t>
            </w:r>
          </w:p>
        </w:tc>
        <w:tc>
          <w:tcPr>
            <w:tcW w:w="3022" w:type="dxa"/>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指标</w:t>
            </w:r>
          </w:p>
        </w:tc>
        <w:tc>
          <w:tcPr>
            <w:tcW w:w="2132" w:type="dxa"/>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单位</w:t>
            </w:r>
          </w:p>
        </w:tc>
        <w:tc>
          <w:tcPr>
            <w:tcW w:w="2132" w:type="dxa"/>
            <w:noWrap w:val="0"/>
            <w:vAlign w:val="center"/>
          </w:tcPr>
          <w:p>
            <w:pPr>
              <w:pStyle w:val="29"/>
              <w:keepNext w:val="0"/>
              <w:keepLines w:val="0"/>
              <w:suppressLineNumbers w:val="0"/>
              <w:spacing w:before="0" w:beforeAutospacing="0" w:after="0" w:afterAutospacing="0"/>
              <w:ind w:left="0" w:right="0"/>
              <w:rPr>
                <w:rFonts w:hint="default"/>
                <w:b/>
                <w:bCs/>
              </w:rPr>
            </w:pPr>
            <w:r>
              <w:rPr>
                <w:rFonts w:hint="default"/>
                <w:b/>
                <w:bCs/>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p>
        </w:tc>
        <w:tc>
          <w:tcPr>
            <w:tcW w:w="3022"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生活污水集中处理率</w:t>
            </w:r>
          </w:p>
        </w:tc>
        <w:tc>
          <w:tcPr>
            <w:tcW w:w="2132"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w:t>
            </w:r>
          </w:p>
        </w:tc>
        <w:tc>
          <w:tcPr>
            <w:tcW w:w="213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p>
        </w:tc>
        <w:tc>
          <w:tcPr>
            <w:tcW w:w="3022"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生活污水回用</w:t>
            </w:r>
          </w:p>
        </w:tc>
        <w:tc>
          <w:tcPr>
            <w:tcW w:w="2132" w:type="dxa"/>
            <w:noWrap w:val="0"/>
            <w:vAlign w:val="center"/>
          </w:tcPr>
          <w:p>
            <w:pPr>
              <w:pStyle w:val="29"/>
              <w:keepNext w:val="0"/>
              <w:keepLines w:val="0"/>
              <w:suppressLineNumbers w:val="0"/>
              <w:spacing w:before="0" w:beforeAutospacing="0" w:after="0" w:afterAutospacing="0"/>
              <w:ind w:left="0" w:right="0"/>
              <w:rPr>
                <w:rFonts w:hint="default"/>
              </w:rPr>
            </w:pPr>
          </w:p>
        </w:tc>
        <w:tc>
          <w:tcPr>
            <w:tcW w:w="2132"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3</w:t>
            </w:r>
          </w:p>
        </w:tc>
        <w:tc>
          <w:tcPr>
            <w:tcW w:w="3022"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生活垃圾无害化处理率</w:t>
            </w:r>
          </w:p>
        </w:tc>
        <w:tc>
          <w:tcPr>
            <w:tcW w:w="2132"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w:t>
            </w:r>
          </w:p>
        </w:tc>
        <w:tc>
          <w:tcPr>
            <w:tcW w:w="213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4</w:t>
            </w:r>
          </w:p>
        </w:tc>
        <w:tc>
          <w:tcPr>
            <w:tcW w:w="3022"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废物收集系统</w:t>
            </w:r>
          </w:p>
        </w:tc>
        <w:tc>
          <w:tcPr>
            <w:tcW w:w="2132"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有效分类</w:t>
            </w:r>
          </w:p>
        </w:tc>
        <w:tc>
          <w:tcPr>
            <w:tcW w:w="2132"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5</w:t>
            </w:r>
          </w:p>
        </w:tc>
        <w:tc>
          <w:tcPr>
            <w:tcW w:w="3022"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废物集中处理处置设施</w:t>
            </w:r>
          </w:p>
        </w:tc>
        <w:tc>
          <w:tcPr>
            <w:tcW w:w="2132" w:type="dxa"/>
            <w:noWrap w:val="0"/>
            <w:vAlign w:val="center"/>
          </w:tcPr>
          <w:p>
            <w:pPr>
              <w:pStyle w:val="29"/>
              <w:keepNext w:val="0"/>
              <w:keepLines w:val="0"/>
              <w:suppressLineNumbers w:val="0"/>
              <w:spacing w:before="0" w:beforeAutospacing="0" w:after="0" w:afterAutospacing="0"/>
              <w:ind w:left="0" w:right="0"/>
              <w:rPr>
                <w:rFonts w:hint="default"/>
              </w:rPr>
            </w:pPr>
          </w:p>
        </w:tc>
        <w:tc>
          <w:tcPr>
            <w:tcW w:w="2132"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6</w:t>
            </w:r>
          </w:p>
        </w:tc>
        <w:tc>
          <w:tcPr>
            <w:tcW w:w="3022"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环境管理制度</w:t>
            </w:r>
          </w:p>
        </w:tc>
        <w:tc>
          <w:tcPr>
            <w:tcW w:w="2132" w:type="dxa"/>
            <w:noWrap w:val="0"/>
            <w:vAlign w:val="center"/>
          </w:tcPr>
          <w:p>
            <w:pPr>
              <w:pStyle w:val="29"/>
              <w:keepNext w:val="0"/>
              <w:keepLines w:val="0"/>
              <w:suppressLineNumbers w:val="0"/>
              <w:spacing w:before="0" w:beforeAutospacing="0" w:after="0" w:afterAutospacing="0"/>
              <w:ind w:left="0" w:right="0"/>
              <w:rPr>
                <w:rFonts w:hint="default"/>
              </w:rPr>
            </w:pPr>
          </w:p>
        </w:tc>
        <w:tc>
          <w:tcPr>
            <w:tcW w:w="2132"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完善</w:t>
            </w:r>
          </w:p>
        </w:tc>
      </w:tr>
    </w:tbl>
    <w:p>
      <w:pPr>
        <w:pStyle w:val="5"/>
        <w:rPr>
          <w:rFonts w:hint="eastAsia"/>
          <w:color w:val="2A26F7"/>
        </w:rPr>
      </w:pPr>
      <w:bookmarkStart w:id="130" w:name="_Toc27372"/>
      <w:r>
        <w:rPr>
          <w:rFonts w:hint="eastAsia"/>
          <w:color w:val="2A26F7"/>
        </w:rPr>
        <w:t>5.1.2规划方案情景下污染源源强</w:t>
      </w:r>
      <w:bookmarkEnd w:id="130"/>
    </w:p>
    <w:p>
      <w:pPr>
        <w:pStyle w:val="2"/>
      </w:pPr>
      <w:r>
        <w:rPr>
          <w:rFonts w:hint="eastAsia"/>
        </w:rPr>
        <w:t>5.1.2.</w:t>
      </w:r>
      <w:r>
        <w:rPr>
          <w:rFonts w:hint="eastAsia"/>
          <w:lang w:val="en-US" w:eastAsia="zh-CN"/>
        </w:rPr>
        <w:t>1</w:t>
      </w:r>
      <w:r>
        <w:rPr>
          <w:rFonts w:hint="eastAsia"/>
        </w:rPr>
        <w:t>废气污染物排放量估算</w:t>
      </w:r>
    </w:p>
    <w:p>
      <w:pPr>
        <w:pStyle w:val="6"/>
        <w:ind w:firstLine="480"/>
        <w:rPr>
          <w:rFonts w:hint="eastAsia"/>
        </w:rPr>
      </w:pPr>
      <w:r>
        <w:rPr>
          <w:rFonts w:hint="eastAsia"/>
        </w:rPr>
        <w:t>根据规划方案，旅游业的主要废气是餐饮油烟、机动车尾气和公厕臭气等。</w:t>
      </w:r>
    </w:p>
    <w:p>
      <w:pPr>
        <w:pStyle w:val="6"/>
        <w:ind w:firstLine="482"/>
        <w:rPr>
          <w:b/>
          <w:bCs/>
          <w:color w:val="2A26F7"/>
        </w:rPr>
      </w:pPr>
      <w:r>
        <w:rPr>
          <w:rFonts w:hint="eastAsia"/>
          <w:b/>
          <w:bCs/>
          <w:color w:val="2A26F7"/>
        </w:rPr>
        <w:t>1、餐饮油烟</w:t>
      </w:r>
    </w:p>
    <w:p>
      <w:pPr>
        <w:pStyle w:val="6"/>
        <w:ind w:firstLine="480"/>
        <w:rPr>
          <w:rFonts w:hint="eastAsia"/>
          <w:color w:val="2A26F7"/>
        </w:rPr>
      </w:pPr>
      <w:r>
        <w:rPr>
          <w:rFonts w:hint="eastAsia"/>
          <w:color w:val="2A26F7"/>
        </w:rPr>
        <w:t>旅游接待服务产生的餐饮油烟主要是在食物烹饪、加工过程中挥发的油脂、有机质及其加热分解或裂解产物以及烟气。根据资料，规划区内食用油人均消耗量以25g(人•d)计，油的挥发量占耗油量的2~4%，本评价取3%。在旅游集散地的餐饮油烟必须经过油烟净化装置处理达标（</w:t>
      </w:r>
      <w:r>
        <w:rPr>
          <w:color w:val="2A26F7"/>
        </w:rPr>
        <w:t>油烟排放浓度≤2.0mg/m</w:t>
      </w:r>
      <w:r>
        <w:rPr>
          <w:color w:val="2A26F7"/>
          <w:vertAlign w:val="superscript"/>
        </w:rPr>
        <w:t>3</w:t>
      </w:r>
      <w:r>
        <w:rPr>
          <w:rFonts w:hint="eastAsia"/>
          <w:color w:val="2A26F7"/>
        </w:rPr>
        <w:t>）</w:t>
      </w:r>
      <w:r>
        <w:rPr>
          <w:color w:val="2A26F7"/>
        </w:rPr>
        <w:t>后</w:t>
      </w:r>
      <w:r>
        <w:rPr>
          <w:rFonts w:hint="eastAsia"/>
          <w:color w:val="2A26F7"/>
        </w:rPr>
        <w:t>排放。规划末年20</w:t>
      </w:r>
      <w:r>
        <w:rPr>
          <w:rFonts w:hint="eastAsia"/>
          <w:color w:val="2A26F7"/>
          <w:lang w:val="en-US" w:eastAsia="zh-CN"/>
        </w:rPr>
        <w:t>25</w:t>
      </w:r>
      <w:r>
        <w:rPr>
          <w:rFonts w:hint="eastAsia"/>
          <w:color w:val="2A26F7"/>
        </w:rPr>
        <w:t>年油烟产生情况，见表5.1-3。</w:t>
      </w:r>
    </w:p>
    <w:p>
      <w:pPr>
        <w:pStyle w:val="27"/>
        <w:rPr>
          <w:rFonts w:hint="eastAsia"/>
          <w:color w:val="2A26F7"/>
        </w:rPr>
      </w:pPr>
      <w:r>
        <w:rPr>
          <w:rFonts w:hint="eastAsia"/>
          <w:color w:val="2A26F7"/>
        </w:rPr>
        <w:t xml:space="preserve">表5.1-3  </w:t>
      </w:r>
      <w:r>
        <w:rPr>
          <w:rFonts w:hint="eastAsia"/>
          <w:color w:val="2A26F7"/>
          <w:lang w:val="en-US" w:eastAsia="zh-CN"/>
        </w:rPr>
        <w:t>2025</w:t>
      </w:r>
      <w:r>
        <w:rPr>
          <w:rFonts w:hint="eastAsia"/>
          <w:color w:val="2A26F7"/>
        </w:rPr>
        <w:t>年油烟产生情况</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8"/>
        <w:gridCol w:w="3038"/>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00"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eastAsia"/>
                <w:color w:val="2A26F7"/>
              </w:rPr>
              <w:t>规划阶段</w:t>
            </w:r>
          </w:p>
        </w:tc>
        <w:tc>
          <w:tcPr>
            <w:tcW w:w="1781"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eastAsia"/>
                <w:color w:val="2A26F7"/>
              </w:rPr>
              <w:t>餐饮油用量（t/a）</w:t>
            </w:r>
          </w:p>
        </w:tc>
        <w:tc>
          <w:tcPr>
            <w:tcW w:w="171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eastAsia"/>
                <w:color w:val="2A26F7"/>
              </w:rPr>
              <w:t>油烟产生量（</w:t>
            </w:r>
            <w:r>
              <w:rPr>
                <w:rFonts w:hint="default"/>
                <w:color w:val="2A26F7"/>
              </w:rPr>
              <w:t>t/a</w:t>
            </w:r>
            <w:r>
              <w:rPr>
                <w:rFonts w:hint="eastAsia"/>
                <w:color w:val="2A26F7"/>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00"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eastAsia"/>
                <w:color w:val="2A26F7"/>
              </w:rPr>
              <w:t>远期（20</w:t>
            </w:r>
            <w:r>
              <w:rPr>
                <w:rFonts w:hint="eastAsia"/>
                <w:color w:val="2A26F7"/>
                <w:lang w:val="en-US" w:eastAsia="zh-CN"/>
              </w:rPr>
              <w:t>25</w:t>
            </w:r>
            <w:r>
              <w:rPr>
                <w:rFonts w:hint="eastAsia"/>
                <w:color w:val="2A26F7"/>
              </w:rPr>
              <w:t>年）</w:t>
            </w:r>
          </w:p>
        </w:tc>
        <w:tc>
          <w:tcPr>
            <w:tcW w:w="1781"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color w:val="2A26F7"/>
                <w:lang w:val="en-US" w:eastAsia="zh-CN"/>
              </w:rPr>
            </w:pPr>
            <w:r>
              <w:rPr>
                <w:rFonts w:hint="eastAsia"/>
                <w:color w:val="2A26F7"/>
                <w:lang w:val="en-US" w:eastAsia="zh-CN"/>
              </w:rPr>
              <w:t>475</w:t>
            </w:r>
          </w:p>
        </w:tc>
        <w:tc>
          <w:tcPr>
            <w:tcW w:w="171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color w:val="2A26F7"/>
                <w:lang w:val="en-US" w:eastAsia="zh-CN"/>
              </w:rPr>
            </w:pPr>
            <w:r>
              <w:rPr>
                <w:rFonts w:hint="eastAsia"/>
                <w:color w:val="2A26F7"/>
                <w:lang w:val="en-US" w:eastAsia="zh-CN"/>
              </w:rPr>
              <w:t>14.25</w:t>
            </w:r>
          </w:p>
        </w:tc>
      </w:tr>
    </w:tbl>
    <w:p>
      <w:pPr>
        <w:pStyle w:val="6"/>
        <w:ind w:firstLine="482"/>
        <w:rPr>
          <w:b/>
          <w:bCs/>
          <w:color w:val="2A26F7"/>
        </w:rPr>
      </w:pPr>
      <w:r>
        <w:rPr>
          <w:rFonts w:hint="eastAsia"/>
          <w:b/>
          <w:bCs/>
          <w:color w:val="2A26F7"/>
        </w:rPr>
        <w:t>2、汽车尾气</w:t>
      </w:r>
    </w:p>
    <w:p>
      <w:pPr>
        <w:pStyle w:val="6"/>
        <w:ind w:firstLine="480"/>
        <w:rPr>
          <w:color w:val="2A26F7"/>
        </w:rPr>
      </w:pPr>
      <w:r>
        <w:rPr>
          <w:color w:val="2A26F7"/>
        </w:rPr>
        <w:t>根据规划，</w:t>
      </w:r>
      <w:r>
        <w:rPr>
          <w:rFonts w:hint="eastAsia"/>
          <w:color w:val="2A26F7"/>
        </w:rPr>
        <w:t>林芝市</w:t>
      </w:r>
      <w:r>
        <w:rPr>
          <w:color w:val="2A26F7"/>
        </w:rPr>
        <w:t>客源主要为团队游客和散客两类，到20</w:t>
      </w:r>
      <w:r>
        <w:rPr>
          <w:rFonts w:hint="eastAsia"/>
          <w:color w:val="2A26F7"/>
          <w:lang w:val="en-US" w:eastAsia="zh-CN"/>
        </w:rPr>
        <w:t>25</w:t>
      </w:r>
      <w:r>
        <w:rPr>
          <w:color w:val="2A26F7"/>
        </w:rPr>
        <w:t>年，规划区的游客总量</w:t>
      </w:r>
      <w:r>
        <w:rPr>
          <w:rFonts w:hint="eastAsia"/>
          <w:color w:val="2A26F7"/>
          <w:lang w:val="en-US" w:eastAsia="zh-CN"/>
        </w:rPr>
        <w:t>1900</w:t>
      </w:r>
      <w:r>
        <w:rPr>
          <w:color w:val="2A26F7"/>
        </w:rPr>
        <w:t>万人次/年，根据经验</w:t>
      </w:r>
      <w:r>
        <w:rPr>
          <w:rFonts w:hint="eastAsia"/>
          <w:color w:val="2A26F7"/>
        </w:rPr>
        <w:t>，</w:t>
      </w:r>
      <w:r>
        <w:rPr>
          <w:color w:val="2A26F7"/>
        </w:rPr>
        <w:t>设定到达规划区的散客和团队游客比例为</w:t>
      </w:r>
      <w:r>
        <w:rPr>
          <w:rFonts w:hint="eastAsia"/>
          <w:color w:val="2A26F7"/>
          <w:lang w:val="en-US" w:eastAsia="zh-CN"/>
        </w:rPr>
        <w:t>8</w:t>
      </w:r>
      <w:r>
        <w:rPr>
          <w:color w:val="2A26F7"/>
        </w:rPr>
        <w:t>0%</w:t>
      </w:r>
      <w:r>
        <w:rPr>
          <w:rFonts w:hint="eastAsia"/>
          <w:color w:val="2A26F7"/>
        </w:rPr>
        <w:t>:</w:t>
      </w:r>
      <w:r>
        <w:rPr>
          <w:rFonts w:hint="eastAsia"/>
          <w:color w:val="2A26F7"/>
          <w:lang w:val="en-US" w:eastAsia="zh-CN"/>
        </w:rPr>
        <w:t>2</w:t>
      </w:r>
      <w:r>
        <w:rPr>
          <w:color w:val="2A26F7"/>
        </w:rPr>
        <w:t>0%，自驾车和大巴车的平均载客人数为</w:t>
      </w:r>
      <w:r>
        <w:rPr>
          <w:rFonts w:hint="eastAsia"/>
          <w:color w:val="2A26F7"/>
        </w:rPr>
        <w:t>4</w:t>
      </w:r>
      <w:r>
        <w:rPr>
          <w:color w:val="2A26F7"/>
        </w:rPr>
        <w:t>人和40人，自驾车比率为</w:t>
      </w:r>
      <w:r>
        <w:rPr>
          <w:rFonts w:hint="eastAsia"/>
          <w:color w:val="2A26F7"/>
          <w:lang w:val="en-US" w:eastAsia="zh-CN"/>
        </w:rPr>
        <w:t>70</w:t>
      </w:r>
      <w:r>
        <w:rPr>
          <w:color w:val="2A26F7"/>
        </w:rPr>
        <w:t>%，则</w:t>
      </w:r>
      <w:r>
        <w:rPr>
          <w:rFonts w:hint="eastAsia"/>
          <w:color w:val="2A26F7"/>
        </w:rPr>
        <w:t>规划末年20</w:t>
      </w:r>
      <w:r>
        <w:rPr>
          <w:rFonts w:hint="eastAsia"/>
          <w:color w:val="2A26F7"/>
          <w:lang w:val="en-US" w:eastAsia="zh-CN"/>
        </w:rPr>
        <w:t>25</w:t>
      </w:r>
      <w:r>
        <w:rPr>
          <w:rFonts w:hint="eastAsia"/>
          <w:color w:val="2A26F7"/>
        </w:rPr>
        <w:t>年</w:t>
      </w:r>
      <w:r>
        <w:rPr>
          <w:color w:val="2A26F7"/>
        </w:rPr>
        <w:t>规划区旅游车辆如表5.1-</w:t>
      </w:r>
      <w:r>
        <w:rPr>
          <w:rFonts w:hint="eastAsia"/>
          <w:color w:val="2A26F7"/>
        </w:rPr>
        <w:t>4</w:t>
      </w:r>
      <w:r>
        <w:rPr>
          <w:color w:val="2A26F7"/>
        </w:rPr>
        <w:t>所示。</w:t>
      </w:r>
    </w:p>
    <w:p>
      <w:pPr>
        <w:pStyle w:val="27"/>
        <w:rPr>
          <w:rFonts w:hint="eastAsia"/>
          <w:color w:val="2A26F7"/>
        </w:rPr>
      </w:pPr>
      <w:r>
        <w:rPr>
          <w:color w:val="2A26F7"/>
        </w:rPr>
        <w:t>表5.1-</w:t>
      </w:r>
      <w:r>
        <w:rPr>
          <w:rFonts w:hint="eastAsia"/>
          <w:color w:val="2A26F7"/>
        </w:rPr>
        <w:t>4</w:t>
      </w:r>
      <w:r>
        <w:rPr>
          <w:color w:val="2A26F7"/>
        </w:rPr>
        <w:t xml:space="preserve"> </w:t>
      </w:r>
      <w:r>
        <w:rPr>
          <w:rFonts w:hint="eastAsia"/>
          <w:color w:val="2A26F7"/>
        </w:rPr>
        <w:t xml:space="preserve"> </w:t>
      </w:r>
      <w:r>
        <w:rPr>
          <w:rFonts w:hint="eastAsia"/>
          <w:color w:val="2A26F7"/>
          <w:lang w:val="en-US" w:eastAsia="zh-CN"/>
        </w:rPr>
        <w:t>2025</w:t>
      </w:r>
      <w:r>
        <w:rPr>
          <w:color w:val="2A26F7"/>
        </w:rPr>
        <w:t xml:space="preserve">年旅游车辆估算一览表 </w:t>
      </w:r>
    </w:p>
    <w:tbl>
      <w:tblPr>
        <w:tblStyle w:val="24"/>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871"/>
        <w:gridCol w:w="2413"/>
        <w:gridCol w:w="2127"/>
        <w:gridCol w:w="21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97"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规划</w:t>
            </w:r>
            <w:r>
              <w:rPr>
                <w:rFonts w:hint="eastAsia"/>
                <w:color w:val="2A26F7"/>
              </w:rPr>
              <w:t>阶段</w:t>
            </w:r>
          </w:p>
        </w:tc>
        <w:tc>
          <w:tcPr>
            <w:tcW w:w="1415"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游客总数（万人/</w:t>
            </w:r>
            <w:r>
              <w:rPr>
                <w:rFonts w:hint="eastAsia"/>
                <w:color w:val="2A26F7"/>
              </w:rPr>
              <w:t>年</w:t>
            </w:r>
            <w:r>
              <w:rPr>
                <w:rFonts w:hint="default"/>
                <w:color w:val="2A26F7"/>
              </w:rPr>
              <w:t xml:space="preserve">） </w:t>
            </w:r>
          </w:p>
        </w:tc>
        <w:tc>
          <w:tcPr>
            <w:tcW w:w="1247"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自驾车（</w:t>
            </w:r>
            <w:r>
              <w:rPr>
                <w:rFonts w:hint="eastAsia"/>
                <w:color w:val="2A26F7"/>
              </w:rPr>
              <w:t>万</w:t>
            </w:r>
            <w:r>
              <w:rPr>
                <w:rFonts w:hint="default"/>
                <w:color w:val="2A26F7"/>
              </w:rPr>
              <w:t xml:space="preserve">辆） </w:t>
            </w:r>
          </w:p>
        </w:tc>
        <w:tc>
          <w:tcPr>
            <w:tcW w:w="1239"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大巴车（</w:t>
            </w:r>
            <w:r>
              <w:rPr>
                <w:rFonts w:hint="eastAsia"/>
                <w:color w:val="2A26F7"/>
              </w:rPr>
              <w:t>万</w:t>
            </w:r>
            <w:r>
              <w:rPr>
                <w:rFonts w:hint="default"/>
                <w:color w:val="2A26F7"/>
              </w:rPr>
              <w:t>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97"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eastAsia="宋体"/>
                <w:color w:val="2A26F7"/>
                <w:lang w:val="en-US" w:eastAsia="zh-CN"/>
              </w:rPr>
            </w:pPr>
            <w:r>
              <w:rPr>
                <w:rFonts w:hint="eastAsia"/>
                <w:color w:val="2A26F7"/>
                <w:lang w:val="en-US" w:eastAsia="zh-CN"/>
              </w:rPr>
              <w:t>2025年</w:t>
            </w:r>
          </w:p>
        </w:tc>
        <w:tc>
          <w:tcPr>
            <w:tcW w:w="1415"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eastAsia="宋体"/>
                <w:color w:val="2A26F7"/>
                <w:lang w:val="en-US" w:eastAsia="zh-CN"/>
              </w:rPr>
            </w:pPr>
            <w:r>
              <w:rPr>
                <w:rFonts w:hint="eastAsia"/>
                <w:color w:val="2A26F7"/>
                <w:lang w:val="en-US" w:eastAsia="zh-CN"/>
              </w:rPr>
              <w:t>1900</w:t>
            </w:r>
          </w:p>
        </w:tc>
        <w:tc>
          <w:tcPr>
            <w:tcW w:w="1247"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eastAsia="宋体"/>
                <w:color w:val="2A26F7"/>
                <w:lang w:val="en-US" w:eastAsia="zh-CN"/>
              </w:rPr>
            </w:pPr>
            <w:r>
              <w:rPr>
                <w:rFonts w:hint="eastAsia"/>
                <w:color w:val="2A26F7"/>
                <w:lang w:val="en-US" w:eastAsia="zh-CN"/>
              </w:rPr>
              <w:t>266</w:t>
            </w:r>
          </w:p>
        </w:tc>
        <w:tc>
          <w:tcPr>
            <w:tcW w:w="1239"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eastAsia="宋体"/>
                <w:color w:val="2A26F7"/>
                <w:lang w:val="en-US" w:eastAsia="zh-CN"/>
              </w:rPr>
            </w:pPr>
            <w:r>
              <w:rPr>
                <w:rFonts w:hint="eastAsia"/>
                <w:color w:val="2A26F7"/>
                <w:lang w:val="en-US" w:eastAsia="zh-CN"/>
              </w:rPr>
              <w:t>8.44</w:t>
            </w:r>
          </w:p>
        </w:tc>
      </w:tr>
    </w:tbl>
    <w:p>
      <w:pPr>
        <w:pStyle w:val="6"/>
        <w:ind w:firstLine="480"/>
        <w:rPr>
          <w:rFonts w:hint="eastAsia"/>
          <w:color w:val="2A26F7"/>
        </w:rPr>
      </w:pPr>
      <w:r>
        <w:rPr>
          <w:rFonts w:hint="eastAsia"/>
          <w:color w:val="2A26F7"/>
        </w:rPr>
        <w:t>根据《轻型汽车污染物排放限值及测量方法》（GB18352.6-2016）和《重型车用汽油发动机与汽车排放污染物排放限值及测量方法（中国Ⅲ、Ⅳ阶段）》（GB14762-2008）的规定，同时参考《中国不同排放标准机动车排放因子的确定》的模型计算结果，预测年份2025全部</w:t>
      </w:r>
      <w:r>
        <w:rPr>
          <w:rStyle w:val="48"/>
          <w:rFonts w:hint="eastAsia"/>
        </w:rPr>
        <w:t>按照</w:t>
      </w:r>
      <w:r>
        <w:rPr>
          <w:rStyle w:val="48"/>
        </w:rPr>
        <w:t>国Ⅴ标</w:t>
      </w:r>
      <w:r>
        <w:rPr>
          <w:rStyle w:val="48"/>
          <w:rFonts w:hint="eastAsia"/>
          <w:lang w:val="en-US" w:eastAsia="zh-CN"/>
        </w:rPr>
        <w:t>准</w:t>
      </w:r>
      <w:r>
        <w:rPr>
          <w:rStyle w:val="48"/>
          <w:rFonts w:hint="eastAsia"/>
        </w:rPr>
        <w:t>进行</w:t>
      </w:r>
      <w:r>
        <w:rPr>
          <w:rFonts w:hint="eastAsia"/>
          <w:color w:val="2A26F7"/>
        </w:rPr>
        <w:t>计算。规划区内各类旅游汽车的主要污染物排放因子如表5.1-5所示。</w:t>
      </w:r>
    </w:p>
    <w:p>
      <w:pPr>
        <w:pStyle w:val="27"/>
        <w:rPr>
          <w:rFonts w:hint="eastAsia"/>
          <w:color w:val="2A26F7"/>
        </w:rPr>
      </w:pPr>
      <w:r>
        <w:rPr>
          <w:rFonts w:hint="eastAsia"/>
          <w:color w:val="2A26F7"/>
        </w:rPr>
        <w:t>表5.1-5  旅游车辆主要污染物排放因子一览表 单位：g/km</w:t>
      </w:r>
    </w:p>
    <w:tbl>
      <w:tblPr>
        <w:tblStyle w:val="24"/>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52"/>
        <w:gridCol w:w="1973"/>
        <w:gridCol w:w="20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669"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燃油类型及排气量（或车辆自重）</w:t>
            </w:r>
          </w:p>
        </w:tc>
        <w:tc>
          <w:tcPr>
            <w:tcW w:w="1157"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NOx</w:t>
            </w:r>
          </w:p>
        </w:tc>
        <w:tc>
          <w:tcPr>
            <w:tcW w:w="1173"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SO</w:t>
            </w:r>
            <w:r>
              <w:rPr>
                <w:rFonts w:hint="default"/>
                <w:color w:val="2A26F7"/>
                <w:vertAlign w:val="subscript"/>
              </w:rPr>
              <w:t>2</w:t>
            </w:r>
            <w:r>
              <w:rPr>
                <w:rFonts w:hint="default"/>
                <w:color w:val="2A26F7"/>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2669"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汽油，1.4～2.0L</w:t>
            </w:r>
          </w:p>
        </w:tc>
        <w:tc>
          <w:tcPr>
            <w:tcW w:w="1157"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eastAsia="宋体"/>
                <w:color w:val="2A26F7"/>
                <w:lang w:val="en-US" w:eastAsia="zh-CN"/>
              </w:rPr>
            </w:pPr>
            <w:r>
              <w:rPr>
                <w:rFonts w:hint="eastAsia"/>
                <w:color w:val="2A26F7"/>
                <w:lang w:val="en-US" w:eastAsia="zh-CN"/>
              </w:rPr>
              <w:t>0.1</w:t>
            </w:r>
          </w:p>
        </w:tc>
        <w:tc>
          <w:tcPr>
            <w:tcW w:w="1173"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 xml:space="preserve">0.01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669"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 xml:space="preserve">标准公交车，15～18t </w:t>
            </w:r>
          </w:p>
        </w:tc>
        <w:tc>
          <w:tcPr>
            <w:tcW w:w="1157"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eastAsia="宋体"/>
                <w:color w:val="2A26F7"/>
                <w:lang w:val="en-US" w:eastAsia="zh-CN"/>
              </w:rPr>
            </w:pPr>
            <w:r>
              <w:rPr>
                <w:rFonts w:hint="eastAsia"/>
                <w:color w:val="2A26F7"/>
                <w:lang w:val="en-US" w:eastAsia="zh-CN"/>
              </w:rPr>
              <w:t>2.8</w:t>
            </w:r>
          </w:p>
        </w:tc>
        <w:tc>
          <w:tcPr>
            <w:tcW w:w="1173"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0.3</w:t>
            </w:r>
          </w:p>
        </w:tc>
      </w:tr>
    </w:tbl>
    <w:p>
      <w:pPr>
        <w:pStyle w:val="6"/>
        <w:ind w:firstLine="480"/>
        <w:rPr>
          <w:rFonts w:hint="eastAsia"/>
          <w:color w:val="2A26F7"/>
        </w:rPr>
      </w:pPr>
      <w:r>
        <w:rPr>
          <w:rFonts w:hint="eastAsia"/>
          <w:color w:val="2A26F7"/>
        </w:rPr>
        <w:t>到规划末年20</w:t>
      </w:r>
      <w:r>
        <w:rPr>
          <w:rFonts w:hint="eastAsia"/>
          <w:color w:val="2A26F7"/>
          <w:lang w:val="en-US" w:eastAsia="zh-CN"/>
        </w:rPr>
        <w:t>25</w:t>
      </w:r>
      <w:r>
        <w:rPr>
          <w:rFonts w:hint="eastAsia"/>
          <w:color w:val="2A26F7"/>
        </w:rPr>
        <w:t>年，规划公路总里程达到</w:t>
      </w:r>
      <w:r>
        <w:rPr>
          <w:rFonts w:hint="eastAsia"/>
          <w:color w:val="2A26F7"/>
          <w:lang w:val="en-US" w:eastAsia="zh-CN"/>
        </w:rPr>
        <w:t>7136</w:t>
      </w:r>
      <w:r>
        <w:rPr>
          <w:rFonts w:hint="eastAsia"/>
          <w:color w:val="2A26F7"/>
        </w:rPr>
        <w:t>公里。旅游车辆的主要污染物年排放量如表5.1-6所示</w:t>
      </w:r>
    </w:p>
    <w:p>
      <w:pPr>
        <w:pStyle w:val="27"/>
        <w:rPr>
          <w:color w:val="2A26F7"/>
        </w:rPr>
      </w:pPr>
      <w:r>
        <w:rPr>
          <w:color w:val="2A26F7"/>
        </w:rPr>
        <w:t>表5.1-</w:t>
      </w:r>
      <w:r>
        <w:rPr>
          <w:rFonts w:hint="eastAsia"/>
          <w:color w:val="2A26F7"/>
        </w:rPr>
        <w:t>6</w:t>
      </w:r>
      <w:r>
        <w:rPr>
          <w:color w:val="2A26F7"/>
        </w:rPr>
        <w:t xml:space="preserve"> </w:t>
      </w:r>
      <w:r>
        <w:rPr>
          <w:rFonts w:hint="eastAsia"/>
          <w:color w:val="2A26F7"/>
        </w:rPr>
        <w:t xml:space="preserve"> </w:t>
      </w:r>
      <w:r>
        <w:rPr>
          <w:color w:val="2A26F7"/>
        </w:rPr>
        <w:t xml:space="preserve">旅游车辆尾气主要污染物年排放量估算表 </w:t>
      </w:r>
      <w:r>
        <w:rPr>
          <w:rFonts w:hint="eastAsia"/>
          <w:color w:val="2A26F7"/>
        </w:rPr>
        <w:t xml:space="preserve"> </w:t>
      </w:r>
      <w:r>
        <w:rPr>
          <w:color w:val="2A26F7"/>
        </w:rPr>
        <w:t>单位：t</w:t>
      </w:r>
    </w:p>
    <w:tbl>
      <w:tblPr>
        <w:tblStyle w:val="24"/>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09"/>
        <w:gridCol w:w="1729"/>
        <w:gridCol w:w="2973"/>
        <w:gridCol w:w="22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44"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 xml:space="preserve">规划目标年 </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eastAsia"/>
                <w:color w:val="2A26F7"/>
              </w:rPr>
              <w:t>车型</w:t>
            </w:r>
          </w:p>
        </w:tc>
        <w:tc>
          <w:tcPr>
            <w:tcW w:w="1743"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NOx</w:t>
            </w:r>
          </w:p>
        </w:tc>
        <w:tc>
          <w:tcPr>
            <w:tcW w:w="1298"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SO</w:t>
            </w:r>
            <w:r>
              <w:rPr>
                <w:rFonts w:hint="default"/>
                <w:color w:val="2A26F7"/>
                <w:vertAlign w:val="subscript"/>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44" w:type="pct"/>
            <w:vMerge w:val="restart"/>
            <w:tcBorders>
              <w:top w:val="single" w:color="auto" w:sz="4" w:space="0"/>
              <w:left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eastAsia="宋体"/>
                <w:color w:val="2A26F7"/>
                <w:lang w:val="en-US" w:eastAsia="zh-CN"/>
              </w:rPr>
            </w:pPr>
            <w:r>
              <w:rPr>
                <w:rFonts w:hint="eastAsia"/>
                <w:color w:val="2A26F7"/>
                <w:lang w:val="en-US" w:eastAsia="zh-CN"/>
              </w:rPr>
              <w:t>2025</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eastAsia"/>
                <w:color w:val="2A26F7"/>
              </w:rPr>
              <w:t>自驾车</w:t>
            </w:r>
          </w:p>
        </w:tc>
        <w:tc>
          <w:tcPr>
            <w:tcW w:w="297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1995</w:t>
            </w:r>
          </w:p>
        </w:tc>
        <w:tc>
          <w:tcPr>
            <w:tcW w:w="221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199.5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44" w:type="pct"/>
            <w:vMerge w:val="continue"/>
            <w:tcBorders>
              <w:left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p>
        </w:tc>
        <w:tc>
          <w:tcPr>
            <w:tcW w:w="1014"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eastAsia"/>
                <w:color w:val="2A26F7"/>
              </w:rPr>
              <w:t>大巴车</w:t>
            </w:r>
          </w:p>
        </w:tc>
        <w:tc>
          <w:tcPr>
            <w:tcW w:w="297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1773.3</w:t>
            </w:r>
          </w:p>
        </w:tc>
        <w:tc>
          <w:tcPr>
            <w:tcW w:w="221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190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44" w:type="pct"/>
            <w:vMerge w:val="continue"/>
            <w:tcBorders>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p>
        </w:tc>
        <w:tc>
          <w:tcPr>
            <w:tcW w:w="1014"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eastAsia"/>
                <w:color w:val="2A26F7"/>
              </w:rPr>
              <w:t>合计</w:t>
            </w:r>
          </w:p>
        </w:tc>
        <w:tc>
          <w:tcPr>
            <w:tcW w:w="297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3768.3</w:t>
            </w:r>
          </w:p>
        </w:tc>
        <w:tc>
          <w:tcPr>
            <w:tcW w:w="221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389.5</w:t>
            </w:r>
          </w:p>
        </w:tc>
      </w:tr>
    </w:tbl>
    <w:p>
      <w:pPr>
        <w:pStyle w:val="2"/>
        <w:rPr>
          <w:rFonts w:hint="eastAsia"/>
          <w:color w:val="2A26F7"/>
        </w:rPr>
      </w:pPr>
      <w:r>
        <w:rPr>
          <w:rFonts w:hint="eastAsia"/>
          <w:color w:val="2A26F7"/>
        </w:rPr>
        <w:t>5.1.2.</w:t>
      </w:r>
      <w:r>
        <w:rPr>
          <w:rFonts w:hint="eastAsia"/>
          <w:color w:val="2A26F7"/>
          <w:lang w:val="en-US" w:eastAsia="zh-CN"/>
        </w:rPr>
        <w:t>2</w:t>
      </w:r>
      <w:r>
        <w:rPr>
          <w:rFonts w:hint="eastAsia"/>
          <w:color w:val="2A26F7"/>
        </w:rPr>
        <w:t>废水污染物排放量估算</w:t>
      </w:r>
    </w:p>
    <w:p>
      <w:pPr>
        <w:pStyle w:val="6"/>
        <w:ind w:firstLine="482"/>
        <w:rPr>
          <w:b/>
          <w:bCs/>
          <w:color w:val="2A26F7"/>
        </w:rPr>
      </w:pPr>
      <w:r>
        <w:rPr>
          <w:rFonts w:hint="eastAsia"/>
          <w:b/>
          <w:bCs/>
          <w:color w:val="2A26F7"/>
        </w:rPr>
        <w:t>1、污染源及污染因子</w:t>
      </w:r>
    </w:p>
    <w:p>
      <w:pPr>
        <w:pStyle w:val="6"/>
        <w:ind w:firstLine="480"/>
        <w:rPr>
          <w:color w:val="2A26F7"/>
        </w:rPr>
      </w:pPr>
      <w:r>
        <w:rPr>
          <w:rFonts w:hint="eastAsia"/>
          <w:color w:val="2A26F7"/>
        </w:rPr>
        <w:t>根据</w:t>
      </w:r>
      <w:r>
        <w:rPr>
          <w:color w:val="2A26F7"/>
        </w:rPr>
        <w:t>规划布局及发展方向，规划区排放的废水主要为生活污水（含餐饮废水），废水主要污染物为COD、NH</w:t>
      </w:r>
      <w:r>
        <w:rPr>
          <w:color w:val="2A26F7"/>
          <w:vertAlign w:val="subscript"/>
        </w:rPr>
        <w:t>3</w:t>
      </w:r>
      <w:r>
        <w:rPr>
          <w:color w:val="2A26F7"/>
        </w:rPr>
        <w:t>-N、BOD</w:t>
      </w:r>
      <w:r>
        <w:rPr>
          <w:color w:val="2A26F7"/>
          <w:vertAlign w:val="subscript"/>
        </w:rPr>
        <w:t>5</w:t>
      </w:r>
      <w:r>
        <w:rPr>
          <w:color w:val="2A26F7"/>
        </w:rPr>
        <w:t>、SS、</w:t>
      </w:r>
      <w:r>
        <w:rPr>
          <w:rFonts w:hint="eastAsia"/>
          <w:color w:val="2A26F7"/>
        </w:rPr>
        <w:t>TP、</w:t>
      </w:r>
      <w:r>
        <w:rPr>
          <w:color w:val="2A26F7"/>
        </w:rPr>
        <w:t>动植物油。影响河流水质的污染物主要为COD</w:t>
      </w:r>
      <w:r>
        <w:rPr>
          <w:rFonts w:hint="eastAsia"/>
          <w:color w:val="2A26F7"/>
        </w:rPr>
        <w:t>、</w:t>
      </w:r>
      <w:r>
        <w:rPr>
          <w:color w:val="2A26F7"/>
        </w:rPr>
        <w:t>NH</w:t>
      </w:r>
      <w:r>
        <w:rPr>
          <w:color w:val="2A26F7"/>
          <w:vertAlign w:val="subscript"/>
        </w:rPr>
        <w:t>3</w:t>
      </w:r>
      <w:r>
        <w:rPr>
          <w:color w:val="2A26F7"/>
        </w:rPr>
        <w:t>-N</w:t>
      </w:r>
      <w:r>
        <w:rPr>
          <w:rFonts w:hint="eastAsia"/>
          <w:color w:val="2A26F7"/>
        </w:rPr>
        <w:t>、TP</w:t>
      </w:r>
      <w:r>
        <w:rPr>
          <w:color w:val="2A26F7"/>
        </w:rPr>
        <w:t>。</w:t>
      </w:r>
    </w:p>
    <w:p>
      <w:pPr>
        <w:pStyle w:val="6"/>
        <w:ind w:firstLine="480"/>
        <w:rPr>
          <w:color w:val="2A26F7"/>
        </w:rPr>
      </w:pPr>
    </w:p>
    <w:p>
      <w:pPr>
        <w:pStyle w:val="6"/>
        <w:ind w:firstLine="482"/>
        <w:rPr>
          <w:b/>
          <w:bCs/>
        </w:rPr>
      </w:pPr>
      <w:r>
        <w:rPr>
          <w:rFonts w:hint="eastAsia"/>
          <w:b/>
          <w:bCs/>
        </w:rPr>
        <w:t>2、</w:t>
      </w:r>
      <w:r>
        <w:rPr>
          <w:b/>
          <w:bCs/>
        </w:rPr>
        <w:t>废水量预测</w:t>
      </w:r>
    </w:p>
    <w:p>
      <w:pPr>
        <w:pStyle w:val="6"/>
        <w:ind w:firstLine="480"/>
        <w:rPr>
          <w:rFonts w:hint="eastAsia"/>
          <w:color w:val="0000FF"/>
        </w:rPr>
      </w:pPr>
      <w:r>
        <w:rPr>
          <w:color w:val="0000FF"/>
        </w:rPr>
        <w:t>本评价依据</w:t>
      </w:r>
      <w:r>
        <w:rPr>
          <w:rFonts w:hint="eastAsia"/>
          <w:color w:val="0000FF"/>
        </w:rPr>
        <w:t>规划远期末年20</w:t>
      </w:r>
      <w:r>
        <w:rPr>
          <w:rFonts w:hint="eastAsia"/>
          <w:color w:val="0000FF"/>
          <w:lang w:val="en-US" w:eastAsia="zh-CN"/>
        </w:rPr>
        <w:t>25</w:t>
      </w:r>
      <w:r>
        <w:rPr>
          <w:rFonts w:hint="eastAsia"/>
          <w:color w:val="0000FF"/>
        </w:rPr>
        <w:t>年</w:t>
      </w:r>
      <w:r>
        <w:rPr>
          <w:color w:val="0000FF"/>
        </w:rPr>
        <w:t>接待人数</w:t>
      </w:r>
      <w:r>
        <w:rPr>
          <w:rFonts w:hint="eastAsia"/>
          <w:color w:val="0000FF"/>
          <w:lang w:val="en-US" w:eastAsia="zh-CN"/>
        </w:rPr>
        <w:t>1900</w:t>
      </w:r>
      <w:r>
        <w:rPr>
          <w:rFonts w:hint="eastAsia"/>
          <w:color w:val="0000FF"/>
        </w:rPr>
        <w:t>万人</w:t>
      </w:r>
      <w:r>
        <w:rPr>
          <w:color w:val="0000FF"/>
        </w:rPr>
        <w:t>来</w:t>
      </w:r>
      <w:r>
        <w:rPr>
          <w:rFonts w:hint="eastAsia"/>
          <w:color w:val="0000FF"/>
        </w:rPr>
        <w:t>预测</w:t>
      </w:r>
      <w:r>
        <w:rPr>
          <w:color w:val="0000FF"/>
        </w:rPr>
        <w:t>废水量和污染物的排放量。</w:t>
      </w:r>
      <w:r>
        <w:rPr>
          <w:rFonts w:hint="eastAsia"/>
          <w:color w:val="0000FF"/>
        </w:rPr>
        <w:t>本次规划为旅游规划，</w:t>
      </w:r>
      <w:r>
        <w:rPr>
          <w:color w:val="0000FF"/>
        </w:rPr>
        <w:t>生活用水量参照《</w:t>
      </w:r>
      <w:r>
        <w:rPr>
          <w:rFonts w:hint="eastAsia"/>
          <w:color w:val="0000FF"/>
        </w:rPr>
        <w:t>西藏自治区用水定额</w:t>
      </w:r>
      <w:r>
        <w:rPr>
          <w:color w:val="0000FF"/>
        </w:rPr>
        <w:t>》（2019</w:t>
      </w:r>
      <w:r>
        <w:rPr>
          <w:rFonts w:hint="eastAsia"/>
          <w:color w:val="0000FF"/>
        </w:rPr>
        <w:t>年修订版</w:t>
      </w:r>
      <w:r>
        <w:rPr>
          <w:color w:val="0000FF"/>
        </w:rPr>
        <w:t>），选取</w:t>
      </w:r>
      <w:r>
        <w:rPr>
          <w:rFonts w:hint="eastAsia"/>
          <w:color w:val="0000FF"/>
        </w:rPr>
        <w:t>1</w:t>
      </w:r>
      <w:r>
        <w:rPr>
          <w:color w:val="0000FF"/>
        </w:rPr>
        <w:t>2</w:t>
      </w:r>
      <w:r>
        <w:rPr>
          <w:rFonts w:hint="eastAsia"/>
          <w:color w:val="0000FF"/>
        </w:rPr>
        <w:t>0</w:t>
      </w:r>
      <w:r>
        <w:rPr>
          <w:color w:val="0000FF"/>
        </w:rPr>
        <w:t>L/（人</w:t>
      </w:r>
      <w:r>
        <w:rPr>
          <w:rFonts w:hint="eastAsia"/>
          <w:color w:val="0000FF"/>
        </w:rPr>
        <w:t>·</w:t>
      </w:r>
      <w:r>
        <w:rPr>
          <w:color w:val="0000FF"/>
        </w:rPr>
        <w:t>d）</w:t>
      </w:r>
      <w:r>
        <w:rPr>
          <w:rFonts w:hint="eastAsia"/>
          <w:color w:val="0000FF"/>
        </w:rPr>
        <w:t>。</w:t>
      </w:r>
    </w:p>
    <w:p>
      <w:pPr>
        <w:pStyle w:val="6"/>
        <w:ind w:firstLine="480"/>
        <w:rPr>
          <w:rFonts w:hint="eastAsia"/>
          <w:color w:val="0000FF"/>
        </w:rPr>
      </w:pPr>
      <w:r>
        <w:rPr>
          <w:rFonts w:hint="eastAsia"/>
          <w:color w:val="0000FF"/>
        </w:rPr>
        <w:t>依据本次环评建议排水方案，污染物排放量按</w:t>
      </w:r>
      <w:r>
        <w:t>《城镇污水处理厂污染物排放标准》（GB18918-2002）一级A标准</w:t>
      </w:r>
      <w:r>
        <w:rPr>
          <w:rFonts w:hint="eastAsia"/>
          <w:color w:val="0000FF"/>
        </w:rPr>
        <w:t>核算。废水排放系数取80%，</w:t>
      </w:r>
      <w:r>
        <w:rPr>
          <w:color w:val="0000FF"/>
        </w:rPr>
        <w:t>保守不计中水回用量。</w:t>
      </w:r>
      <w:r>
        <w:rPr>
          <w:rFonts w:hint="eastAsia"/>
          <w:color w:val="0000FF"/>
        </w:rPr>
        <w:t>废水污染物排放情况详见表5.1-2。</w:t>
      </w:r>
    </w:p>
    <w:p>
      <w:pPr>
        <w:pStyle w:val="27"/>
      </w:pPr>
      <w:r>
        <w:rPr>
          <w:rFonts w:hint="eastAsia"/>
        </w:rPr>
        <w:t xml:space="preserve">表5.1-2  </w:t>
      </w:r>
      <w:r>
        <w:rPr>
          <w:rFonts w:hint="eastAsia"/>
          <w:lang w:val="en-US" w:eastAsia="zh-CN"/>
        </w:rPr>
        <w:t>2025</w:t>
      </w:r>
      <w:r>
        <w:rPr>
          <w:rFonts w:hint="eastAsia"/>
        </w:rPr>
        <w:t>年拟排入区域水体污染物总量统计</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1668"/>
        <w:gridCol w:w="1692"/>
        <w:gridCol w:w="1692"/>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24" w:type="pct"/>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规划阶段</w:t>
            </w:r>
          </w:p>
        </w:tc>
        <w:tc>
          <w:tcPr>
            <w:tcW w:w="978" w:type="pct"/>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排放水量（万</w:t>
            </w:r>
            <w:r>
              <w:rPr>
                <w:rFonts w:hint="default"/>
              </w:rPr>
              <w:t>t</w:t>
            </w:r>
            <w:r>
              <w:rPr>
                <w:rFonts w:hint="eastAsia"/>
              </w:rPr>
              <w:t>）</w:t>
            </w:r>
          </w:p>
        </w:tc>
        <w:tc>
          <w:tcPr>
            <w:tcW w:w="3096" w:type="pct"/>
            <w:gridSpan w:val="3"/>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主要污染物排放量（</w:t>
            </w:r>
            <w:r>
              <w:rPr>
                <w:rFonts w:hint="default"/>
              </w:rPr>
              <w:t>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24"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978"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99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COD</w:t>
            </w:r>
          </w:p>
        </w:tc>
        <w:tc>
          <w:tcPr>
            <w:tcW w:w="99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NH</w:t>
            </w:r>
            <w:r>
              <w:rPr>
                <w:rFonts w:hint="default"/>
                <w:vertAlign w:val="subscript"/>
              </w:rPr>
              <w:t>3</w:t>
            </w:r>
            <w:r>
              <w:rPr>
                <w:rFonts w:hint="default"/>
              </w:rPr>
              <w:t>-N</w:t>
            </w:r>
          </w:p>
        </w:tc>
        <w:tc>
          <w:tcPr>
            <w:tcW w:w="111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远期（</w:t>
            </w:r>
            <w:r>
              <w:rPr>
                <w:rFonts w:hint="eastAsia"/>
                <w:lang w:val="en-US" w:eastAsia="zh-CN"/>
              </w:rPr>
              <w:t>2025</w:t>
            </w:r>
            <w:r>
              <w:rPr>
                <w:rFonts w:hint="eastAsia"/>
              </w:rPr>
              <w:t>年）</w:t>
            </w:r>
          </w:p>
        </w:tc>
        <w:tc>
          <w:tcPr>
            <w:tcW w:w="97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182.4</w:t>
            </w:r>
          </w:p>
        </w:tc>
        <w:tc>
          <w:tcPr>
            <w:tcW w:w="99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91.2</w:t>
            </w:r>
          </w:p>
        </w:tc>
        <w:tc>
          <w:tcPr>
            <w:tcW w:w="99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9.12</w:t>
            </w:r>
          </w:p>
        </w:tc>
        <w:tc>
          <w:tcPr>
            <w:tcW w:w="111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0.91</w:t>
            </w:r>
          </w:p>
        </w:tc>
      </w:tr>
    </w:tbl>
    <w:p>
      <w:pPr>
        <w:pStyle w:val="2"/>
      </w:pPr>
      <w:r>
        <w:rPr>
          <w:rFonts w:hint="eastAsia"/>
        </w:rPr>
        <w:t>5.1.2.3固体废弃物污染源估算</w:t>
      </w:r>
    </w:p>
    <w:p>
      <w:pPr>
        <w:pStyle w:val="6"/>
        <w:ind w:firstLine="480"/>
        <w:rPr>
          <w:rFonts w:hint="eastAsia"/>
        </w:rPr>
      </w:pPr>
      <w:r>
        <w:rPr>
          <w:rFonts w:hint="eastAsia"/>
        </w:rPr>
        <w:t>根据本规划定位，旅游活动产生的固体废弃物的影响主要分为生活垃圾。</w:t>
      </w:r>
    </w:p>
    <w:p>
      <w:pPr>
        <w:pStyle w:val="6"/>
        <w:ind w:firstLine="480"/>
        <w:rPr>
          <w:rFonts w:hint="eastAsia"/>
          <w:color w:val="2A26F7"/>
        </w:rPr>
      </w:pPr>
      <w:r>
        <w:rPr>
          <w:rFonts w:hint="eastAsia"/>
        </w:rPr>
        <w:t>根据《</w:t>
      </w:r>
      <w:r>
        <w:t>风景区生活垃圾特性及产生量预测研究</w:t>
      </w:r>
      <w:r>
        <w:rPr>
          <w:rFonts w:hint="eastAsia"/>
        </w:rPr>
        <w:t>》对旅游景区垃圾产生量的研究结果，住宿游客产生的垃圾量约为1.3kg/（人.d），不住宿游客为0.3kg/（人.d）。根</w:t>
      </w:r>
      <w:r>
        <w:rPr>
          <w:rFonts w:hint="eastAsia"/>
          <w:color w:val="2A26F7"/>
        </w:rPr>
        <w:t>据林芝市旅游局游客抽样调查分析统计，林芝旅游的过夜游客占到84%。平均停留天数为1.9天。根据规划目标到规划末期2</w:t>
      </w:r>
      <w:r>
        <w:rPr>
          <w:color w:val="2A26F7"/>
        </w:rPr>
        <w:t>0</w:t>
      </w:r>
      <w:r>
        <w:rPr>
          <w:rFonts w:hint="eastAsia"/>
          <w:color w:val="2A26F7"/>
          <w:lang w:val="en-US" w:eastAsia="zh-CN"/>
        </w:rPr>
        <w:t>25</w:t>
      </w:r>
      <w:r>
        <w:rPr>
          <w:rFonts w:hint="eastAsia"/>
          <w:color w:val="2A26F7"/>
        </w:rPr>
        <w:t>年旅游总人数预计达到</w:t>
      </w:r>
      <w:r>
        <w:rPr>
          <w:rFonts w:hint="eastAsia"/>
          <w:color w:val="2A26F7"/>
          <w:lang w:val="en-US" w:eastAsia="zh-CN"/>
        </w:rPr>
        <w:t>1900</w:t>
      </w:r>
      <w:r>
        <w:rPr>
          <w:rFonts w:hint="eastAsia"/>
          <w:color w:val="2A26F7"/>
        </w:rPr>
        <w:t>万人次。结合上述分析数据进行估算，</w:t>
      </w:r>
      <w:r>
        <w:rPr>
          <w:rFonts w:hint="eastAsia"/>
          <w:color w:val="2A26F7"/>
          <w:lang w:val="en-US" w:eastAsia="zh-CN"/>
        </w:rPr>
        <w:t>2025</w:t>
      </w:r>
      <w:r>
        <w:rPr>
          <w:rFonts w:hint="eastAsia"/>
          <w:color w:val="2A26F7"/>
        </w:rPr>
        <w:t>年旅游垃圾产生量约</w:t>
      </w:r>
      <w:r>
        <w:rPr>
          <w:rFonts w:hint="eastAsia"/>
          <w:color w:val="2A26F7"/>
          <w:lang w:val="en-US" w:eastAsia="zh-CN"/>
        </w:rPr>
        <w:t>4.03</w:t>
      </w:r>
      <w:r>
        <w:rPr>
          <w:rFonts w:hint="eastAsia"/>
          <w:color w:val="2A26F7"/>
        </w:rPr>
        <w:t>万t/a。</w:t>
      </w:r>
    </w:p>
    <w:p>
      <w:pPr>
        <w:pStyle w:val="27"/>
        <w:rPr>
          <w:rFonts w:hint="eastAsia"/>
          <w:color w:val="2A26F7"/>
        </w:rPr>
      </w:pPr>
      <w:r>
        <w:rPr>
          <w:rFonts w:hint="eastAsia"/>
          <w:color w:val="2A26F7"/>
        </w:rPr>
        <w:t>表5.1-7  旅游垃圾产生情况</w:t>
      </w:r>
    </w:p>
    <w:tbl>
      <w:tblPr>
        <w:tblStyle w:val="24"/>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10"/>
        <w:gridCol w:w="1339"/>
        <w:gridCol w:w="1032"/>
        <w:gridCol w:w="1521"/>
        <w:gridCol w:w="1567"/>
        <w:gridCol w:w="21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规划期</w:t>
            </w:r>
          </w:p>
        </w:tc>
        <w:tc>
          <w:tcPr>
            <w:tcW w:w="78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游客人数（万人/年）</w:t>
            </w:r>
          </w:p>
        </w:tc>
        <w:tc>
          <w:tcPr>
            <w:tcW w:w="1497" w:type="pct"/>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人数（万人）</w:t>
            </w:r>
          </w:p>
        </w:tc>
        <w:tc>
          <w:tcPr>
            <w:tcW w:w="91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天数（d</w:t>
            </w:r>
            <w:r>
              <w:rPr>
                <w:rFonts w:hint="eastAsia"/>
                <w:color w:val="2A26F7"/>
              </w:rPr>
              <w:t>）</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垃圾产生量</w:t>
            </w:r>
            <w:r>
              <w:rPr>
                <w:rFonts w:hint="eastAsia"/>
                <w:color w:val="2A26F7"/>
              </w:rPr>
              <w:t>（万t/a）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pct"/>
            <w:vMerge w:val="restart"/>
            <w:tcBorders>
              <w:top w:val="single" w:color="auto" w:sz="4" w:space="0"/>
              <w:left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eastAsia"/>
                <w:color w:val="2A26F7"/>
              </w:rPr>
              <w:t>20</w:t>
            </w:r>
            <w:r>
              <w:rPr>
                <w:rFonts w:hint="eastAsia"/>
                <w:color w:val="2A26F7"/>
                <w:lang w:val="en-US" w:eastAsia="zh-CN"/>
              </w:rPr>
              <w:t>25</w:t>
            </w:r>
            <w:r>
              <w:rPr>
                <w:rFonts w:hint="eastAsia"/>
                <w:color w:val="2A26F7"/>
              </w:rPr>
              <w:t>年</w:t>
            </w:r>
          </w:p>
        </w:tc>
        <w:tc>
          <w:tcPr>
            <w:tcW w:w="785" w:type="pct"/>
            <w:vMerge w:val="restart"/>
            <w:tcBorders>
              <w:top w:val="single" w:color="auto" w:sz="4" w:space="0"/>
              <w:left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color w:val="2A26F7"/>
                <w:lang w:val="en-US" w:eastAsia="zh-CN"/>
              </w:rPr>
            </w:pPr>
            <w:r>
              <w:rPr>
                <w:rFonts w:hint="eastAsia"/>
                <w:color w:val="2A26F7"/>
                <w:lang w:val="en-US" w:eastAsia="zh-CN"/>
              </w:rPr>
              <w:t>1900</w:t>
            </w:r>
          </w:p>
        </w:tc>
        <w:tc>
          <w:tcPr>
            <w:tcW w:w="60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 xml:space="preserve">住宿 </w:t>
            </w:r>
          </w:p>
        </w:tc>
        <w:tc>
          <w:tcPr>
            <w:tcW w:w="89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color w:val="2A26F7"/>
                <w:lang w:val="en-US" w:eastAsia="zh-CN"/>
              </w:rPr>
            </w:pPr>
            <w:r>
              <w:rPr>
                <w:rFonts w:hint="eastAsia"/>
                <w:color w:val="2A26F7"/>
                <w:lang w:val="en-US" w:eastAsia="zh-CN"/>
              </w:rPr>
              <w:t>1596</w:t>
            </w:r>
          </w:p>
        </w:tc>
        <w:tc>
          <w:tcPr>
            <w:tcW w:w="91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eastAsia"/>
                <w:color w:val="2A26F7"/>
              </w:rPr>
              <w:t>1.9</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color w:val="2A26F7"/>
                <w:lang w:val="en-US" w:eastAsia="zh-CN"/>
              </w:rPr>
            </w:pPr>
            <w:r>
              <w:rPr>
                <w:rFonts w:hint="eastAsia"/>
                <w:color w:val="2A26F7"/>
                <w:lang w:val="en-US" w:eastAsia="zh-CN"/>
              </w:rPr>
              <w:t>3.94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pct"/>
            <w:vMerge w:val="continue"/>
            <w:tcBorders>
              <w:left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785" w:type="pct"/>
            <w:vMerge w:val="continue"/>
            <w:tcBorders>
              <w:left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60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 xml:space="preserve">非住宿 </w:t>
            </w:r>
          </w:p>
        </w:tc>
        <w:tc>
          <w:tcPr>
            <w:tcW w:w="89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color w:val="2A26F7"/>
                <w:lang w:val="en-US" w:eastAsia="zh-CN"/>
              </w:rPr>
            </w:pPr>
            <w:r>
              <w:rPr>
                <w:rFonts w:hint="eastAsia"/>
                <w:color w:val="2A26F7"/>
                <w:lang w:val="en-US" w:eastAsia="zh-CN"/>
              </w:rPr>
              <w:t>304</w:t>
            </w:r>
          </w:p>
        </w:tc>
        <w:tc>
          <w:tcPr>
            <w:tcW w:w="91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eastAsia"/>
                <w:color w:val="2A26F7"/>
              </w:rPr>
              <w:t>1.9</w:t>
            </w:r>
          </w:p>
        </w:tc>
        <w:tc>
          <w:tcPr>
            <w:tcW w:w="1264" w:type="pct"/>
            <w:tcBorders>
              <w:top w:val="single" w:color="auto" w:sz="4" w:space="0"/>
              <w:left w:val="single" w:color="auto" w:sz="4" w:space="0"/>
              <w:bottom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color w:val="2A26F7"/>
                <w:lang w:val="en-US" w:eastAsia="zh-CN"/>
              </w:rPr>
            </w:pPr>
            <w:r>
              <w:rPr>
                <w:rFonts w:hint="eastAsia"/>
                <w:color w:val="2A26F7"/>
                <w:lang w:val="en-US" w:eastAsia="zh-CN"/>
              </w:rPr>
              <w:t>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pct"/>
            <w:vMerge w:val="continue"/>
            <w:tcBorders>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3201" w:type="pct"/>
            <w:gridSpan w:val="4"/>
            <w:tcBorders>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eastAsia"/>
                <w:color w:val="2A26F7"/>
              </w:rPr>
              <w:t>合计</w:t>
            </w:r>
          </w:p>
        </w:tc>
        <w:tc>
          <w:tcPr>
            <w:tcW w:w="1264" w:type="pct"/>
            <w:tcBorders>
              <w:top w:val="single" w:color="auto" w:sz="4" w:space="0"/>
              <w:left w:val="single" w:color="auto" w:sz="4" w:space="0"/>
              <w:bottom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color w:val="2A26F7"/>
                <w:lang w:val="en-US" w:eastAsia="zh-CN"/>
              </w:rPr>
            </w:pPr>
            <w:r>
              <w:rPr>
                <w:rFonts w:hint="eastAsia"/>
                <w:color w:val="2A26F7"/>
                <w:lang w:val="en-US" w:eastAsia="zh-CN"/>
              </w:rPr>
              <w:t>4.03</w:t>
            </w:r>
          </w:p>
        </w:tc>
      </w:tr>
    </w:tbl>
    <w:p>
      <w:pPr>
        <w:pStyle w:val="2"/>
        <w:rPr>
          <w:rFonts w:hint="eastAsia"/>
        </w:rPr>
      </w:pPr>
      <w:r>
        <w:rPr>
          <w:rFonts w:hint="eastAsia"/>
        </w:rPr>
        <w:t>5.1.2.4噪声污染源强</w:t>
      </w:r>
    </w:p>
    <w:p>
      <w:pPr>
        <w:pStyle w:val="6"/>
        <w:ind w:firstLine="480"/>
        <w:rPr>
          <w:rFonts w:hint="eastAsia"/>
        </w:rPr>
      </w:pPr>
      <w:r>
        <w:rPr>
          <w:rFonts w:hint="eastAsia"/>
        </w:rPr>
        <w:t>根据规划方案，规划实施后的噪声排放主要来源于交通噪声、游客人群噪声和经营活动噪声。</w:t>
      </w:r>
    </w:p>
    <w:p>
      <w:pPr>
        <w:pStyle w:val="6"/>
        <w:ind w:firstLine="480"/>
        <w:rPr>
          <w:rFonts w:hint="eastAsia"/>
        </w:rPr>
      </w:pPr>
      <w:r>
        <w:rPr>
          <w:rFonts w:hint="eastAsia"/>
        </w:rPr>
        <w:t>1、交通噪声</w:t>
      </w:r>
    </w:p>
    <w:p>
      <w:pPr>
        <w:pStyle w:val="6"/>
        <w:ind w:firstLine="480"/>
        <w:rPr>
          <w:rFonts w:hint="eastAsia"/>
        </w:rPr>
      </w:pPr>
      <w:r>
        <w:rPr>
          <w:rFonts w:hint="eastAsia"/>
        </w:rPr>
        <w:t>交通噪声主要集中在道路干线、景区停车场，时间上主要集中在昼间时段（6:00-22:00），空间上其分布与道路及停车场正相关。随着林芝市旅游发展，林芝市内公路等交通流量将在现状基础上有所增长，交通噪声声级一般在65~75dB(A)。</w:t>
      </w:r>
    </w:p>
    <w:p>
      <w:pPr>
        <w:pStyle w:val="6"/>
        <w:ind w:firstLine="480"/>
        <w:rPr>
          <w:rFonts w:hint="eastAsia"/>
        </w:rPr>
      </w:pPr>
      <w:r>
        <w:rPr>
          <w:rFonts w:hint="eastAsia"/>
        </w:rPr>
        <w:t>2、游客人群噪声</w:t>
      </w:r>
    </w:p>
    <w:p>
      <w:pPr>
        <w:pStyle w:val="6"/>
        <w:ind w:firstLine="480"/>
        <w:rPr>
          <w:rFonts w:hint="eastAsia"/>
        </w:rPr>
      </w:pPr>
      <w:r>
        <w:rPr>
          <w:rFonts w:hint="eastAsia"/>
        </w:rPr>
        <w:t>一般人群普遍会话的声级范围在70～75dB(A)，人群产生的噪声与人群的人口密度有关。根据有关景区噪声统计结果，人口密度为0.2人/m</w:t>
      </w:r>
      <w:r>
        <w:rPr>
          <w:rFonts w:hint="eastAsia"/>
          <w:vertAlign w:val="superscript"/>
        </w:rPr>
        <w:t>2</w:t>
      </w:r>
      <w:r>
        <w:rPr>
          <w:rFonts w:hint="eastAsia"/>
        </w:rPr>
        <w:t>时，人群的噪声级在73dB(A)左右，人口密度为1人/m</w:t>
      </w:r>
      <w:r>
        <w:rPr>
          <w:rFonts w:hint="eastAsia"/>
          <w:vertAlign w:val="superscript"/>
        </w:rPr>
        <w:t>2</w:t>
      </w:r>
      <w:r>
        <w:rPr>
          <w:rFonts w:hint="eastAsia"/>
        </w:rPr>
        <w:t>时，人群的噪声级在75dB(A)左右，人群密度在2人/m</w:t>
      </w:r>
      <w:r>
        <w:rPr>
          <w:rFonts w:hint="eastAsia"/>
          <w:vertAlign w:val="superscript"/>
        </w:rPr>
        <w:t>2</w:t>
      </w:r>
      <w:r>
        <w:rPr>
          <w:rFonts w:hint="eastAsia"/>
        </w:rPr>
        <w:t>时，人群的噪声级在83dB(A)左右。</w:t>
      </w:r>
    </w:p>
    <w:p>
      <w:pPr>
        <w:pStyle w:val="6"/>
        <w:ind w:firstLine="480"/>
        <w:rPr>
          <w:rFonts w:hint="eastAsia"/>
        </w:rPr>
      </w:pPr>
      <w:r>
        <w:rPr>
          <w:rFonts w:hint="eastAsia"/>
        </w:rPr>
        <w:t>3、经营活动产生的噪声</w:t>
      </w:r>
    </w:p>
    <w:p>
      <w:pPr>
        <w:pStyle w:val="6"/>
        <w:ind w:firstLine="480"/>
        <w:rPr>
          <w:rFonts w:hint="eastAsia"/>
        </w:rPr>
      </w:pPr>
      <w:r>
        <w:rPr>
          <w:rFonts w:hint="eastAsia"/>
        </w:rPr>
        <w:t>根据规划，在景区的部分区域，将开展文化娱乐演出等经营活动。而经营活动的区域通常位于现有居民点为中心的景区。类比同类型露天广场演艺活动，音乐音响声可达100dB。</w:t>
      </w:r>
    </w:p>
    <w:p>
      <w:pPr>
        <w:pStyle w:val="4"/>
        <w:bidi w:val="0"/>
        <w:rPr>
          <w:rFonts w:hint="eastAsia"/>
        </w:rPr>
      </w:pPr>
      <w:bookmarkStart w:id="131" w:name="_Toc32625"/>
      <w:bookmarkStart w:id="132" w:name="_Toc16243"/>
      <w:bookmarkStart w:id="133" w:name="_Toc93156003"/>
      <w:r>
        <w:rPr>
          <w:rFonts w:hint="eastAsia"/>
        </w:rPr>
        <w:t>5.2环境影响预测与评价</w:t>
      </w:r>
      <w:bookmarkEnd w:id="131"/>
      <w:bookmarkEnd w:id="132"/>
    </w:p>
    <w:p>
      <w:pPr>
        <w:pStyle w:val="5"/>
        <w:bidi w:val="0"/>
        <w:rPr>
          <w:rFonts w:hint="default"/>
          <w:lang w:val="en-US" w:eastAsia="zh-CN"/>
        </w:rPr>
      </w:pPr>
      <w:bookmarkStart w:id="134" w:name="_Toc31650"/>
      <w:r>
        <w:rPr>
          <w:rFonts w:hint="eastAsia"/>
          <w:lang w:val="en-US" w:eastAsia="zh-CN"/>
        </w:rPr>
        <w:t>5.2.1施工期环境影响分析</w:t>
      </w:r>
      <w:bookmarkEnd w:id="134"/>
    </w:p>
    <w:p>
      <w:pPr>
        <w:pStyle w:val="2"/>
      </w:pPr>
      <w:r>
        <w:rPr>
          <w:rFonts w:hint="eastAsia"/>
        </w:rPr>
        <w:t>5.2.1.1施工期大气环境影响分析</w:t>
      </w:r>
    </w:p>
    <w:p>
      <w:pPr>
        <w:pStyle w:val="6"/>
        <w:ind w:firstLine="480"/>
        <w:rPr>
          <w:rFonts w:hint="eastAsia"/>
        </w:rPr>
      </w:pPr>
      <w:r>
        <w:rPr>
          <w:rFonts w:hint="eastAsia"/>
        </w:rPr>
        <w:t>施工期间造成大气污染的主要污染源有：施工开挖及运输车辆所产生的扬尘；施工建筑材料（水泥、石灰、砂石料等）的装卸、运输、堆砌过程以及开挖弃土的堆砌、运输过程中造成扬起和洒落；各类施工机械和运输车辆排放的废气。</w:t>
      </w:r>
    </w:p>
    <w:p>
      <w:pPr>
        <w:pStyle w:val="6"/>
        <w:ind w:firstLine="482"/>
        <w:rPr>
          <w:b/>
          <w:bCs/>
        </w:rPr>
      </w:pPr>
      <w:r>
        <w:rPr>
          <w:rFonts w:hint="eastAsia"/>
          <w:b/>
          <w:bCs/>
        </w:rPr>
        <w:t>1、施工扬尘</w:t>
      </w:r>
    </w:p>
    <w:p>
      <w:pPr>
        <w:pStyle w:val="6"/>
        <w:ind w:firstLine="480"/>
        <w:rPr>
          <w:rFonts w:hint="eastAsia"/>
        </w:rPr>
      </w:pPr>
      <w:r>
        <w:rPr>
          <w:rFonts w:hint="eastAsia"/>
        </w:rPr>
        <w:t>规划中具体项目施工期间产生的大量扬尘无组织排放，加之大量渣土运输车辆出入的撒漏，工地和周边区域扬尘污染将会突出。施工扬尘主要来源于土石方挖掘、堆放和清运过程中产生的扬尘，建筑材料（水泥、白灰、砂子、石子等）装卸、堆放过程中产生的扬尘，施工垃圾堆放和清运过程中产生的扬尘等。</w:t>
      </w:r>
    </w:p>
    <w:p>
      <w:pPr>
        <w:pStyle w:val="6"/>
        <w:ind w:firstLine="480"/>
        <w:rPr>
          <w:rFonts w:hint="eastAsia"/>
        </w:rPr>
      </w:pPr>
      <w:r>
        <w:rPr>
          <w:rFonts w:hint="eastAsia"/>
        </w:rPr>
        <w:t>由于施工的需要，一些建材需露天堆放，一些施工点表层土壤需人工开挖、堆放，在干燥气候又有风的情况下，会产生扬尘。施工扬尘影响环境卫生，并对施工人员及施工场地附近居民的健康造成一定危害。但这种污染是短期的、局部的，随着施工的完成而消失，通过加强施工队伍的监督管理，可以减小对环境的影响。这类扬尘的主要特点是与风速和尘粒的含水率有关。禁止在大风天进行此类作业，以及减少建材的露天堆放和保证一定的尘粒含水率是抑制这类扬尘的有效手段。</w:t>
      </w:r>
    </w:p>
    <w:p>
      <w:pPr>
        <w:pStyle w:val="6"/>
        <w:ind w:firstLine="482"/>
        <w:rPr>
          <w:rFonts w:hint="eastAsia"/>
          <w:b/>
          <w:bCs/>
        </w:rPr>
      </w:pPr>
      <w:r>
        <w:rPr>
          <w:rFonts w:hint="eastAsia"/>
          <w:b/>
          <w:bCs/>
        </w:rPr>
        <w:t>2、道路车辆扬尘</w:t>
      </w:r>
    </w:p>
    <w:p>
      <w:pPr>
        <w:pStyle w:val="6"/>
        <w:ind w:firstLine="480"/>
        <w:rPr>
          <w:rFonts w:hint="eastAsia"/>
        </w:rPr>
      </w:pPr>
      <w:r>
        <w:rPr>
          <w:rFonts w:hint="eastAsia"/>
        </w:rPr>
        <w:t>根据有关调查显示，施工工地的扬尘主要是由运输车辆的行驶产生的。表5.2-1为一辆载重5t的卡车，通过一段长度为500m的路面时，在不同路面清洁程度、不同行驶速度情况下产生的扬尘量。</w:t>
      </w:r>
    </w:p>
    <w:p>
      <w:pPr>
        <w:pStyle w:val="27"/>
      </w:pPr>
      <w:r>
        <w:t xml:space="preserve">表5.2-1 不同车速和地面清洁程度下的汽车扬尘 </w:t>
      </w:r>
      <w:r>
        <w:rPr>
          <w:rFonts w:hint="eastAsia"/>
        </w:rPr>
        <w:t xml:space="preserve">   </w:t>
      </w:r>
      <w:r>
        <w:t>单位:kg/（辆·km）</w:t>
      </w:r>
    </w:p>
    <w:tbl>
      <w:tblPr>
        <w:tblStyle w:val="24"/>
        <w:tblW w:w="0" w:type="auto"/>
        <w:tblInd w:w="-17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59"/>
        <w:gridCol w:w="1052"/>
        <w:gridCol w:w="1052"/>
        <w:gridCol w:w="1052"/>
        <w:gridCol w:w="1052"/>
        <w:gridCol w:w="1052"/>
        <w:gridCol w:w="10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159"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lang w:val="en-US" w:eastAsia="zh-CN"/>
              </w:rPr>
              <w:t xml:space="preserve">              </w:t>
            </w:r>
            <w:r>
              <w:rPr>
                <w:rFonts w:hint="default"/>
              </w:rPr>
              <w:t>车速</w:t>
            </w:r>
          </w:p>
          <w:p>
            <w:pPr>
              <w:pStyle w:val="29"/>
              <w:keepNext w:val="0"/>
              <w:keepLines w:val="0"/>
              <w:suppressLineNumbers w:val="0"/>
              <w:bidi w:val="0"/>
              <w:spacing w:before="0" w:beforeAutospacing="0" w:after="0" w:afterAutospacing="0"/>
              <w:ind w:left="0" w:right="0"/>
              <w:jc w:val="both"/>
              <w:rPr>
                <w:rFonts w:hint="default"/>
                <w:highlight w:val="none"/>
              </w:rPr>
            </w:pPr>
            <w:r>
              <w:rPr>
                <w:rFonts w:hint="default"/>
              </w:rPr>
              <w:t>地面清洁指数</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0.1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0.2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0.3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0.4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0.5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159"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highlight w:val="none"/>
              </w:rPr>
            </w:pPr>
            <w:r>
              <w:rPr>
                <w:rFonts w:hint="default"/>
                <w:highlight w:val="none"/>
              </w:rPr>
              <w:t xml:space="preserve">5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0.0283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0.0476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0.0646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0.0801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0.0947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0.1593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159"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highlight w:val="none"/>
              </w:rPr>
            </w:pPr>
            <w:r>
              <w:rPr>
                <w:rFonts w:hint="default"/>
                <w:highlight w:val="none"/>
              </w:rPr>
              <w:t xml:space="preserve">10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0.0566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0.0953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0.1291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0.1602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0.1894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0.3186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159"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highlight w:val="none"/>
              </w:rPr>
            </w:pPr>
            <w:r>
              <w:rPr>
                <w:rFonts w:hint="default"/>
                <w:highlight w:val="none"/>
              </w:rPr>
              <w:t xml:space="preserve">15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0.0850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0.1429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0.1937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0.2403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0.2841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0.4778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159"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highlight w:val="none"/>
              </w:rPr>
            </w:pPr>
            <w:r>
              <w:rPr>
                <w:rFonts w:hint="default"/>
                <w:highlight w:val="none"/>
              </w:rPr>
              <w:t xml:space="preserve">20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0.1133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0.1905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0.2583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0.3204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0.3788 </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0.637</w:t>
            </w:r>
          </w:p>
        </w:tc>
      </w:tr>
    </w:tbl>
    <w:p>
      <w:pPr>
        <w:pStyle w:val="6"/>
        <w:ind w:firstLine="480"/>
        <w:rPr>
          <w:rFonts w:hint="eastAsia"/>
        </w:rPr>
      </w:pPr>
      <w:r>
        <w:rPr>
          <w:rFonts w:hint="eastAsia"/>
        </w:rPr>
        <w:t>从上表可知，在相同路面清洁情况下，车速越快，扬尘越大；在相同车速情况下，路面清洁度越差，扬尘量越大。根据相关资料，施工工地运输土石方时，行车道两旁扬尘浓度可达8~10mg/m</w:t>
      </w:r>
      <w:r>
        <w:rPr>
          <w:rFonts w:hint="eastAsia"/>
          <w:vertAlign w:val="superscript"/>
        </w:rPr>
        <w:t>3</w:t>
      </w:r>
      <w:r>
        <w:rPr>
          <w:rFonts w:hint="eastAsia"/>
        </w:rPr>
        <w:t>，对道路两旁及施工场地周围造成较大的影响。</w:t>
      </w:r>
    </w:p>
    <w:p>
      <w:pPr>
        <w:pStyle w:val="6"/>
        <w:ind w:firstLine="480"/>
        <w:rPr>
          <w:rFonts w:hint="eastAsia"/>
        </w:rPr>
      </w:pPr>
      <w:r>
        <w:rPr>
          <w:rFonts w:hint="eastAsia"/>
        </w:rPr>
        <w:t>抑制扬尘的一个简洁有效的措施是洒水，旅游区道路清扫率低，洒水频次和洒水量不足，道路破损等情况，将会加重扬尘污染。如果在施工期内对车辆行驶的路面实施洒水抑尘，每天洒水4~5次，可使扬尘减少70%左右。</w:t>
      </w:r>
    </w:p>
    <w:p>
      <w:pPr>
        <w:pStyle w:val="6"/>
        <w:ind w:firstLine="482"/>
        <w:rPr>
          <w:b/>
          <w:bCs/>
        </w:rPr>
      </w:pPr>
      <w:r>
        <w:rPr>
          <w:rFonts w:hint="eastAsia"/>
          <w:b/>
          <w:bCs/>
        </w:rPr>
        <w:t>3、汽车尾气</w:t>
      </w:r>
    </w:p>
    <w:p>
      <w:pPr>
        <w:pStyle w:val="6"/>
        <w:ind w:firstLine="480"/>
        <w:rPr>
          <w:rFonts w:hint="eastAsia"/>
        </w:rPr>
      </w:pPr>
      <w:r>
        <w:rPr>
          <w:rFonts w:hint="eastAsia"/>
        </w:rPr>
        <w:t>施工期的另一大气环境影响是运输车辆和施工机械设备工作时产生的燃油尾气，污染物为NO</w:t>
      </w:r>
      <w:r>
        <w:rPr>
          <w:rFonts w:hint="eastAsia"/>
          <w:vertAlign w:val="subscript"/>
        </w:rPr>
        <w:t>X</w:t>
      </w:r>
      <w:r>
        <w:rPr>
          <w:rFonts w:hint="eastAsia"/>
        </w:rPr>
        <w:t>、碳氢化合物等，施工过程中运输车辆对大气环境的影响随着施工期的结束而结束。</w:t>
      </w:r>
    </w:p>
    <w:p>
      <w:pPr>
        <w:pStyle w:val="6"/>
        <w:ind w:firstLine="480"/>
        <w:rPr>
          <w:rFonts w:hint="eastAsia"/>
        </w:rPr>
      </w:pPr>
      <w:r>
        <w:rPr>
          <w:rFonts w:hint="eastAsia"/>
        </w:rPr>
        <w:t>由于施工期废气影响主要集中在施工阶段，各项目建设活动，在采取合理的措施后，对大气环境的影响不大。</w:t>
      </w:r>
    </w:p>
    <w:p>
      <w:pPr>
        <w:pStyle w:val="2"/>
        <w:rPr>
          <w:bCs/>
        </w:rPr>
      </w:pPr>
      <w:r>
        <w:rPr>
          <w:rFonts w:hint="eastAsia"/>
          <w:bCs/>
        </w:rPr>
        <w:t>5.2.</w:t>
      </w:r>
      <w:r>
        <w:rPr>
          <w:rFonts w:hint="eastAsia"/>
          <w:bCs/>
          <w:lang w:val="en-US" w:eastAsia="zh-CN"/>
        </w:rPr>
        <w:t>1</w:t>
      </w:r>
      <w:r>
        <w:rPr>
          <w:rFonts w:hint="eastAsia"/>
          <w:bCs/>
        </w:rPr>
        <w:t>.</w:t>
      </w:r>
      <w:r>
        <w:rPr>
          <w:rFonts w:hint="eastAsia"/>
          <w:bCs/>
          <w:lang w:val="en-US" w:eastAsia="zh-CN"/>
        </w:rPr>
        <w:t>2</w:t>
      </w:r>
      <w:r>
        <w:rPr>
          <w:bCs/>
          <w:lang w:val="en-GB"/>
        </w:rPr>
        <w:t>施工期</w:t>
      </w:r>
      <w:r>
        <w:rPr>
          <w:rFonts w:hint="eastAsia"/>
          <w:bCs/>
        </w:rPr>
        <w:t>地表水环境影响分析</w:t>
      </w:r>
    </w:p>
    <w:p>
      <w:pPr>
        <w:adjustRightInd w:val="0"/>
        <w:snapToGrid w:val="0"/>
        <w:spacing w:line="360" w:lineRule="auto"/>
        <w:ind w:firstLine="482" w:firstLineChars="200"/>
        <w:rPr>
          <w:b/>
          <w:bCs/>
          <w:lang w:val="en-GB"/>
        </w:rPr>
      </w:pPr>
      <w:r>
        <w:rPr>
          <w:rFonts w:hint="eastAsia"/>
          <w:b/>
          <w:bCs/>
        </w:rPr>
        <w:t>1、</w:t>
      </w:r>
      <w:r>
        <w:rPr>
          <w:b/>
          <w:bCs/>
          <w:lang w:val="en-GB"/>
        </w:rPr>
        <w:t>施工期水污染源</w:t>
      </w:r>
    </w:p>
    <w:p>
      <w:pPr>
        <w:adjustRightInd w:val="0"/>
        <w:snapToGrid w:val="0"/>
        <w:spacing w:line="360" w:lineRule="auto"/>
        <w:ind w:firstLine="480" w:firstLineChars="200"/>
        <w:rPr>
          <w:lang w:val="en-GB"/>
        </w:rPr>
      </w:pPr>
      <w:r>
        <w:rPr>
          <w:lang w:val="en-GB"/>
        </w:rPr>
        <w:t>施工期产生的废水包括施工人员的生活污水和施工本身产生的生产废水。</w:t>
      </w:r>
    </w:p>
    <w:p>
      <w:pPr>
        <w:adjustRightInd w:val="0"/>
        <w:snapToGrid w:val="0"/>
        <w:spacing w:line="360" w:lineRule="auto"/>
        <w:ind w:firstLine="480" w:firstLineChars="200"/>
        <w:rPr>
          <w:rFonts w:hint="eastAsia"/>
          <w:lang w:val="en-GB"/>
        </w:rPr>
      </w:pPr>
      <w:r>
        <w:rPr>
          <w:lang w:val="en-GB"/>
        </w:rPr>
        <w:t>建议规划建设施工项目釆用商品碇，不在现场搅拌混凝土，则施工废水主要为结构阶段混凝土养护排水、混凝土输送泵冲洗水及各种车辆冲洗水及施工人员的生活污水产生</w:t>
      </w:r>
      <w:r>
        <w:rPr>
          <w:rFonts w:hint="eastAsia"/>
          <w:lang w:val="en-GB"/>
        </w:rPr>
        <w:t>。</w:t>
      </w:r>
    </w:p>
    <w:p>
      <w:pPr>
        <w:adjustRightInd w:val="0"/>
        <w:snapToGrid w:val="0"/>
        <w:spacing w:line="360" w:lineRule="auto"/>
        <w:ind w:firstLine="480" w:firstLineChars="200"/>
        <w:rPr>
          <w:lang w:val="en-GB"/>
        </w:rPr>
      </w:pPr>
      <w:r>
        <w:rPr>
          <w:lang w:val="en-GB"/>
        </w:rPr>
        <w:t>施工废水的特点是悬浮物较高，废水经过沉淀池澄清后做降尘洒水，不排放。施工期场地雨水修建临时排水沟，排入施工项目周边雨水管网或河流。</w:t>
      </w:r>
    </w:p>
    <w:p>
      <w:pPr>
        <w:adjustRightInd w:val="0"/>
        <w:snapToGrid w:val="0"/>
        <w:spacing w:line="360" w:lineRule="auto"/>
        <w:ind w:firstLine="480" w:firstLineChars="200"/>
        <w:rPr>
          <w:lang w:val="en-GB"/>
        </w:rPr>
      </w:pPr>
      <w:r>
        <w:rPr>
          <w:lang w:val="en-GB"/>
        </w:rPr>
        <w:t>施工人员生活污水根据实际情况采取化粪池沉淀后排入市政管网；没有市政管网或处于农村地区的旅游道路或基础设施，施工人员生活污水釆用旱厕，粪污用于农灌。</w:t>
      </w:r>
    </w:p>
    <w:p>
      <w:pPr>
        <w:adjustRightInd w:val="0"/>
        <w:snapToGrid w:val="0"/>
        <w:spacing w:line="360" w:lineRule="auto"/>
        <w:ind w:firstLine="482" w:firstLineChars="200"/>
        <w:rPr>
          <w:b/>
          <w:bCs/>
          <w:lang w:val="en-GB"/>
        </w:rPr>
      </w:pPr>
      <w:r>
        <w:rPr>
          <w:rFonts w:hint="eastAsia"/>
          <w:b/>
          <w:bCs/>
        </w:rPr>
        <w:t>2、</w:t>
      </w:r>
      <w:r>
        <w:rPr>
          <w:b/>
          <w:bCs/>
          <w:lang w:val="en-GB"/>
        </w:rPr>
        <w:t>施工期水环境影响分析</w:t>
      </w:r>
    </w:p>
    <w:p>
      <w:pPr>
        <w:adjustRightInd w:val="0"/>
        <w:snapToGrid w:val="0"/>
        <w:spacing w:line="360" w:lineRule="auto"/>
        <w:ind w:firstLine="480" w:firstLineChars="200"/>
        <w:rPr>
          <w:lang w:val="en-GB"/>
        </w:rPr>
      </w:pPr>
      <w:r>
        <w:rPr>
          <w:rFonts w:hint="eastAsia"/>
          <w:lang w:val="en-GB"/>
        </w:rPr>
        <w:t>（</w:t>
      </w:r>
      <w:r>
        <w:rPr>
          <w:rFonts w:hint="eastAsia"/>
        </w:rPr>
        <w:t>1</w:t>
      </w:r>
      <w:r>
        <w:rPr>
          <w:rFonts w:hint="eastAsia"/>
          <w:lang w:val="en-GB"/>
        </w:rPr>
        <w:t>）</w:t>
      </w:r>
      <w:r>
        <w:rPr>
          <w:lang w:val="en-GB"/>
        </w:rPr>
        <w:t>施工废水经沉淀后循环使用或用于洒水防尘，不外排，对水环境影响小</w:t>
      </w:r>
      <w:r>
        <w:rPr>
          <w:rFonts w:hint="eastAsia"/>
          <w:lang w:val="en-GB"/>
        </w:rPr>
        <w:t>，</w:t>
      </w:r>
      <w:r>
        <w:rPr>
          <w:lang w:val="en-GB"/>
        </w:rPr>
        <w:t>施工场地雨水可通过修建沉淀池沉淀后经临时排水沟排出。</w:t>
      </w:r>
    </w:p>
    <w:p>
      <w:pPr>
        <w:adjustRightInd w:val="0"/>
        <w:snapToGrid w:val="0"/>
        <w:spacing w:line="360" w:lineRule="auto"/>
        <w:ind w:firstLine="480" w:firstLineChars="200"/>
        <w:rPr>
          <w:lang w:val="en-GB"/>
        </w:rPr>
      </w:pPr>
      <w:r>
        <w:rPr>
          <w:rFonts w:hint="eastAsia"/>
          <w:lang w:val="en-GB"/>
        </w:rPr>
        <w:t>（</w:t>
      </w:r>
      <w:r>
        <w:rPr>
          <w:rFonts w:hint="eastAsia"/>
        </w:rPr>
        <w:t>2</w:t>
      </w:r>
      <w:r>
        <w:rPr>
          <w:rFonts w:hint="eastAsia"/>
          <w:lang w:val="en-GB"/>
        </w:rPr>
        <w:t>）</w:t>
      </w:r>
      <w:r>
        <w:rPr>
          <w:lang w:val="en-GB"/>
        </w:rPr>
        <w:t>若运输车辆需进入城市道路系统，需保持车体清洁，对于经常出入的车辆进行清洗是必要的，施工场地内设置固定的洗车地点，禁止随意洗车，对洗车废水收集沉淀回用于洒水防尘，对水环境影响小。</w:t>
      </w:r>
    </w:p>
    <w:p>
      <w:pPr>
        <w:adjustRightInd w:val="0"/>
        <w:snapToGrid w:val="0"/>
        <w:spacing w:line="360" w:lineRule="auto"/>
        <w:ind w:firstLine="480" w:firstLineChars="200"/>
        <w:rPr>
          <w:lang w:val="en-GB"/>
        </w:rPr>
      </w:pPr>
      <w:r>
        <w:rPr>
          <w:rFonts w:hint="eastAsia"/>
          <w:lang w:val="en-GB"/>
        </w:rPr>
        <w:t>（</w:t>
      </w:r>
      <w:r>
        <w:rPr>
          <w:rFonts w:hint="eastAsia"/>
        </w:rPr>
        <w:t>3</w:t>
      </w:r>
      <w:r>
        <w:rPr>
          <w:rFonts w:hint="eastAsia"/>
          <w:lang w:val="en-GB"/>
        </w:rPr>
        <w:t>）</w:t>
      </w:r>
      <w:r>
        <w:rPr>
          <w:lang w:val="en-GB"/>
        </w:rPr>
        <w:t>施工人员生活污水经化粪池沉淀后排入市政管网，或经旱厕等设施处置，未经处理，不得随意排放污染周边地表水体。</w:t>
      </w:r>
    </w:p>
    <w:p>
      <w:pPr>
        <w:pStyle w:val="2"/>
        <w:bidi w:val="0"/>
      </w:pPr>
      <w:r>
        <w:rPr>
          <w:rFonts w:hint="eastAsia"/>
        </w:rPr>
        <w:t>5.2.</w:t>
      </w:r>
      <w:r>
        <w:rPr>
          <w:rFonts w:hint="eastAsia"/>
          <w:lang w:val="en-US" w:eastAsia="zh-CN"/>
        </w:rPr>
        <w:t>1</w:t>
      </w:r>
      <w:r>
        <w:rPr>
          <w:rFonts w:hint="eastAsia"/>
        </w:rPr>
        <w:t>.</w:t>
      </w:r>
      <w:r>
        <w:rPr>
          <w:rFonts w:hint="eastAsia"/>
          <w:lang w:val="en-US" w:eastAsia="zh-CN"/>
        </w:rPr>
        <w:t>3</w:t>
      </w:r>
      <w:r>
        <w:rPr>
          <w:rFonts w:hint="eastAsia"/>
        </w:rPr>
        <w:t>施工期声环境影响分析</w:t>
      </w:r>
    </w:p>
    <w:p>
      <w:pPr>
        <w:pStyle w:val="6"/>
        <w:ind w:firstLine="480"/>
        <w:rPr>
          <w:color w:val="2A26F7"/>
        </w:rPr>
      </w:pPr>
      <w:r>
        <w:rPr>
          <w:color w:val="2A26F7"/>
        </w:rPr>
        <w:t>施工期各阶段施工的产噪设备主要为推土机、挖掘机、空压机等，由于其移动速度和距离相对于声波的传播速度要小得多，可以当作固定设备声源对待（运输车辆噪声可看做流动的声源），采用半自由场点声源随距离衰减公式计算本项目噪声对环境的影响。公式如下：</w:t>
      </w:r>
    </w:p>
    <w:p>
      <w:pPr>
        <w:adjustRightInd w:val="0"/>
        <w:snapToGrid w:val="0"/>
        <w:spacing w:line="360" w:lineRule="auto"/>
        <w:ind w:firstLine="480" w:firstLineChars="200"/>
        <w:jc w:val="center"/>
        <w:rPr>
          <w:color w:val="2A26F7"/>
          <w:szCs w:val="21"/>
        </w:rPr>
      </w:pPr>
      <w:r>
        <w:rPr>
          <w:color w:val="2A26F7"/>
          <w:szCs w:val="21"/>
        </w:rPr>
        <w:t>L</w:t>
      </w:r>
      <w:r>
        <w:rPr>
          <w:color w:val="2A26F7"/>
          <w:szCs w:val="21"/>
          <w:vertAlign w:val="subscript"/>
        </w:rPr>
        <w:t>p</w:t>
      </w:r>
      <w:r>
        <w:rPr>
          <w:color w:val="2A26F7"/>
          <w:szCs w:val="21"/>
        </w:rPr>
        <w:t>=Lw</w:t>
      </w:r>
      <w:r>
        <w:rPr>
          <w:color w:val="2A26F7"/>
          <w:szCs w:val="21"/>
          <w:vertAlign w:val="subscript"/>
        </w:rPr>
        <w:t>A</w:t>
      </w:r>
      <w:r>
        <w:rPr>
          <w:color w:val="2A26F7"/>
          <w:szCs w:val="21"/>
        </w:rPr>
        <w:t>-</w:t>
      </w:r>
      <w:r>
        <w:rPr>
          <w:color w:val="2A26F7"/>
        </w:rPr>
        <w:t>20lgr</w:t>
      </w:r>
      <w:r>
        <w:rPr>
          <w:color w:val="2A26F7"/>
          <w:szCs w:val="21"/>
        </w:rPr>
        <w:t>-8</w:t>
      </w:r>
    </w:p>
    <w:p>
      <w:pPr>
        <w:pStyle w:val="6"/>
        <w:ind w:firstLine="480"/>
        <w:rPr>
          <w:color w:val="2A26F7"/>
          <w:szCs w:val="21"/>
        </w:rPr>
      </w:pPr>
      <w:r>
        <w:rPr>
          <w:color w:val="2A26F7"/>
          <w:szCs w:val="21"/>
        </w:rPr>
        <w:t>式中：L</w:t>
      </w:r>
      <w:r>
        <w:rPr>
          <w:color w:val="2A26F7"/>
          <w:szCs w:val="21"/>
          <w:vertAlign w:val="subscript"/>
        </w:rPr>
        <w:t>p</w:t>
      </w:r>
      <w:r>
        <w:rPr>
          <w:color w:val="2A26F7"/>
          <w:szCs w:val="21"/>
        </w:rPr>
        <w:t>—</w:t>
      </w:r>
      <w:r>
        <w:rPr>
          <w:color w:val="2A26F7"/>
        </w:rPr>
        <w:t>距声源</w:t>
      </w:r>
      <w:r>
        <w:rPr>
          <w:color w:val="2A26F7"/>
          <w:szCs w:val="21"/>
        </w:rPr>
        <w:t>r处的声压级（</w:t>
      </w:r>
      <w:r>
        <w:rPr>
          <w:bCs/>
          <w:color w:val="2A26F7"/>
          <w:szCs w:val="21"/>
        </w:rPr>
        <w:t>dB</w:t>
      </w:r>
      <w:r>
        <w:rPr>
          <w:color w:val="2A26F7"/>
          <w:szCs w:val="21"/>
        </w:rPr>
        <w:t>）；</w:t>
      </w:r>
    </w:p>
    <w:p>
      <w:pPr>
        <w:pStyle w:val="6"/>
        <w:ind w:firstLine="1200" w:firstLineChars="500"/>
        <w:rPr>
          <w:color w:val="2A26F7"/>
          <w:szCs w:val="21"/>
        </w:rPr>
      </w:pPr>
      <w:r>
        <w:rPr>
          <w:color w:val="2A26F7"/>
          <w:szCs w:val="21"/>
        </w:rPr>
        <w:t>L</w:t>
      </w:r>
      <w:r>
        <w:rPr>
          <w:color w:val="2A26F7"/>
          <w:szCs w:val="21"/>
          <w:vertAlign w:val="subscript"/>
        </w:rPr>
        <w:t>wA</w:t>
      </w:r>
      <w:r>
        <w:rPr>
          <w:color w:val="2A26F7"/>
          <w:szCs w:val="21"/>
        </w:rPr>
        <w:t>—</w:t>
      </w:r>
      <w:r>
        <w:rPr>
          <w:color w:val="2A26F7"/>
        </w:rPr>
        <w:t>声源的声功率级</w:t>
      </w:r>
      <w:r>
        <w:rPr>
          <w:color w:val="2A26F7"/>
          <w:szCs w:val="21"/>
        </w:rPr>
        <w:t>（</w:t>
      </w:r>
      <w:r>
        <w:rPr>
          <w:bCs/>
          <w:color w:val="2A26F7"/>
          <w:szCs w:val="21"/>
        </w:rPr>
        <w:t>dB</w:t>
      </w:r>
      <w:r>
        <w:rPr>
          <w:color w:val="2A26F7"/>
          <w:szCs w:val="21"/>
        </w:rPr>
        <w:t>）；</w:t>
      </w:r>
    </w:p>
    <w:p>
      <w:pPr>
        <w:pStyle w:val="6"/>
        <w:ind w:firstLine="1400" w:firstLineChars="500"/>
        <w:rPr>
          <w:color w:val="2A26F7"/>
        </w:rPr>
      </w:pPr>
      <w:bookmarkStart w:id="135" w:name="_Toc8615"/>
      <w:bookmarkStart w:id="136" w:name="_Toc5344"/>
      <w:bookmarkStart w:id="137" w:name="_Toc16691"/>
      <w:r>
        <w:rPr>
          <w:color w:val="2A26F7"/>
          <w:sz w:val="28"/>
          <w:szCs w:val="28"/>
        </w:rPr>
        <w:t>r</w:t>
      </w:r>
      <w:r>
        <w:rPr>
          <w:color w:val="2A26F7"/>
          <w:szCs w:val="21"/>
        </w:rPr>
        <w:t>—</w:t>
      </w:r>
      <w:r>
        <w:rPr>
          <w:color w:val="2A26F7"/>
        </w:rPr>
        <w:t>声源距测点的距离</w:t>
      </w:r>
      <w:r>
        <w:rPr>
          <w:color w:val="2A26F7"/>
          <w:szCs w:val="21"/>
        </w:rPr>
        <w:t>，m。</w:t>
      </w:r>
      <w:bookmarkEnd w:id="135"/>
      <w:bookmarkEnd w:id="136"/>
      <w:bookmarkEnd w:id="137"/>
    </w:p>
    <w:p>
      <w:pPr>
        <w:pStyle w:val="6"/>
        <w:ind w:firstLine="480"/>
        <w:rPr>
          <w:color w:val="2A26F7"/>
        </w:rPr>
      </w:pPr>
      <w:r>
        <w:rPr>
          <w:color w:val="2A26F7"/>
        </w:rPr>
        <w:t>根据上述模式计算结果，施工场地个阶段噪声影响范围见表</w:t>
      </w:r>
      <w:r>
        <w:rPr>
          <w:rFonts w:hint="eastAsia"/>
          <w:color w:val="2A26F7"/>
        </w:rPr>
        <w:t>5.2-</w:t>
      </w:r>
      <w:r>
        <w:rPr>
          <w:rFonts w:hint="eastAsia"/>
          <w:color w:val="2A26F7"/>
          <w:lang w:val="en-US" w:eastAsia="zh-CN"/>
        </w:rPr>
        <w:t>2</w:t>
      </w:r>
      <w:r>
        <w:rPr>
          <w:color w:val="2A26F7"/>
        </w:rPr>
        <w:t>。</w:t>
      </w:r>
    </w:p>
    <w:p>
      <w:pPr>
        <w:pStyle w:val="27"/>
        <w:rPr>
          <w:color w:val="2A26F7"/>
        </w:rPr>
      </w:pPr>
      <w:r>
        <w:rPr>
          <w:color w:val="2A26F7"/>
        </w:rPr>
        <w:t>表</w:t>
      </w:r>
      <w:r>
        <w:rPr>
          <w:rFonts w:hint="eastAsia"/>
          <w:color w:val="2A26F7"/>
        </w:rPr>
        <w:t>5.2-</w:t>
      </w:r>
      <w:r>
        <w:rPr>
          <w:rFonts w:hint="eastAsia"/>
          <w:color w:val="2A26F7"/>
          <w:lang w:val="en-US" w:eastAsia="zh-CN"/>
        </w:rPr>
        <w:t>2</w:t>
      </w:r>
      <w:r>
        <w:rPr>
          <w:rFonts w:hint="eastAsia"/>
          <w:color w:val="2A26F7"/>
        </w:rPr>
        <w:t xml:space="preserve">  </w:t>
      </w:r>
      <w:r>
        <w:rPr>
          <w:color w:val="2A26F7"/>
        </w:rPr>
        <w:t>施工期各阶段距声源不同距离的等效声级预测结果</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988"/>
        <w:gridCol w:w="1092"/>
        <w:gridCol w:w="688"/>
        <w:gridCol w:w="636"/>
        <w:gridCol w:w="674"/>
        <w:gridCol w:w="624"/>
        <w:gridCol w:w="749"/>
        <w:gridCol w:w="754"/>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96" w:type="pct"/>
            <w:vMerge w:val="restart"/>
            <w:noWrap w:val="0"/>
            <w:vAlign w:val="center"/>
          </w:tcPr>
          <w:p>
            <w:pPr>
              <w:pStyle w:val="29"/>
              <w:keepNext w:val="0"/>
              <w:keepLines w:val="0"/>
              <w:suppressLineNumbers w:val="0"/>
              <w:spacing w:before="0" w:beforeAutospacing="0" w:after="0" w:afterAutospacing="0"/>
              <w:ind w:left="0" w:right="0"/>
              <w:rPr>
                <w:rFonts w:hint="default"/>
                <w:b/>
                <w:bCs/>
                <w:color w:val="2A26F7"/>
              </w:rPr>
            </w:pPr>
            <w:r>
              <w:rPr>
                <w:rFonts w:hint="default"/>
                <w:b/>
                <w:bCs/>
                <w:color w:val="2A26F7"/>
              </w:rPr>
              <w:t>施工阶段</w:t>
            </w:r>
          </w:p>
        </w:tc>
        <w:tc>
          <w:tcPr>
            <w:tcW w:w="579" w:type="pct"/>
            <w:vMerge w:val="restart"/>
            <w:noWrap w:val="0"/>
            <w:vAlign w:val="center"/>
          </w:tcPr>
          <w:p>
            <w:pPr>
              <w:pStyle w:val="29"/>
              <w:keepNext w:val="0"/>
              <w:keepLines w:val="0"/>
              <w:suppressLineNumbers w:val="0"/>
              <w:spacing w:before="0" w:beforeAutospacing="0" w:after="0" w:afterAutospacing="0"/>
              <w:ind w:left="0" w:right="0"/>
              <w:rPr>
                <w:rFonts w:hint="default"/>
                <w:b/>
                <w:bCs/>
                <w:color w:val="2A26F7"/>
              </w:rPr>
            </w:pPr>
            <w:r>
              <w:rPr>
                <w:rFonts w:hint="default"/>
                <w:b/>
                <w:bCs/>
                <w:color w:val="2A26F7"/>
              </w:rPr>
              <w:t>主要噪声源</w:t>
            </w:r>
          </w:p>
        </w:tc>
        <w:tc>
          <w:tcPr>
            <w:tcW w:w="640" w:type="pct"/>
            <w:vMerge w:val="restart"/>
            <w:noWrap w:val="0"/>
            <w:vAlign w:val="center"/>
          </w:tcPr>
          <w:p>
            <w:pPr>
              <w:pStyle w:val="29"/>
              <w:keepNext w:val="0"/>
              <w:keepLines w:val="0"/>
              <w:suppressLineNumbers w:val="0"/>
              <w:spacing w:before="0" w:beforeAutospacing="0" w:after="0" w:afterAutospacing="0"/>
              <w:ind w:left="0" w:right="0"/>
              <w:rPr>
                <w:rFonts w:hint="default"/>
                <w:b/>
                <w:bCs/>
                <w:color w:val="2A26F7"/>
              </w:rPr>
            </w:pPr>
            <w:r>
              <w:rPr>
                <w:rFonts w:hint="default"/>
                <w:b/>
                <w:bCs/>
                <w:color w:val="2A26F7"/>
              </w:rPr>
              <w:t>声功率级[dB(A)]</w:t>
            </w:r>
          </w:p>
        </w:tc>
        <w:tc>
          <w:tcPr>
            <w:tcW w:w="2418" w:type="pct"/>
            <w:gridSpan w:val="6"/>
            <w:noWrap w:val="0"/>
            <w:vAlign w:val="center"/>
          </w:tcPr>
          <w:p>
            <w:pPr>
              <w:pStyle w:val="29"/>
              <w:keepNext w:val="0"/>
              <w:keepLines w:val="0"/>
              <w:suppressLineNumbers w:val="0"/>
              <w:spacing w:before="0" w:beforeAutospacing="0" w:after="0" w:afterAutospacing="0"/>
              <w:ind w:left="0" w:right="0"/>
              <w:rPr>
                <w:rFonts w:hint="default"/>
                <w:b/>
                <w:bCs/>
                <w:color w:val="2A26F7"/>
              </w:rPr>
            </w:pPr>
            <w:r>
              <w:rPr>
                <w:rFonts w:hint="default"/>
                <w:b/>
                <w:bCs/>
                <w:color w:val="2A26F7"/>
              </w:rPr>
              <w:t>声源距离衰减，声级值LPAdB(A)</w:t>
            </w:r>
          </w:p>
        </w:tc>
        <w:tc>
          <w:tcPr>
            <w:tcW w:w="964" w:type="pct"/>
            <w:vMerge w:val="restart"/>
            <w:noWrap w:val="0"/>
            <w:vAlign w:val="center"/>
          </w:tcPr>
          <w:p>
            <w:pPr>
              <w:pStyle w:val="29"/>
              <w:keepNext w:val="0"/>
              <w:keepLines w:val="0"/>
              <w:suppressLineNumbers w:val="0"/>
              <w:spacing w:before="0" w:beforeAutospacing="0" w:after="0" w:afterAutospacing="0"/>
              <w:ind w:left="0" w:right="0"/>
              <w:rPr>
                <w:rFonts w:hint="default"/>
                <w:b/>
                <w:bCs/>
                <w:color w:val="2A26F7"/>
              </w:rPr>
            </w:pPr>
            <w:r>
              <w:rPr>
                <w:rFonts w:hint="default"/>
                <w:b/>
                <w:bCs/>
                <w:color w:val="2A26F7"/>
              </w:rPr>
              <w:t>声源特征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96" w:type="pct"/>
            <w:vMerge w:val="continue"/>
            <w:noWrap w:val="0"/>
            <w:vAlign w:val="center"/>
          </w:tcPr>
          <w:p>
            <w:pPr>
              <w:pStyle w:val="29"/>
              <w:keepNext w:val="0"/>
              <w:keepLines w:val="0"/>
              <w:suppressLineNumbers w:val="0"/>
              <w:spacing w:before="0" w:beforeAutospacing="0" w:after="0" w:afterAutospacing="0"/>
              <w:ind w:left="0" w:right="0"/>
              <w:rPr>
                <w:rFonts w:hint="default"/>
                <w:b/>
                <w:bCs/>
                <w:color w:val="2A26F7"/>
              </w:rPr>
            </w:pPr>
          </w:p>
        </w:tc>
        <w:tc>
          <w:tcPr>
            <w:tcW w:w="579" w:type="pct"/>
            <w:vMerge w:val="continue"/>
            <w:noWrap w:val="0"/>
            <w:vAlign w:val="center"/>
          </w:tcPr>
          <w:p>
            <w:pPr>
              <w:pStyle w:val="29"/>
              <w:keepNext w:val="0"/>
              <w:keepLines w:val="0"/>
              <w:suppressLineNumbers w:val="0"/>
              <w:spacing w:before="0" w:beforeAutospacing="0" w:after="0" w:afterAutospacing="0"/>
              <w:ind w:left="0" w:right="0"/>
              <w:rPr>
                <w:rFonts w:hint="default"/>
                <w:b/>
                <w:bCs/>
                <w:color w:val="2A26F7"/>
              </w:rPr>
            </w:pPr>
          </w:p>
        </w:tc>
        <w:tc>
          <w:tcPr>
            <w:tcW w:w="640" w:type="pct"/>
            <w:vMerge w:val="continue"/>
            <w:noWrap w:val="0"/>
            <w:vAlign w:val="center"/>
          </w:tcPr>
          <w:p>
            <w:pPr>
              <w:pStyle w:val="29"/>
              <w:keepNext w:val="0"/>
              <w:keepLines w:val="0"/>
              <w:suppressLineNumbers w:val="0"/>
              <w:spacing w:before="0" w:beforeAutospacing="0" w:after="0" w:afterAutospacing="0"/>
              <w:ind w:left="0" w:right="0"/>
              <w:rPr>
                <w:rFonts w:hint="default"/>
                <w:b/>
                <w:bCs/>
                <w:color w:val="2A26F7"/>
              </w:rPr>
            </w:pPr>
          </w:p>
        </w:tc>
        <w:tc>
          <w:tcPr>
            <w:tcW w:w="403" w:type="pct"/>
            <w:noWrap w:val="0"/>
            <w:vAlign w:val="center"/>
          </w:tcPr>
          <w:p>
            <w:pPr>
              <w:pStyle w:val="29"/>
              <w:keepNext w:val="0"/>
              <w:keepLines w:val="0"/>
              <w:suppressLineNumbers w:val="0"/>
              <w:spacing w:before="0" w:beforeAutospacing="0" w:after="0" w:afterAutospacing="0"/>
              <w:ind w:left="0" w:right="0"/>
              <w:rPr>
                <w:rFonts w:hint="default"/>
                <w:b/>
                <w:bCs/>
                <w:color w:val="2A26F7"/>
              </w:rPr>
            </w:pPr>
            <w:r>
              <w:rPr>
                <w:rFonts w:hint="default"/>
                <w:b/>
                <w:bCs/>
                <w:color w:val="2A26F7"/>
              </w:rPr>
              <w:t>5m</w:t>
            </w:r>
          </w:p>
        </w:tc>
        <w:tc>
          <w:tcPr>
            <w:tcW w:w="373" w:type="pct"/>
            <w:noWrap w:val="0"/>
            <w:vAlign w:val="center"/>
          </w:tcPr>
          <w:p>
            <w:pPr>
              <w:pStyle w:val="29"/>
              <w:keepNext w:val="0"/>
              <w:keepLines w:val="0"/>
              <w:suppressLineNumbers w:val="0"/>
              <w:spacing w:before="0" w:beforeAutospacing="0" w:after="0" w:afterAutospacing="0"/>
              <w:ind w:left="0" w:right="0"/>
              <w:rPr>
                <w:rFonts w:hint="default"/>
                <w:b/>
                <w:bCs/>
                <w:color w:val="2A26F7"/>
              </w:rPr>
            </w:pPr>
            <w:r>
              <w:rPr>
                <w:rFonts w:hint="default"/>
                <w:b/>
                <w:bCs/>
                <w:color w:val="2A26F7"/>
              </w:rPr>
              <w:t>10m</w:t>
            </w:r>
          </w:p>
        </w:tc>
        <w:tc>
          <w:tcPr>
            <w:tcW w:w="395" w:type="pct"/>
            <w:noWrap w:val="0"/>
            <w:vAlign w:val="center"/>
          </w:tcPr>
          <w:p>
            <w:pPr>
              <w:pStyle w:val="29"/>
              <w:keepNext w:val="0"/>
              <w:keepLines w:val="0"/>
              <w:suppressLineNumbers w:val="0"/>
              <w:spacing w:before="0" w:beforeAutospacing="0" w:after="0" w:afterAutospacing="0"/>
              <w:ind w:left="0" w:right="0"/>
              <w:rPr>
                <w:rFonts w:hint="default"/>
                <w:b/>
                <w:bCs/>
                <w:color w:val="2A26F7"/>
              </w:rPr>
            </w:pPr>
            <w:r>
              <w:rPr>
                <w:rFonts w:hint="default"/>
                <w:b/>
                <w:bCs/>
                <w:color w:val="2A26F7"/>
              </w:rPr>
              <w:t>30m</w:t>
            </w:r>
          </w:p>
        </w:tc>
        <w:tc>
          <w:tcPr>
            <w:tcW w:w="366" w:type="pct"/>
            <w:noWrap w:val="0"/>
            <w:vAlign w:val="center"/>
          </w:tcPr>
          <w:p>
            <w:pPr>
              <w:pStyle w:val="29"/>
              <w:keepNext w:val="0"/>
              <w:keepLines w:val="0"/>
              <w:suppressLineNumbers w:val="0"/>
              <w:spacing w:before="0" w:beforeAutospacing="0" w:after="0" w:afterAutospacing="0"/>
              <w:ind w:left="0" w:right="0"/>
              <w:rPr>
                <w:rFonts w:hint="default"/>
                <w:b/>
                <w:bCs/>
                <w:color w:val="2A26F7"/>
              </w:rPr>
            </w:pPr>
            <w:r>
              <w:rPr>
                <w:rFonts w:hint="default"/>
                <w:b/>
                <w:bCs/>
                <w:color w:val="2A26F7"/>
              </w:rPr>
              <w:t>60m</w:t>
            </w:r>
          </w:p>
        </w:tc>
        <w:tc>
          <w:tcPr>
            <w:tcW w:w="439" w:type="pct"/>
            <w:noWrap w:val="0"/>
            <w:vAlign w:val="center"/>
          </w:tcPr>
          <w:p>
            <w:pPr>
              <w:pStyle w:val="29"/>
              <w:keepNext w:val="0"/>
              <w:keepLines w:val="0"/>
              <w:suppressLineNumbers w:val="0"/>
              <w:spacing w:before="0" w:beforeAutospacing="0" w:after="0" w:afterAutospacing="0"/>
              <w:ind w:left="0" w:right="0"/>
              <w:rPr>
                <w:rFonts w:hint="default"/>
                <w:b/>
                <w:bCs/>
                <w:color w:val="2A26F7"/>
              </w:rPr>
            </w:pPr>
            <w:r>
              <w:rPr>
                <w:rFonts w:hint="default"/>
                <w:b/>
                <w:bCs/>
                <w:color w:val="2A26F7"/>
              </w:rPr>
              <w:t>120m</w:t>
            </w:r>
          </w:p>
        </w:tc>
        <w:tc>
          <w:tcPr>
            <w:tcW w:w="440" w:type="pct"/>
            <w:noWrap w:val="0"/>
            <w:vAlign w:val="center"/>
          </w:tcPr>
          <w:p>
            <w:pPr>
              <w:pStyle w:val="29"/>
              <w:keepNext w:val="0"/>
              <w:keepLines w:val="0"/>
              <w:suppressLineNumbers w:val="0"/>
              <w:spacing w:before="0" w:beforeAutospacing="0" w:after="0" w:afterAutospacing="0"/>
              <w:ind w:left="0" w:right="0"/>
              <w:rPr>
                <w:rFonts w:hint="default"/>
                <w:b/>
                <w:bCs/>
                <w:color w:val="2A26F7"/>
              </w:rPr>
            </w:pPr>
            <w:r>
              <w:rPr>
                <w:rFonts w:hint="default"/>
                <w:b/>
                <w:bCs/>
                <w:color w:val="2A26F7"/>
              </w:rPr>
              <w:t>240m</w:t>
            </w:r>
          </w:p>
        </w:tc>
        <w:tc>
          <w:tcPr>
            <w:tcW w:w="964" w:type="pct"/>
            <w:vMerge w:val="continue"/>
            <w:noWrap w:val="0"/>
            <w:vAlign w:val="center"/>
          </w:tcPr>
          <w:p>
            <w:pPr>
              <w:pStyle w:val="29"/>
              <w:keepNext w:val="0"/>
              <w:keepLines w:val="0"/>
              <w:suppressLineNumbers w:val="0"/>
              <w:spacing w:before="0" w:beforeAutospacing="0" w:after="0" w:afterAutospacing="0"/>
              <w:ind w:left="0" w:right="0"/>
              <w:rPr>
                <w:rFonts w:hint="default"/>
                <w:b/>
                <w:bCs/>
                <w:color w:val="2A26F7"/>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96" w:type="pct"/>
            <w:vMerge w:val="restar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土石方阶段</w:t>
            </w:r>
          </w:p>
        </w:tc>
        <w:tc>
          <w:tcPr>
            <w:tcW w:w="57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推土机</w:t>
            </w:r>
          </w:p>
        </w:tc>
        <w:tc>
          <w:tcPr>
            <w:tcW w:w="6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87.5</w:t>
            </w:r>
          </w:p>
        </w:tc>
        <w:tc>
          <w:tcPr>
            <w:tcW w:w="40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65.5</w:t>
            </w:r>
          </w:p>
        </w:tc>
        <w:tc>
          <w:tcPr>
            <w:tcW w:w="37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59.5</w:t>
            </w:r>
          </w:p>
        </w:tc>
        <w:tc>
          <w:tcPr>
            <w:tcW w:w="395"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50.0</w:t>
            </w:r>
          </w:p>
        </w:tc>
        <w:tc>
          <w:tcPr>
            <w:tcW w:w="366"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44.0</w:t>
            </w:r>
          </w:p>
        </w:tc>
        <w:tc>
          <w:tcPr>
            <w:tcW w:w="43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38.0</w:t>
            </w:r>
          </w:p>
        </w:tc>
        <w:tc>
          <w:tcPr>
            <w:tcW w:w="4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31.9</w:t>
            </w:r>
          </w:p>
        </w:tc>
        <w:tc>
          <w:tcPr>
            <w:tcW w:w="964" w:type="pct"/>
            <w:vMerge w:val="restar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声源无指向性，有一定影响，应控制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96" w:type="pct"/>
            <w:vMerge w:val="continue"/>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57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挖掘机</w:t>
            </w:r>
          </w:p>
        </w:tc>
        <w:tc>
          <w:tcPr>
            <w:tcW w:w="6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86.5</w:t>
            </w:r>
          </w:p>
        </w:tc>
        <w:tc>
          <w:tcPr>
            <w:tcW w:w="40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64.5</w:t>
            </w:r>
          </w:p>
        </w:tc>
        <w:tc>
          <w:tcPr>
            <w:tcW w:w="37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58.5</w:t>
            </w:r>
          </w:p>
        </w:tc>
        <w:tc>
          <w:tcPr>
            <w:tcW w:w="395"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49.0</w:t>
            </w:r>
          </w:p>
        </w:tc>
        <w:tc>
          <w:tcPr>
            <w:tcW w:w="366"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43.0</w:t>
            </w:r>
          </w:p>
        </w:tc>
        <w:tc>
          <w:tcPr>
            <w:tcW w:w="43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37.0</w:t>
            </w:r>
          </w:p>
        </w:tc>
        <w:tc>
          <w:tcPr>
            <w:tcW w:w="4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30.9</w:t>
            </w:r>
          </w:p>
        </w:tc>
        <w:tc>
          <w:tcPr>
            <w:tcW w:w="964" w:type="pct"/>
            <w:vMerge w:val="continue"/>
            <w:noWrap w:val="0"/>
            <w:vAlign w:val="center"/>
          </w:tcPr>
          <w:p>
            <w:pPr>
              <w:pStyle w:val="29"/>
              <w:keepNext w:val="0"/>
              <w:keepLines w:val="0"/>
              <w:suppressLineNumbers w:val="0"/>
              <w:spacing w:before="0" w:beforeAutospacing="0" w:after="0" w:afterAutospacing="0"/>
              <w:ind w:left="0" w:right="0"/>
              <w:rPr>
                <w:rFonts w:hint="default"/>
                <w:color w:val="2A26F7"/>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96" w:type="pct"/>
            <w:vMerge w:val="continue"/>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57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压路机</w:t>
            </w:r>
          </w:p>
        </w:tc>
        <w:tc>
          <w:tcPr>
            <w:tcW w:w="6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82.5</w:t>
            </w:r>
          </w:p>
        </w:tc>
        <w:tc>
          <w:tcPr>
            <w:tcW w:w="40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60.5</w:t>
            </w:r>
          </w:p>
        </w:tc>
        <w:tc>
          <w:tcPr>
            <w:tcW w:w="37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54.5</w:t>
            </w:r>
          </w:p>
        </w:tc>
        <w:tc>
          <w:tcPr>
            <w:tcW w:w="395"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45.0</w:t>
            </w:r>
          </w:p>
        </w:tc>
        <w:tc>
          <w:tcPr>
            <w:tcW w:w="366"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39.0</w:t>
            </w:r>
          </w:p>
        </w:tc>
        <w:tc>
          <w:tcPr>
            <w:tcW w:w="43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33.5</w:t>
            </w:r>
          </w:p>
        </w:tc>
        <w:tc>
          <w:tcPr>
            <w:tcW w:w="4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26.9</w:t>
            </w:r>
          </w:p>
        </w:tc>
        <w:tc>
          <w:tcPr>
            <w:tcW w:w="964" w:type="pct"/>
            <w:vMerge w:val="continue"/>
            <w:noWrap w:val="0"/>
            <w:vAlign w:val="center"/>
          </w:tcPr>
          <w:p>
            <w:pPr>
              <w:pStyle w:val="29"/>
              <w:keepNext w:val="0"/>
              <w:keepLines w:val="0"/>
              <w:suppressLineNumbers w:val="0"/>
              <w:spacing w:before="0" w:beforeAutospacing="0" w:after="0" w:afterAutospacing="0"/>
              <w:ind w:left="0" w:right="0"/>
              <w:rPr>
                <w:rFonts w:hint="default"/>
                <w:color w:val="2A26F7"/>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96" w:type="pct"/>
            <w:vMerge w:val="continue"/>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57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运输车辆</w:t>
            </w:r>
          </w:p>
        </w:tc>
        <w:tc>
          <w:tcPr>
            <w:tcW w:w="6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85.0</w:t>
            </w:r>
          </w:p>
        </w:tc>
        <w:tc>
          <w:tcPr>
            <w:tcW w:w="40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63.0</w:t>
            </w:r>
          </w:p>
        </w:tc>
        <w:tc>
          <w:tcPr>
            <w:tcW w:w="37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57.0</w:t>
            </w:r>
          </w:p>
        </w:tc>
        <w:tc>
          <w:tcPr>
            <w:tcW w:w="395"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47.5</w:t>
            </w:r>
          </w:p>
        </w:tc>
        <w:tc>
          <w:tcPr>
            <w:tcW w:w="366"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41.5</w:t>
            </w:r>
          </w:p>
        </w:tc>
        <w:tc>
          <w:tcPr>
            <w:tcW w:w="43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35.5</w:t>
            </w:r>
          </w:p>
        </w:tc>
        <w:tc>
          <w:tcPr>
            <w:tcW w:w="4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29.4</w:t>
            </w:r>
          </w:p>
        </w:tc>
        <w:tc>
          <w:tcPr>
            <w:tcW w:w="964" w:type="pct"/>
            <w:vMerge w:val="continue"/>
            <w:noWrap w:val="0"/>
            <w:vAlign w:val="center"/>
          </w:tcPr>
          <w:p>
            <w:pPr>
              <w:pStyle w:val="29"/>
              <w:keepNext w:val="0"/>
              <w:keepLines w:val="0"/>
              <w:suppressLineNumbers w:val="0"/>
              <w:spacing w:before="0" w:beforeAutospacing="0" w:after="0" w:afterAutospacing="0"/>
              <w:ind w:left="0" w:right="0"/>
              <w:rPr>
                <w:rFonts w:hint="default"/>
                <w:color w:val="2A26F7"/>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96" w:type="pct"/>
            <w:vMerge w:val="restar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基础施工</w:t>
            </w:r>
          </w:p>
        </w:tc>
        <w:tc>
          <w:tcPr>
            <w:tcW w:w="57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冲击钻机</w:t>
            </w:r>
          </w:p>
        </w:tc>
        <w:tc>
          <w:tcPr>
            <w:tcW w:w="6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83.5</w:t>
            </w:r>
          </w:p>
        </w:tc>
        <w:tc>
          <w:tcPr>
            <w:tcW w:w="40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61.5</w:t>
            </w:r>
          </w:p>
        </w:tc>
        <w:tc>
          <w:tcPr>
            <w:tcW w:w="37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55.5</w:t>
            </w:r>
          </w:p>
        </w:tc>
        <w:tc>
          <w:tcPr>
            <w:tcW w:w="395"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46.0</w:t>
            </w:r>
          </w:p>
        </w:tc>
        <w:tc>
          <w:tcPr>
            <w:tcW w:w="366"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40.0</w:t>
            </w:r>
          </w:p>
        </w:tc>
        <w:tc>
          <w:tcPr>
            <w:tcW w:w="43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34.0</w:t>
            </w:r>
          </w:p>
        </w:tc>
        <w:tc>
          <w:tcPr>
            <w:tcW w:w="4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27.9</w:t>
            </w:r>
          </w:p>
        </w:tc>
        <w:tc>
          <w:tcPr>
            <w:tcW w:w="964" w:type="pct"/>
            <w:vMerge w:val="restar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声源无指向性，有一定影响，应控制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96" w:type="pct"/>
            <w:vMerge w:val="continue"/>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57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空压机</w:t>
            </w:r>
          </w:p>
        </w:tc>
        <w:tc>
          <w:tcPr>
            <w:tcW w:w="6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98.5</w:t>
            </w:r>
          </w:p>
        </w:tc>
        <w:tc>
          <w:tcPr>
            <w:tcW w:w="40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76.5</w:t>
            </w:r>
          </w:p>
        </w:tc>
        <w:tc>
          <w:tcPr>
            <w:tcW w:w="37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70.5</w:t>
            </w:r>
          </w:p>
        </w:tc>
        <w:tc>
          <w:tcPr>
            <w:tcW w:w="395"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61.0</w:t>
            </w:r>
          </w:p>
        </w:tc>
        <w:tc>
          <w:tcPr>
            <w:tcW w:w="366"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55.0</w:t>
            </w:r>
          </w:p>
        </w:tc>
        <w:tc>
          <w:tcPr>
            <w:tcW w:w="43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49.0</w:t>
            </w:r>
          </w:p>
        </w:tc>
        <w:tc>
          <w:tcPr>
            <w:tcW w:w="4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43.0</w:t>
            </w:r>
          </w:p>
        </w:tc>
        <w:tc>
          <w:tcPr>
            <w:tcW w:w="964" w:type="pct"/>
            <w:vMerge w:val="continue"/>
            <w:noWrap w:val="0"/>
            <w:vAlign w:val="center"/>
          </w:tcPr>
          <w:p>
            <w:pPr>
              <w:pStyle w:val="29"/>
              <w:keepNext w:val="0"/>
              <w:keepLines w:val="0"/>
              <w:suppressLineNumbers w:val="0"/>
              <w:spacing w:before="0" w:beforeAutospacing="0" w:after="0" w:afterAutospacing="0"/>
              <w:ind w:left="0" w:right="0"/>
              <w:rPr>
                <w:rFonts w:hint="default"/>
                <w:color w:val="2A26F7"/>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96" w:type="pct"/>
            <w:vMerge w:val="restar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结构施工</w:t>
            </w:r>
          </w:p>
        </w:tc>
        <w:tc>
          <w:tcPr>
            <w:tcW w:w="57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振捣棒</w:t>
            </w:r>
          </w:p>
        </w:tc>
        <w:tc>
          <w:tcPr>
            <w:tcW w:w="6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96</w:t>
            </w:r>
          </w:p>
        </w:tc>
        <w:tc>
          <w:tcPr>
            <w:tcW w:w="40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74.0</w:t>
            </w:r>
          </w:p>
        </w:tc>
        <w:tc>
          <w:tcPr>
            <w:tcW w:w="37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68.0</w:t>
            </w:r>
          </w:p>
        </w:tc>
        <w:tc>
          <w:tcPr>
            <w:tcW w:w="395"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59.5</w:t>
            </w:r>
          </w:p>
        </w:tc>
        <w:tc>
          <w:tcPr>
            <w:tcW w:w="366"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52.5</w:t>
            </w:r>
          </w:p>
        </w:tc>
        <w:tc>
          <w:tcPr>
            <w:tcW w:w="43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46.5</w:t>
            </w:r>
          </w:p>
        </w:tc>
        <w:tc>
          <w:tcPr>
            <w:tcW w:w="4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40.4</w:t>
            </w:r>
          </w:p>
        </w:tc>
        <w:tc>
          <w:tcPr>
            <w:tcW w:w="964" w:type="pct"/>
            <w:vMerge w:val="restar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工作时间长，影响较广泛，必须控制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96" w:type="pct"/>
            <w:vMerge w:val="continue"/>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57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电锯</w:t>
            </w:r>
          </w:p>
        </w:tc>
        <w:tc>
          <w:tcPr>
            <w:tcW w:w="6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106</w:t>
            </w:r>
          </w:p>
        </w:tc>
        <w:tc>
          <w:tcPr>
            <w:tcW w:w="40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84.0</w:t>
            </w:r>
          </w:p>
        </w:tc>
        <w:tc>
          <w:tcPr>
            <w:tcW w:w="37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78.0</w:t>
            </w:r>
          </w:p>
        </w:tc>
        <w:tc>
          <w:tcPr>
            <w:tcW w:w="395"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68.5</w:t>
            </w:r>
          </w:p>
        </w:tc>
        <w:tc>
          <w:tcPr>
            <w:tcW w:w="366"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62.5</w:t>
            </w:r>
          </w:p>
        </w:tc>
        <w:tc>
          <w:tcPr>
            <w:tcW w:w="43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56.5</w:t>
            </w:r>
          </w:p>
        </w:tc>
        <w:tc>
          <w:tcPr>
            <w:tcW w:w="4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50.4</w:t>
            </w:r>
          </w:p>
        </w:tc>
        <w:tc>
          <w:tcPr>
            <w:tcW w:w="964" w:type="pct"/>
            <w:vMerge w:val="continue"/>
            <w:noWrap w:val="0"/>
            <w:vAlign w:val="center"/>
          </w:tcPr>
          <w:p>
            <w:pPr>
              <w:pStyle w:val="29"/>
              <w:keepNext w:val="0"/>
              <w:keepLines w:val="0"/>
              <w:suppressLineNumbers w:val="0"/>
              <w:spacing w:before="0" w:beforeAutospacing="0" w:after="0" w:afterAutospacing="0"/>
              <w:ind w:left="0" w:right="0"/>
              <w:rPr>
                <w:rFonts w:hint="default"/>
                <w:color w:val="2A26F7"/>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96" w:type="pct"/>
            <w:vMerge w:val="restar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装修阶段</w:t>
            </w:r>
          </w:p>
        </w:tc>
        <w:tc>
          <w:tcPr>
            <w:tcW w:w="57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砂轮机</w:t>
            </w:r>
          </w:p>
        </w:tc>
        <w:tc>
          <w:tcPr>
            <w:tcW w:w="6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102</w:t>
            </w:r>
          </w:p>
        </w:tc>
        <w:tc>
          <w:tcPr>
            <w:tcW w:w="40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80.0</w:t>
            </w:r>
          </w:p>
        </w:tc>
        <w:tc>
          <w:tcPr>
            <w:tcW w:w="37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74.0</w:t>
            </w:r>
          </w:p>
        </w:tc>
        <w:tc>
          <w:tcPr>
            <w:tcW w:w="395"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64.5</w:t>
            </w:r>
          </w:p>
        </w:tc>
        <w:tc>
          <w:tcPr>
            <w:tcW w:w="366"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58.5</w:t>
            </w:r>
          </w:p>
        </w:tc>
        <w:tc>
          <w:tcPr>
            <w:tcW w:w="43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52.5</w:t>
            </w:r>
          </w:p>
        </w:tc>
        <w:tc>
          <w:tcPr>
            <w:tcW w:w="4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46.4</w:t>
            </w:r>
          </w:p>
        </w:tc>
        <w:tc>
          <w:tcPr>
            <w:tcW w:w="964" w:type="pct"/>
            <w:vMerge w:val="restar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在考虑室内隔声量的情况下，其影响有所减轻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96" w:type="pct"/>
            <w:vMerge w:val="continue"/>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57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切割机</w:t>
            </w:r>
          </w:p>
        </w:tc>
        <w:tc>
          <w:tcPr>
            <w:tcW w:w="6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100</w:t>
            </w:r>
          </w:p>
        </w:tc>
        <w:tc>
          <w:tcPr>
            <w:tcW w:w="40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78.0</w:t>
            </w:r>
          </w:p>
        </w:tc>
        <w:tc>
          <w:tcPr>
            <w:tcW w:w="373"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72.0</w:t>
            </w:r>
          </w:p>
        </w:tc>
        <w:tc>
          <w:tcPr>
            <w:tcW w:w="395"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62.5</w:t>
            </w:r>
          </w:p>
        </w:tc>
        <w:tc>
          <w:tcPr>
            <w:tcW w:w="366"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56.5</w:t>
            </w:r>
          </w:p>
        </w:tc>
        <w:tc>
          <w:tcPr>
            <w:tcW w:w="439"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50.5</w:t>
            </w:r>
          </w:p>
        </w:tc>
        <w:tc>
          <w:tcPr>
            <w:tcW w:w="440" w:type="pct"/>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44.4</w:t>
            </w:r>
          </w:p>
        </w:tc>
        <w:tc>
          <w:tcPr>
            <w:tcW w:w="964" w:type="pct"/>
            <w:vMerge w:val="continue"/>
            <w:noWrap w:val="0"/>
            <w:vAlign w:val="center"/>
          </w:tcPr>
          <w:p>
            <w:pPr>
              <w:pStyle w:val="29"/>
              <w:keepNext w:val="0"/>
              <w:keepLines w:val="0"/>
              <w:suppressLineNumbers w:val="0"/>
              <w:spacing w:before="0" w:beforeAutospacing="0" w:after="0" w:afterAutospacing="0"/>
              <w:ind w:left="0" w:right="0"/>
              <w:rPr>
                <w:rFonts w:hint="default"/>
                <w:color w:val="2A26F7"/>
              </w:rPr>
            </w:pPr>
          </w:p>
        </w:tc>
      </w:tr>
    </w:tbl>
    <w:p>
      <w:pPr>
        <w:adjustRightInd w:val="0"/>
        <w:snapToGrid w:val="0"/>
        <w:spacing w:line="360" w:lineRule="auto"/>
        <w:ind w:firstLine="480" w:firstLineChars="200"/>
        <w:rPr>
          <w:color w:val="2A26F7"/>
          <w:szCs w:val="21"/>
        </w:rPr>
      </w:pPr>
      <w:r>
        <w:rPr>
          <w:color w:val="2A26F7"/>
          <w:szCs w:val="21"/>
        </w:rPr>
        <w:t>土石方阶段：昼间，</w:t>
      </w:r>
      <w:r>
        <w:rPr>
          <w:bCs/>
          <w:color w:val="2A26F7"/>
          <w:szCs w:val="21"/>
        </w:rPr>
        <w:t>距主要噪声设备</w:t>
      </w:r>
      <w:r>
        <w:rPr>
          <w:color w:val="2A26F7"/>
          <w:szCs w:val="21"/>
        </w:rPr>
        <w:t>5m处达到土石方阶段噪声限值70</w:t>
      </w:r>
      <w:r>
        <w:rPr>
          <w:bCs/>
          <w:color w:val="2A26F7"/>
          <w:szCs w:val="21"/>
        </w:rPr>
        <w:t>dB(A)</w:t>
      </w:r>
      <w:r>
        <w:rPr>
          <w:color w:val="2A26F7"/>
          <w:szCs w:val="21"/>
        </w:rPr>
        <w:t>的要求。夜间，距主要噪声设备30m处达到土石方阶段噪声限值55</w:t>
      </w:r>
      <w:r>
        <w:rPr>
          <w:bCs/>
          <w:color w:val="2A26F7"/>
          <w:szCs w:val="21"/>
        </w:rPr>
        <w:t>dB(A)</w:t>
      </w:r>
      <w:r>
        <w:rPr>
          <w:color w:val="2A26F7"/>
          <w:szCs w:val="21"/>
        </w:rPr>
        <w:t>的要求。</w:t>
      </w:r>
    </w:p>
    <w:p>
      <w:pPr>
        <w:adjustRightInd w:val="0"/>
        <w:snapToGrid w:val="0"/>
        <w:spacing w:line="360" w:lineRule="auto"/>
        <w:ind w:firstLine="480" w:firstLineChars="200"/>
        <w:rPr>
          <w:color w:val="2A26F7"/>
          <w:szCs w:val="21"/>
        </w:rPr>
      </w:pPr>
      <w:r>
        <w:rPr>
          <w:color w:val="2A26F7"/>
          <w:szCs w:val="21"/>
        </w:rPr>
        <w:t>基础施工阶段：昼间，</w:t>
      </w:r>
      <w:r>
        <w:rPr>
          <w:bCs/>
          <w:color w:val="2A26F7"/>
          <w:szCs w:val="21"/>
        </w:rPr>
        <w:t>距主要噪声设备</w:t>
      </w:r>
      <w:r>
        <w:rPr>
          <w:color w:val="2A26F7"/>
          <w:szCs w:val="21"/>
        </w:rPr>
        <w:t>10m处达到基础施工阶段噪声限值70</w:t>
      </w:r>
      <w:r>
        <w:rPr>
          <w:bCs/>
          <w:color w:val="2A26F7"/>
          <w:szCs w:val="21"/>
        </w:rPr>
        <w:t>dB(A)</w:t>
      </w:r>
      <w:r>
        <w:rPr>
          <w:color w:val="2A26F7"/>
          <w:szCs w:val="21"/>
        </w:rPr>
        <w:t>的要求。夜间，距主要噪声设备60m处达到土石方阶段噪声限值55</w:t>
      </w:r>
      <w:r>
        <w:rPr>
          <w:bCs/>
          <w:color w:val="2A26F7"/>
          <w:szCs w:val="21"/>
        </w:rPr>
        <w:t>dB(A)</w:t>
      </w:r>
      <w:r>
        <w:rPr>
          <w:color w:val="2A26F7"/>
          <w:szCs w:val="21"/>
        </w:rPr>
        <w:t>的要求。</w:t>
      </w:r>
    </w:p>
    <w:p>
      <w:pPr>
        <w:adjustRightInd w:val="0"/>
        <w:snapToGrid w:val="0"/>
        <w:spacing w:line="360" w:lineRule="auto"/>
        <w:ind w:firstLine="480" w:firstLineChars="200"/>
        <w:rPr>
          <w:color w:val="2A26F7"/>
          <w:szCs w:val="21"/>
        </w:rPr>
      </w:pPr>
      <w:r>
        <w:rPr>
          <w:color w:val="2A26F7"/>
          <w:szCs w:val="21"/>
        </w:rPr>
        <w:t>结构施工阶段：昼间，距主要噪声设备30m处达到土石方阶段噪声限值70</w:t>
      </w:r>
      <w:r>
        <w:rPr>
          <w:bCs/>
          <w:color w:val="2A26F7"/>
          <w:szCs w:val="21"/>
        </w:rPr>
        <w:t>dB(A)</w:t>
      </w:r>
      <w:r>
        <w:rPr>
          <w:color w:val="2A26F7"/>
          <w:szCs w:val="21"/>
        </w:rPr>
        <w:t>的要求。夜间，距主要噪声设备</w:t>
      </w:r>
      <w:r>
        <w:rPr>
          <w:bCs/>
          <w:color w:val="2A26F7"/>
          <w:szCs w:val="21"/>
        </w:rPr>
        <w:t>145m</w:t>
      </w:r>
      <w:r>
        <w:rPr>
          <w:color w:val="2A26F7"/>
          <w:szCs w:val="21"/>
        </w:rPr>
        <w:t>处达到土石方阶段噪声限值55</w:t>
      </w:r>
      <w:r>
        <w:rPr>
          <w:bCs/>
          <w:color w:val="2A26F7"/>
          <w:szCs w:val="21"/>
        </w:rPr>
        <w:t>dB(A)</w:t>
      </w:r>
      <w:r>
        <w:rPr>
          <w:color w:val="2A26F7"/>
          <w:szCs w:val="21"/>
        </w:rPr>
        <w:t>的要求。</w:t>
      </w:r>
    </w:p>
    <w:p>
      <w:pPr>
        <w:adjustRightInd w:val="0"/>
        <w:snapToGrid w:val="0"/>
        <w:spacing w:line="360" w:lineRule="auto"/>
        <w:ind w:firstLine="480" w:firstLineChars="200"/>
        <w:rPr>
          <w:color w:val="2A26F7"/>
          <w:szCs w:val="21"/>
        </w:rPr>
      </w:pPr>
      <w:r>
        <w:rPr>
          <w:color w:val="2A26F7"/>
          <w:szCs w:val="21"/>
        </w:rPr>
        <w:t>装修阶段：昼间，距主要噪声设备20m处达到土石方阶段噪声限值70</w:t>
      </w:r>
      <w:r>
        <w:rPr>
          <w:bCs/>
          <w:color w:val="2A26F7"/>
          <w:szCs w:val="21"/>
        </w:rPr>
        <w:t>dB(A)</w:t>
      </w:r>
      <w:r>
        <w:rPr>
          <w:color w:val="2A26F7"/>
          <w:szCs w:val="21"/>
        </w:rPr>
        <w:t>的要求。夜间，距主要噪声设备120m处达到土石方阶段噪声限值55</w:t>
      </w:r>
      <w:r>
        <w:rPr>
          <w:bCs/>
          <w:color w:val="2A26F7"/>
          <w:szCs w:val="21"/>
        </w:rPr>
        <w:t>dB(A)</w:t>
      </w:r>
      <w:r>
        <w:rPr>
          <w:color w:val="2A26F7"/>
          <w:szCs w:val="21"/>
        </w:rPr>
        <w:t>要求。</w:t>
      </w:r>
    </w:p>
    <w:p>
      <w:pPr>
        <w:adjustRightInd w:val="0"/>
        <w:snapToGrid w:val="0"/>
        <w:spacing w:line="360" w:lineRule="auto"/>
        <w:ind w:firstLine="480" w:firstLineChars="200"/>
        <w:rPr>
          <w:b/>
          <w:bCs/>
          <w:color w:val="2A26F7"/>
          <w:sz w:val="21"/>
          <w:szCs w:val="21"/>
        </w:rPr>
      </w:pPr>
      <w:r>
        <w:rPr>
          <w:bCs/>
          <w:color w:val="2A26F7"/>
          <w:szCs w:val="21"/>
        </w:rPr>
        <w:t>根据上述分析，施工期各施工阶段的达标距离见表</w:t>
      </w:r>
      <w:r>
        <w:rPr>
          <w:rFonts w:hint="eastAsia"/>
          <w:bCs/>
          <w:color w:val="2A26F7"/>
          <w:szCs w:val="21"/>
        </w:rPr>
        <w:t>5.2-</w:t>
      </w:r>
      <w:r>
        <w:rPr>
          <w:rFonts w:hint="eastAsia"/>
          <w:bCs/>
          <w:color w:val="2A26F7"/>
          <w:szCs w:val="21"/>
          <w:lang w:val="en-US" w:eastAsia="zh-CN"/>
        </w:rPr>
        <w:t>3</w:t>
      </w:r>
      <w:r>
        <w:rPr>
          <w:bCs/>
          <w:color w:val="2A26F7"/>
          <w:szCs w:val="21"/>
        </w:rPr>
        <w:t>。</w:t>
      </w:r>
    </w:p>
    <w:p>
      <w:pPr>
        <w:pStyle w:val="27"/>
        <w:rPr>
          <w:color w:val="2A26F7"/>
        </w:rPr>
      </w:pPr>
      <w:r>
        <w:rPr>
          <w:color w:val="2A26F7"/>
        </w:rPr>
        <w:t>表</w:t>
      </w:r>
      <w:r>
        <w:rPr>
          <w:rFonts w:hint="eastAsia"/>
          <w:color w:val="2A26F7"/>
        </w:rPr>
        <w:t>5.2-</w:t>
      </w:r>
      <w:r>
        <w:rPr>
          <w:rFonts w:hint="eastAsia"/>
          <w:color w:val="2A26F7"/>
          <w:lang w:val="en-US" w:eastAsia="zh-CN"/>
        </w:rPr>
        <w:t xml:space="preserve">3 </w:t>
      </w:r>
      <w:r>
        <w:rPr>
          <w:rFonts w:hint="eastAsia"/>
          <w:color w:val="2A26F7"/>
        </w:rPr>
        <w:t xml:space="preserve"> </w:t>
      </w:r>
      <w:r>
        <w:rPr>
          <w:color w:val="2A26F7"/>
        </w:rPr>
        <w:t>不同施工阶段噪声达标距离</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37"/>
        <w:gridCol w:w="1269"/>
        <w:gridCol w:w="1470"/>
        <w:gridCol w:w="2025"/>
        <w:gridCol w:w="20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1018" w:type="pct"/>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施工阶段</w:t>
            </w:r>
          </w:p>
        </w:tc>
        <w:tc>
          <w:tcPr>
            <w:tcW w:w="1606" w:type="pct"/>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噪声限值LeqdB(A)</w:t>
            </w:r>
          </w:p>
        </w:tc>
        <w:tc>
          <w:tcPr>
            <w:tcW w:w="2374" w:type="pct"/>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达标距离（m）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 w:hRule="atLeast"/>
        </w:trPr>
        <w:tc>
          <w:tcPr>
            <w:tcW w:w="1018"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744"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昼间</w:t>
            </w:r>
          </w:p>
        </w:tc>
        <w:tc>
          <w:tcPr>
            <w:tcW w:w="861"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夜间</w:t>
            </w:r>
          </w:p>
        </w:tc>
        <w:tc>
          <w:tcPr>
            <w:tcW w:w="1187"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昼间</w:t>
            </w:r>
          </w:p>
        </w:tc>
        <w:tc>
          <w:tcPr>
            <w:tcW w:w="1187"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101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土石方阶段</w:t>
            </w:r>
          </w:p>
        </w:tc>
        <w:tc>
          <w:tcPr>
            <w:tcW w:w="744" w:type="pct"/>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70</w:t>
            </w:r>
          </w:p>
        </w:tc>
        <w:tc>
          <w:tcPr>
            <w:tcW w:w="861" w:type="pct"/>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55</w:t>
            </w:r>
          </w:p>
        </w:tc>
        <w:tc>
          <w:tcPr>
            <w:tcW w:w="1187"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5</w:t>
            </w:r>
          </w:p>
        </w:tc>
        <w:tc>
          <w:tcPr>
            <w:tcW w:w="1187"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01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基础阶段</w:t>
            </w:r>
          </w:p>
        </w:tc>
        <w:tc>
          <w:tcPr>
            <w:tcW w:w="744"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861"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1187"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10</w:t>
            </w:r>
          </w:p>
        </w:tc>
        <w:tc>
          <w:tcPr>
            <w:tcW w:w="1187"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101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结构阶段</w:t>
            </w:r>
          </w:p>
        </w:tc>
        <w:tc>
          <w:tcPr>
            <w:tcW w:w="744"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861"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1187"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30</w:t>
            </w:r>
          </w:p>
        </w:tc>
        <w:tc>
          <w:tcPr>
            <w:tcW w:w="1187"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145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101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装修阶段</w:t>
            </w:r>
          </w:p>
        </w:tc>
        <w:tc>
          <w:tcPr>
            <w:tcW w:w="744"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861"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1187"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20</w:t>
            </w:r>
          </w:p>
        </w:tc>
        <w:tc>
          <w:tcPr>
            <w:tcW w:w="1187"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120</w:t>
            </w:r>
          </w:p>
        </w:tc>
      </w:tr>
    </w:tbl>
    <w:p>
      <w:pPr>
        <w:pStyle w:val="6"/>
        <w:ind w:firstLine="480"/>
        <w:rPr>
          <w:color w:val="2A26F7"/>
        </w:rPr>
      </w:pPr>
      <w:r>
        <w:rPr>
          <w:bCs/>
          <w:color w:val="2A26F7"/>
          <w:szCs w:val="21"/>
        </w:rPr>
        <w:t>施工期对场界噪声影响最大的是结构施工阶段，夜间超标影响距离可达145m。</w:t>
      </w:r>
    </w:p>
    <w:p>
      <w:pPr>
        <w:spacing w:line="360" w:lineRule="auto"/>
        <w:ind w:firstLine="480" w:firstLineChars="200"/>
        <w:rPr>
          <w:rFonts w:hint="eastAsia"/>
          <w:bCs/>
          <w:color w:val="2A26F7"/>
          <w:szCs w:val="21"/>
        </w:rPr>
      </w:pPr>
      <w:r>
        <w:rPr>
          <w:rFonts w:hint="eastAsia"/>
          <w:bCs/>
          <w:color w:val="2A26F7"/>
          <w:szCs w:val="21"/>
        </w:rPr>
        <w:t>实施规划需对产噪设备等采取如下措施：</w:t>
      </w:r>
    </w:p>
    <w:p>
      <w:pPr>
        <w:spacing w:line="360" w:lineRule="auto"/>
        <w:ind w:firstLine="480" w:firstLineChars="200"/>
        <w:rPr>
          <w:color w:val="2A26F7"/>
        </w:rPr>
      </w:pPr>
      <w:r>
        <w:rPr>
          <w:rFonts w:hint="eastAsia"/>
          <w:bCs/>
          <w:color w:val="2A26F7"/>
          <w:szCs w:val="21"/>
        </w:rPr>
        <w:t>（1）</w:t>
      </w:r>
      <w:r>
        <w:rPr>
          <w:color w:val="2A26F7"/>
        </w:rPr>
        <w:t>避免高噪声设备同时使用，避免局部噪声级过高。施工单位按当地环境保护管理部门规定，严格执行GB12523-2011《建筑施工场界环境噪声排放标准》，合理安排施工时间，除工程必须外，一般不允许在</w:t>
      </w:r>
      <w:r>
        <w:rPr>
          <w:rFonts w:hint="eastAsia"/>
          <w:color w:val="2A26F7"/>
          <w:lang w:val="en-US" w:eastAsia="zh-CN"/>
        </w:rPr>
        <w:t>13:</w:t>
      </w:r>
      <w:r>
        <w:rPr>
          <w:color w:val="2A26F7"/>
        </w:rPr>
        <w:t>00〜</w:t>
      </w:r>
      <w:r>
        <w:rPr>
          <w:rFonts w:hint="eastAsia"/>
          <w:color w:val="2A26F7"/>
          <w:lang w:val="en-US" w:eastAsia="zh-CN"/>
        </w:rPr>
        <w:t>15:</w:t>
      </w:r>
      <w:r>
        <w:rPr>
          <w:color w:val="2A26F7"/>
        </w:rPr>
        <w:t>30和22</w:t>
      </w:r>
      <w:r>
        <w:rPr>
          <w:rFonts w:hint="eastAsia"/>
          <w:color w:val="2A26F7"/>
          <w:lang w:val="en-US" w:eastAsia="zh-CN"/>
        </w:rPr>
        <w:t>:</w:t>
      </w:r>
      <w:r>
        <w:rPr>
          <w:color w:val="2A26F7"/>
        </w:rPr>
        <w:t>00〜次日6</w:t>
      </w:r>
      <w:r>
        <w:rPr>
          <w:rFonts w:hint="eastAsia"/>
          <w:color w:val="2A26F7"/>
          <w:lang w:val="en-US" w:eastAsia="zh-CN"/>
        </w:rPr>
        <w:t>:</w:t>
      </w:r>
      <w:r>
        <w:rPr>
          <w:color w:val="2A26F7"/>
        </w:rPr>
        <w:t>00期间施工。对主体工程浇灌需要连续施工时，建设单位应在施工前7天征得环保部门批准同意后，在作业前2日将环保行政主管部门的证明及施工时间张贴告示，作好宣传，告知周边公众，为防止昼间施工噪声对周边环境造成影响，必须在具体规划项目四周建设临时声屏障。</w:t>
      </w:r>
    </w:p>
    <w:p>
      <w:pPr>
        <w:spacing w:line="360" w:lineRule="auto"/>
        <w:ind w:firstLine="480" w:firstLineChars="200"/>
        <w:rPr>
          <w:color w:val="2A26F7"/>
        </w:rPr>
      </w:pPr>
      <w:r>
        <w:rPr>
          <w:rFonts w:hint="eastAsia"/>
          <w:color w:val="2A26F7"/>
        </w:rPr>
        <w:t>（2）</w:t>
      </w:r>
      <w:r>
        <w:rPr>
          <w:color w:val="2A26F7"/>
        </w:rPr>
        <w:t>施工阶段釆用商品砕，减少混凝土拌和噪声。</w:t>
      </w:r>
    </w:p>
    <w:p>
      <w:pPr>
        <w:spacing w:line="360" w:lineRule="auto"/>
        <w:ind w:firstLine="480" w:firstLineChars="200"/>
        <w:rPr>
          <w:color w:val="2A26F7"/>
        </w:rPr>
      </w:pPr>
      <w:r>
        <w:rPr>
          <w:rFonts w:hint="eastAsia"/>
          <w:color w:val="2A26F7"/>
        </w:rPr>
        <w:t>（3）</w:t>
      </w:r>
      <w:r>
        <w:rPr>
          <w:color w:val="2A26F7"/>
        </w:rPr>
        <w:t>施工单位主要施工机械应釆用低噪声机械设备，并及时维修保养，严格按操作规程使用各类机械。</w:t>
      </w:r>
    </w:p>
    <w:p>
      <w:pPr>
        <w:spacing w:line="360" w:lineRule="auto"/>
        <w:ind w:firstLine="480" w:firstLineChars="200"/>
        <w:rPr>
          <w:color w:val="2A26F7"/>
        </w:rPr>
      </w:pPr>
      <w:r>
        <w:rPr>
          <w:rFonts w:hint="eastAsia"/>
          <w:color w:val="2A26F7"/>
        </w:rPr>
        <w:t>（4）</w:t>
      </w:r>
      <w:r>
        <w:rPr>
          <w:color w:val="2A26F7"/>
        </w:rPr>
        <w:t>加强对运输车辆的保养，避免由于故障汽车上路增大对沿线居民的噪声影响；运输车辆应控制车速，禁止鸣号，建设单位应在主要 路段在交警部门的协助下设置限速标志。且施工车辆通行应尽量以最 短距离通过城区。</w:t>
      </w:r>
    </w:p>
    <w:p>
      <w:pPr>
        <w:pStyle w:val="6"/>
        <w:ind w:firstLine="480"/>
        <w:rPr>
          <w:rFonts w:hint="eastAsia"/>
          <w:color w:val="2A26F7"/>
        </w:rPr>
      </w:pPr>
      <w:r>
        <w:rPr>
          <w:rFonts w:hint="eastAsia"/>
          <w:color w:val="2A26F7"/>
        </w:rPr>
        <w:t>施工期的噪声影响是短期的，采取以上措施后，可有效减少施工噪声带来的影响。</w:t>
      </w:r>
    </w:p>
    <w:p>
      <w:pPr>
        <w:pStyle w:val="2"/>
        <w:bidi w:val="0"/>
        <w:rPr>
          <w:rFonts w:hint="eastAsia"/>
        </w:rPr>
      </w:pPr>
      <w:r>
        <w:rPr>
          <w:rFonts w:hint="eastAsia"/>
          <w:lang w:val="en-US" w:eastAsia="zh-CN"/>
        </w:rPr>
        <w:t>5.2.1.4</w:t>
      </w:r>
      <w:r>
        <w:rPr>
          <w:rFonts w:hint="eastAsia"/>
        </w:rPr>
        <w:t>施工期固体废物环境影响分析</w:t>
      </w:r>
    </w:p>
    <w:p>
      <w:pPr>
        <w:pStyle w:val="6"/>
        <w:bidi w:val="0"/>
        <w:rPr>
          <w:rFonts w:hint="eastAsia"/>
        </w:rPr>
      </w:pPr>
      <w:r>
        <w:rPr>
          <w:rFonts w:hint="eastAsia"/>
        </w:rPr>
        <w:t>施工期产生的固废可能会对环境造成污染的主要是建筑垃圾和施工生活垃圾。施工期间产生的废物包括土地平整、土石方开挖产生的弃土弃石、建筑垃圾和施工人员的生活垃圾。</w:t>
      </w:r>
    </w:p>
    <w:p>
      <w:pPr>
        <w:pStyle w:val="6"/>
        <w:bidi w:val="0"/>
        <w:rPr>
          <w:rFonts w:hint="eastAsia"/>
        </w:rPr>
      </w:pPr>
      <w:r>
        <w:rPr>
          <w:rFonts w:hint="eastAsia"/>
        </w:rPr>
        <w:t>施工期生活垃圾收集后由环卫部门统一及时清运，建筑垃圾会随着施工的结束得到清理。这些施工垃圾是在不同时期、不同地点产生，其对环境卫生的影响主要取决于当时施工垃圾产生的数量、处理和管理的方式。根据总体规划或一般建筑施工工作卫生要求，对建筑垃圾和施工生活垃圾将会指定其堆放地方，统一收集后送垃圾场处理，对环境基本不会造成污染。</w:t>
      </w:r>
    </w:p>
    <w:p>
      <w:pPr>
        <w:pStyle w:val="5"/>
        <w:bidi w:val="0"/>
        <w:rPr>
          <w:rFonts w:hint="default"/>
          <w:lang w:val="en-US" w:eastAsia="zh-CN"/>
        </w:rPr>
      </w:pPr>
      <w:bookmarkStart w:id="138" w:name="_Toc5573"/>
      <w:r>
        <w:rPr>
          <w:rFonts w:hint="eastAsia"/>
          <w:lang w:val="en-US" w:eastAsia="zh-CN"/>
        </w:rPr>
        <w:t>5.2.2运营期环境影响分析</w:t>
      </w:r>
      <w:bookmarkEnd w:id="138"/>
    </w:p>
    <w:p>
      <w:pPr>
        <w:pStyle w:val="2"/>
      </w:pPr>
      <w:r>
        <w:rPr>
          <w:rFonts w:hint="eastAsia"/>
        </w:rPr>
        <w:t>5.2.</w:t>
      </w:r>
      <w:r>
        <w:rPr>
          <w:rFonts w:hint="eastAsia"/>
          <w:lang w:val="en-US" w:eastAsia="zh-CN"/>
        </w:rPr>
        <w:t>.2.1</w:t>
      </w:r>
      <w:r>
        <w:rPr>
          <w:rFonts w:hint="eastAsia"/>
        </w:rPr>
        <w:t>运营期废气影响分析</w:t>
      </w:r>
    </w:p>
    <w:p>
      <w:pPr>
        <w:pStyle w:val="6"/>
        <w:ind w:firstLine="480"/>
        <w:rPr>
          <w:rFonts w:hint="eastAsia"/>
        </w:rPr>
      </w:pPr>
      <w:r>
        <w:rPr>
          <w:rFonts w:hint="eastAsia"/>
        </w:rPr>
        <w:t>运营期旅游业的主要废气是餐饮油烟、机动车尾气和垃圾收集点的恶臭气体。</w:t>
      </w:r>
    </w:p>
    <w:p>
      <w:pPr>
        <w:pStyle w:val="6"/>
        <w:ind w:firstLine="482"/>
        <w:rPr>
          <w:b/>
          <w:bCs/>
        </w:rPr>
      </w:pPr>
      <w:r>
        <w:rPr>
          <w:rFonts w:hint="eastAsia"/>
          <w:b/>
          <w:bCs/>
        </w:rPr>
        <w:t>1、餐饮油烟</w:t>
      </w:r>
    </w:p>
    <w:p>
      <w:pPr>
        <w:pStyle w:val="6"/>
        <w:ind w:firstLine="480"/>
        <w:rPr>
          <w:rFonts w:hint="eastAsia"/>
        </w:rPr>
      </w:pPr>
      <w:r>
        <w:rPr>
          <w:rFonts w:hint="eastAsia"/>
        </w:rPr>
        <w:t>本规划游餐饮住宿服务体系涉及高端酒店、精品小酒店、家庭旅馆等，其厨房排放的油烟废气，若处理不当，可能对大气环境产生一定的影响。</w:t>
      </w:r>
    </w:p>
    <w:p>
      <w:pPr>
        <w:pStyle w:val="6"/>
        <w:ind w:firstLine="480"/>
        <w:rPr>
          <w:rFonts w:hint="eastAsia"/>
        </w:rPr>
      </w:pPr>
      <w:r>
        <w:rPr>
          <w:rFonts w:hint="eastAsia"/>
        </w:rPr>
        <w:t>餐饮油烟的成份十分复杂，既有油脂、蛋白质及原料佐料在受热条件下进行物理化学反应产生的有机烟气，也有加热操作过程中液滴溅落、油料物料分解、氧化、聚合的高分子化合物，因此存在形态既有总悬浮颗粒物（TSP），又有气体分子的有机态污染物。测试发现，食用油加热到150～200℃时产生的气态污染物含有200多种化学物质，主要为不饱和烃类、饱和烃类、苯系物、多环芳烃、杂环化合物以及醇、醛等，其中不少物质（如多环芳烃类等）为致癌物质。</w:t>
      </w:r>
    </w:p>
    <w:p>
      <w:pPr>
        <w:pStyle w:val="6"/>
        <w:ind w:firstLine="480"/>
      </w:pPr>
      <w:r>
        <w:rPr>
          <w:rFonts w:hint="eastAsia"/>
        </w:rPr>
        <w:t>旅游业的发展，旅游人数的增加，带来餐饮业的增加，同时也会带来大量餐饮废气的排放。美食街、美食城的布局，又会带来餐饮油烟排放的集中。</w:t>
      </w:r>
    </w:p>
    <w:p>
      <w:pPr>
        <w:pStyle w:val="6"/>
        <w:ind w:firstLine="480"/>
        <w:rPr>
          <w:rFonts w:hint="eastAsia"/>
        </w:rPr>
      </w:pPr>
      <w:r>
        <w:rPr>
          <w:rFonts w:hint="eastAsia"/>
        </w:rPr>
        <w:t>餐饮油烟所产生挥发性物质相较于粉尘颗粒物虽然排放量较少，但其致癌性、毒性不可忽视。故此餐饮业油烟应重点管控。在旅游集散地的餐饮油烟必须经过油烟净化装置处理后达标排放。各景点、酒店等配套餐饮业按照环保要求安装油烟净化设施，油烟废气经油烟净化设施处理后由专用烟道高于屋顶排放，并避开周围敏感建筑物。油烟净化设施净化</w:t>
      </w:r>
      <w:r>
        <w:t>油烟排放浓度和去除效率应当符合</w:t>
      </w:r>
      <w:r>
        <w:rPr>
          <w:rFonts w:hint="eastAsia"/>
        </w:rPr>
        <w:t>《饮食业油烟排放标准》（GB18483-2001）中油烟的最高允许排放浓度的标准限值要求和《饮食业环境保护技术规范》（HJ554-2010）的要求，实现达标排放，对大气环境影响较小。</w:t>
      </w:r>
    </w:p>
    <w:p>
      <w:pPr>
        <w:pStyle w:val="6"/>
        <w:ind w:firstLine="482"/>
        <w:rPr>
          <w:b/>
          <w:bCs/>
        </w:rPr>
      </w:pPr>
      <w:r>
        <w:rPr>
          <w:rStyle w:val="48"/>
          <w:rFonts w:hint="eastAsia"/>
          <w:b/>
          <w:bCs/>
        </w:rPr>
        <w:t>2、</w:t>
      </w:r>
      <w:r>
        <w:rPr>
          <w:rFonts w:hint="eastAsia"/>
          <w:b/>
          <w:bCs/>
        </w:rPr>
        <w:t>汽车尾气</w:t>
      </w:r>
    </w:p>
    <w:p>
      <w:pPr>
        <w:pStyle w:val="6"/>
        <w:ind w:firstLine="480"/>
      </w:pPr>
      <w:r>
        <w:t>汽车尾气污染是由汽车排放废气造成的环境污染。汽车尾气中含有上百种不同的化合物，主要污染物为碳氢化合物、氮氧化合物、一氧化碳、二氧化硫、含铅化合物、苯并芘及固体颗粒物等</w:t>
      </w:r>
      <w:r>
        <w:rPr>
          <w:rFonts w:hint="eastAsia"/>
        </w:rPr>
        <w:t>。</w:t>
      </w:r>
    </w:p>
    <w:p>
      <w:pPr>
        <w:pStyle w:val="6"/>
        <w:ind w:firstLine="480"/>
        <w:rPr>
          <w:rFonts w:hint="eastAsia"/>
        </w:rPr>
      </w:pPr>
      <w:r>
        <w:rPr>
          <w:rFonts w:hint="eastAsia"/>
        </w:rPr>
        <w:t>随着规划期间旅游业进一步的开发建设，旅游产业的快速发展和区内外道路系统的逐步完善，机动车拥有量将增加，车流量将明显增大，大气污染将趋于混合型。规划末年20</w:t>
      </w:r>
      <w:r>
        <w:rPr>
          <w:rFonts w:hint="eastAsia"/>
          <w:lang w:val="en-US" w:eastAsia="zh-CN"/>
        </w:rPr>
        <w:t>25</w:t>
      </w:r>
      <w:r>
        <w:rPr>
          <w:rFonts w:hint="eastAsia"/>
        </w:rPr>
        <w:t>年，旅游车辆的主要污染物年排放量如表5.2-2所示。</w:t>
      </w:r>
    </w:p>
    <w:p>
      <w:pPr>
        <w:pStyle w:val="27"/>
      </w:pPr>
      <w:r>
        <w:t>表</w:t>
      </w:r>
      <w:r>
        <w:rPr>
          <w:rFonts w:hint="eastAsia"/>
        </w:rPr>
        <w:t>5.2-</w:t>
      </w:r>
      <w:r>
        <w:rPr>
          <w:rFonts w:hint="eastAsia"/>
          <w:lang w:val="en-US" w:eastAsia="zh-CN"/>
        </w:rPr>
        <w:t>4</w:t>
      </w:r>
      <w:r>
        <w:t xml:space="preserve"> </w:t>
      </w:r>
      <w:r>
        <w:rPr>
          <w:rFonts w:hint="eastAsia"/>
        </w:rPr>
        <w:t xml:space="preserve"> 20</w:t>
      </w:r>
      <w:r>
        <w:rPr>
          <w:rFonts w:hint="eastAsia"/>
          <w:lang w:val="en-US" w:eastAsia="zh-CN"/>
        </w:rPr>
        <w:t>25</w:t>
      </w:r>
      <w:r>
        <w:rPr>
          <w:rFonts w:hint="eastAsia"/>
        </w:rPr>
        <w:t>年</w:t>
      </w:r>
      <w:r>
        <w:t xml:space="preserve">旅游车辆尾气主要污染物年排放量估算表 </w:t>
      </w:r>
      <w:r>
        <w:rPr>
          <w:rFonts w:hint="eastAsia"/>
        </w:rPr>
        <w:t xml:space="preserve"> </w:t>
      </w:r>
      <w:r>
        <w:t>单位：t</w:t>
      </w:r>
    </w:p>
    <w:tbl>
      <w:tblPr>
        <w:tblStyle w:val="24"/>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09"/>
        <w:gridCol w:w="1729"/>
        <w:gridCol w:w="2973"/>
        <w:gridCol w:w="22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44"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 xml:space="preserve">规划目标年 </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eastAsia"/>
                <w:color w:val="2A26F7"/>
              </w:rPr>
              <w:t>车型</w:t>
            </w:r>
          </w:p>
        </w:tc>
        <w:tc>
          <w:tcPr>
            <w:tcW w:w="1743"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NOx</w:t>
            </w:r>
          </w:p>
        </w:tc>
        <w:tc>
          <w:tcPr>
            <w:tcW w:w="1298"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default"/>
                <w:color w:val="2A26F7"/>
              </w:rPr>
              <w:t>SO</w:t>
            </w:r>
            <w:r>
              <w:rPr>
                <w:rFonts w:hint="default"/>
                <w:color w:val="2A26F7"/>
                <w:vertAlign w:val="subscript"/>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44" w:type="pct"/>
            <w:vMerge w:val="restart"/>
            <w:tcBorders>
              <w:top w:val="single" w:color="auto" w:sz="4" w:space="0"/>
              <w:left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eastAsia="宋体"/>
                <w:color w:val="2A26F7"/>
                <w:lang w:val="en-US" w:eastAsia="zh-CN"/>
              </w:rPr>
            </w:pPr>
            <w:r>
              <w:rPr>
                <w:rFonts w:hint="eastAsia"/>
                <w:color w:val="2A26F7"/>
                <w:lang w:val="en-US" w:eastAsia="zh-CN"/>
              </w:rPr>
              <w:t>2025</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eastAsia"/>
                <w:color w:val="2A26F7"/>
              </w:rPr>
              <w:t>自驾车</w:t>
            </w:r>
          </w:p>
        </w:tc>
        <w:tc>
          <w:tcPr>
            <w:tcW w:w="297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1995</w:t>
            </w:r>
          </w:p>
        </w:tc>
        <w:tc>
          <w:tcPr>
            <w:tcW w:w="221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199.5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44" w:type="pct"/>
            <w:vMerge w:val="continue"/>
            <w:tcBorders>
              <w:left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p>
        </w:tc>
        <w:tc>
          <w:tcPr>
            <w:tcW w:w="1014"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eastAsia"/>
                <w:color w:val="2A26F7"/>
              </w:rPr>
              <w:t>大巴车</w:t>
            </w:r>
          </w:p>
        </w:tc>
        <w:tc>
          <w:tcPr>
            <w:tcW w:w="297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1773.3</w:t>
            </w:r>
          </w:p>
        </w:tc>
        <w:tc>
          <w:tcPr>
            <w:tcW w:w="221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190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44" w:type="pct"/>
            <w:vMerge w:val="continue"/>
            <w:tcBorders>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p>
        </w:tc>
        <w:tc>
          <w:tcPr>
            <w:tcW w:w="1014"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2A26F7"/>
              </w:rPr>
            </w:pPr>
            <w:r>
              <w:rPr>
                <w:rFonts w:hint="eastAsia"/>
                <w:color w:val="2A26F7"/>
              </w:rPr>
              <w:t>合计</w:t>
            </w:r>
          </w:p>
        </w:tc>
        <w:tc>
          <w:tcPr>
            <w:tcW w:w="297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3768.3</w:t>
            </w:r>
          </w:p>
        </w:tc>
        <w:tc>
          <w:tcPr>
            <w:tcW w:w="2212"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389.5</w:t>
            </w:r>
          </w:p>
        </w:tc>
      </w:tr>
    </w:tbl>
    <w:p>
      <w:pPr>
        <w:pStyle w:val="6"/>
        <w:ind w:firstLine="480"/>
        <w:rPr>
          <w:rFonts w:hint="eastAsia"/>
        </w:rPr>
      </w:pPr>
      <w:r>
        <w:rPr>
          <w:rFonts w:hint="eastAsia"/>
        </w:rPr>
        <w:t>本次规划的实施，随着旅游人数的增加，旅游景区的开发，选择汽车出行的同时，汽车尾气的排放也随之增加，即会增加林芝市境内氮氧化物的排放总量及碳排放总量。但随着规划实施，景区内道路、停车场更加完善，路况较好、地势平坦，空气扩散情况良好，可能在车辆密集处（如停车场）有短期的污染情况，其他场所车辆较分散，污染情况轻微。规划区内植被覆盖率较高，对废气具有一定净化作用，废气影响程度更低。</w:t>
      </w:r>
    </w:p>
    <w:p>
      <w:pPr>
        <w:pStyle w:val="6"/>
        <w:ind w:firstLine="480"/>
        <w:rPr>
          <w:rFonts w:hint="eastAsia"/>
        </w:rPr>
      </w:pPr>
      <w:r>
        <w:rPr>
          <w:rFonts w:hint="eastAsia"/>
        </w:rPr>
        <w:t>环评建议对后续新建规划景区内的接待车辆使用新能源或清洁能源汽车，同时对现有景区内燃油机动车进行逐步替换，提倡游客步行游览或采用自行车等绿色交通工具以降低废气排放及碳排放影响。</w:t>
      </w:r>
    </w:p>
    <w:p>
      <w:pPr>
        <w:pStyle w:val="6"/>
        <w:ind w:firstLine="480"/>
        <w:rPr>
          <w:rFonts w:hint="eastAsia"/>
        </w:rPr>
      </w:pPr>
      <w:r>
        <w:rPr>
          <w:rFonts w:hint="eastAsia"/>
        </w:rPr>
        <w:t>总体来说，景区停车场设置在景区之外，且停车场设置在较为空旷的地方，停车场周边设置高密度的绿化防护，机动车尾气容易扩散，且被绿化吸收；此外，进入景区道路两旁绿化覆盖率较高，因此，机动车尾气对周围大气环境影响不大。</w:t>
      </w:r>
    </w:p>
    <w:p>
      <w:pPr>
        <w:pStyle w:val="6"/>
        <w:ind w:firstLine="482"/>
        <w:rPr>
          <w:b/>
          <w:bCs/>
        </w:rPr>
      </w:pPr>
      <w:r>
        <w:rPr>
          <w:rFonts w:hint="eastAsia"/>
          <w:b/>
          <w:bCs/>
        </w:rPr>
        <w:t>3、垃圾收集点的恶臭气体</w:t>
      </w:r>
    </w:p>
    <w:p>
      <w:pPr>
        <w:pStyle w:val="6"/>
        <w:ind w:firstLine="480"/>
        <w:rPr>
          <w:rFonts w:hint="eastAsia"/>
        </w:rPr>
      </w:pPr>
      <w:r>
        <w:rPr>
          <w:rFonts w:hint="eastAsia"/>
        </w:rPr>
        <w:t>规划中的景点、村寨、酒店等生活垃圾收集设施在运营过程中会产生恶臭。由于生活垃圾中含有各类易发酵的有机物，尤其是在气温较高时，生活垃圾在堆存、压装、运输过程中会散发出较难闻的恶臭气体，其主要成份为H</w:t>
      </w:r>
      <w:r>
        <w:rPr>
          <w:rFonts w:hint="eastAsia"/>
          <w:vertAlign w:val="subscript"/>
        </w:rPr>
        <w:t>2</w:t>
      </w:r>
      <w:r>
        <w:rPr>
          <w:rFonts w:hint="eastAsia"/>
        </w:rPr>
        <w:t>S和NH</w:t>
      </w:r>
      <w:r>
        <w:rPr>
          <w:rFonts w:hint="eastAsia"/>
          <w:vertAlign w:val="subscript"/>
        </w:rPr>
        <w:t>3</w:t>
      </w:r>
      <w:r>
        <w:rPr>
          <w:rFonts w:hint="eastAsia"/>
        </w:rPr>
        <w:t>，此外还有甲硫醇、甲胺、甲基硫等有机气体，在氧气量足够时，垃圾中的有机成份如蛋白质，在好氧细菌作用下产生NH</w:t>
      </w:r>
      <w:r>
        <w:rPr>
          <w:rFonts w:hint="eastAsia"/>
          <w:vertAlign w:val="subscript"/>
        </w:rPr>
        <w:t>3</w:t>
      </w:r>
      <w:r>
        <w:rPr>
          <w:rFonts w:hint="eastAsia"/>
        </w:rPr>
        <w:t>；在氧气不足时，厌氧细菌将有机物分解为不彻底的氧化产物H</w:t>
      </w:r>
      <w:r>
        <w:rPr>
          <w:rFonts w:hint="eastAsia"/>
          <w:vertAlign w:val="subscript"/>
        </w:rPr>
        <w:t>2</w:t>
      </w:r>
      <w:r>
        <w:rPr>
          <w:rFonts w:hint="eastAsia"/>
        </w:rPr>
        <w:t>S和NH</w:t>
      </w:r>
      <w:r>
        <w:rPr>
          <w:rFonts w:hint="eastAsia"/>
          <w:vertAlign w:val="subscript"/>
        </w:rPr>
        <w:t>3</w:t>
      </w:r>
      <w:r>
        <w:rPr>
          <w:rFonts w:hint="eastAsia"/>
        </w:rPr>
        <w:t>、硫醇类、胺类等化合物。</w:t>
      </w:r>
    </w:p>
    <w:p>
      <w:pPr>
        <w:pStyle w:val="6"/>
        <w:ind w:firstLine="480"/>
        <w:rPr>
          <w:rFonts w:hint="eastAsia"/>
        </w:rPr>
      </w:pPr>
      <w:r>
        <w:rPr>
          <w:rFonts w:hint="eastAsia"/>
        </w:rPr>
        <w:t>为控制臭气对周围环境的影响，应加强收运作业管理，通过合理安排作业时段，垃圾收运应避开游客集聚的时间，而且每天工作结束后，对作业区的场地和部分设备进行冲洗，对进入转运站的垃圾日产日清，统一外运处置，避免长期积累产生恶臭影响周边游客和居民。</w:t>
      </w:r>
    </w:p>
    <w:p>
      <w:pPr>
        <w:pStyle w:val="6"/>
        <w:ind w:firstLine="480"/>
        <w:rPr>
          <w:rFonts w:hint="eastAsia"/>
        </w:rPr>
      </w:pPr>
      <w:r>
        <w:rPr>
          <w:rFonts w:hint="eastAsia"/>
        </w:rPr>
        <w:t>在夏季蚊蝇高繁殖季节，需定时喷洒药水进行消毒处理，控制大量蚊蝇滋生。</w:t>
      </w:r>
    </w:p>
    <w:p>
      <w:pPr>
        <w:pStyle w:val="6"/>
        <w:ind w:firstLine="480"/>
        <w:rPr>
          <w:rFonts w:hint="eastAsia"/>
        </w:rPr>
      </w:pPr>
      <w:r>
        <w:rPr>
          <w:rFonts w:hint="eastAsia"/>
        </w:rPr>
        <w:t>垃圾收集点外围可设置绿化隔离带，垃圾运输车辆采用拉臂勾车与移动式垃圾收集箱相结合的方式，密闭运输，运输过程不会造成垃圾散落和臭气的污染。污水处理站各处理池加盖封闭，公厕化粪池定期清理，实施以上措施后对周围环境影响小</w:t>
      </w:r>
    </w:p>
    <w:p>
      <w:pPr>
        <w:pStyle w:val="6"/>
        <w:bidi w:val="0"/>
        <w:rPr>
          <w:rFonts w:hint="eastAsia"/>
          <w:b/>
          <w:bCs/>
        </w:rPr>
      </w:pPr>
      <w:r>
        <w:rPr>
          <w:rFonts w:hint="eastAsia"/>
          <w:b/>
          <w:bCs/>
          <w:lang w:val="en-US" w:eastAsia="zh-CN"/>
        </w:rPr>
        <w:t>4、</w:t>
      </w:r>
      <w:r>
        <w:rPr>
          <w:rFonts w:hint="eastAsia"/>
          <w:b/>
          <w:bCs/>
        </w:rPr>
        <w:t>小结</w:t>
      </w:r>
    </w:p>
    <w:p>
      <w:pPr>
        <w:pStyle w:val="6"/>
        <w:ind w:firstLine="480"/>
      </w:pPr>
      <w:r>
        <w:t>规划实施运营后的废气排放源主要为旅游设施及交通工具尾气，如宾馆、酒店的油烟，汽车尾气排放的NOx等。通过采取相应措施，如宾馆安装油烟净化设施，景区使用清洁能源车辆等，可有效降低</w:t>
      </w:r>
      <w:r>
        <w:rPr>
          <w:rFonts w:hint="eastAsia"/>
        </w:rPr>
        <w:t>规划区域内</w:t>
      </w:r>
      <w:r>
        <w:t>产生的大气影响。从规划特点看，规划区域覆盖</w:t>
      </w:r>
      <w:r>
        <w:rPr>
          <w:rFonts w:hint="eastAsia"/>
        </w:rPr>
        <w:t>林芝市境内</w:t>
      </w:r>
      <w:r>
        <w:t>主要景点所在乡镇，较为广阔的地理空间为大气污染物的扩散提供了较便利条件。因此在采取措施后，</w:t>
      </w:r>
      <w:r>
        <w:rPr>
          <w:rFonts w:hint="eastAsia"/>
        </w:rPr>
        <w:t>旅游业</w:t>
      </w:r>
      <w:r>
        <w:t>发展对空气的影响预期是可以接受的。</w:t>
      </w:r>
    </w:p>
    <w:p>
      <w:pPr>
        <w:pStyle w:val="2"/>
        <w:bidi w:val="0"/>
        <w:rPr>
          <w:highlight w:val="none"/>
        </w:rPr>
      </w:pPr>
      <w:r>
        <w:rPr>
          <w:highlight w:val="none"/>
          <w:lang w:val="en-GB"/>
        </w:rPr>
        <w:t>5.2.2.</w:t>
      </w:r>
      <w:r>
        <w:rPr>
          <w:rFonts w:hint="eastAsia"/>
          <w:highlight w:val="none"/>
          <w:lang w:val="en-US" w:eastAsia="zh-CN"/>
        </w:rPr>
        <w:t>2</w:t>
      </w:r>
      <w:r>
        <w:rPr>
          <w:rFonts w:hint="eastAsia"/>
          <w:highlight w:val="none"/>
        </w:rPr>
        <w:t>运营期地表水环境影响分析</w:t>
      </w:r>
    </w:p>
    <w:p>
      <w:pPr>
        <w:pStyle w:val="6"/>
        <w:ind w:firstLine="482"/>
        <w:rPr>
          <w:b/>
          <w:bCs/>
          <w:highlight w:val="none"/>
        </w:rPr>
      </w:pPr>
      <w:r>
        <w:rPr>
          <w:rFonts w:hint="eastAsia"/>
          <w:b/>
          <w:bCs/>
          <w:highlight w:val="none"/>
        </w:rPr>
        <w:t>1、污水排放情况</w:t>
      </w:r>
    </w:p>
    <w:p>
      <w:pPr>
        <w:pStyle w:val="6"/>
        <w:ind w:firstLine="480"/>
        <w:rPr>
          <w:rFonts w:hint="eastAsia"/>
          <w:lang w:val="en-GB"/>
        </w:rPr>
      </w:pPr>
      <w:r>
        <w:rPr>
          <w:lang w:val="en-GB"/>
        </w:rPr>
        <w:t>作为第三产业的旅游产业，其发展过程中产生的水污染主要游客和工作人员生活污水</w:t>
      </w:r>
      <w:r>
        <w:rPr>
          <w:rFonts w:hint="eastAsia"/>
          <w:lang w:val="en-GB"/>
        </w:rPr>
        <w:t>（含餐饮废水），废水主要污染物为COD</w:t>
      </w:r>
      <w:r>
        <w:rPr>
          <w:rFonts w:hint="eastAsia"/>
          <w:vertAlign w:val="subscript"/>
          <w:lang w:val="en-GB"/>
        </w:rPr>
        <w:t>Cr</w:t>
      </w:r>
      <w:r>
        <w:rPr>
          <w:rFonts w:hint="eastAsia"/>
          <w:lang w:val="en-GB"/>
        </w:rPr>
        <w:t>、NH</w:t>
      </w:r>
      <w:r>
        <w:rPr>
          <w:rFonts w:hint="eastAsia"/>
          <w:vertAlign w:val="subscript"/>
          <w:lang w:val="en-GB"/>
        </w:rPr>
        <w:t>3</w:t>
      </w:r>
      <w:r>
        <w:rPr>
          <w:rFonts w:hint="eastAsia"/>
          <w:lang w:val="en-GB"/>
        </w:rPr>
        <w:t>-N、BOD</w:t>
      </w:r>
      <w:r>
        <w:rPr>
          <w:rFonts w:hint="eastAsia"/>
          <w:vertAlign w:val="subscript"/>
          <w:lang w:val="en-GB"/>
        </w:rPr>
        <w:t>5</w:t>
      </w:r>
      <w:r>
        <w:rPr>
          <w:rFonts w:hint="eastAsia"/>
          <w:lang w:val="en-GB"/>
        </w:rPr>
        <w:t>、SS、动植物油；污染成分简单，且较容易生化处理。</w:t>
      </w:r>
    </w:p>
    <w:p>
      <w:pPr>
        <w:pStyle w:val="6"/>
        <w:ind w:firstLine="480"/>
        <w:rPr>
          <w:rFonts w:hint="eastAsia"/>
          <w:color w:val="0000FF"/>
        </w:rPr>
      </w:pPr>
      <w:r>
        <w:t>本评价依据</w:t>
      </w:r>
      <w:r>
        <w:rPr>
          <w:rFonts w:hint="eastAsia"/>
        </w:rPr>
        <w:t>规划远期末年</w:t>
      </w:r>
      <w:r>
        <w:rPr>
          <w:rFonts w:hint="eastAsia"/>
          <w:color w:val="0000FF"/>
        </w:rPr>
        <w:t>20</w:t>
      </w:r>
      <w:r>
        <w:rPr>
          <w:rFonts w:hint="eastAsia"/>
          <w:color w:val="0000FF"/>
          <w:lang w:val="en-US" w:eastAsia="zh-CN"/>
        </w:rPr>
        <w:t>25</w:t>
      </w:r>
      <w:r>
        <w:rPr>
          <w:rFonts w:hint="eastAsia"/>
          <w:color w:val="0000FF"/>
        </w:rPr>
        <w:t>年</w:t>
      </w:r>
      <w:r>
        <w:rPr>
          <w:color w:val="0000FF"/>
        </w:rPr>
        <w:t>接待人数</w:t>
      </w:r>
      <w:r>
        <w:rPr>
          <w:rFonts w:hint="eastAsia"/>
          <w:color w:val="0000FF"/>
          <w:lang w:val="en-US" w:eastAsia="zh-CN"/>
        </w:rPr>
        <w:t>1900</w:t>
      </w:r>
      <w:r>
        <w:rPr>
          <w:rFonts w:hint="eastAsia"/>
          <w:color w:val="0000FF"/>
        </w:rPr>
        <w:t>万人</w:t>
      </w:r>
      <w:r>
        <w:t>来</w:t>
      </w:r>
      <w:r>
        <w:rPr>
          <w:rFonts w:hint="eastAsia"/>
        </w:rPr>
        <w:t>预测</w:t>
      </w:r>
      <w:r>
        <w:t>废水量和污染物的排放量。</w:t>
      </w:r>
      <w:r>
        <w:rPr>
          <w:rFonts w:hint="eastAsia"/>
        </w:rPr>
        <w:t>本次规划为旅游规划，</w:t>
      </w:r>
      <w:r>
        <w:t>生活用水量参照《</w:t>
      </w:r>
      <w:r>
        <w:rPr>
          <w:rFonts w:hint="eastAsia"/>
        </w:rPr>
        <w:t>西藏自治区用水定额</w:t>
      </w:r>
      <w:r>
        <w:t>》（2019</w:t>
      </w:r>
      <w:r>
        <w:rPr>
          <w:rFonts w:hint="eastAsia"/>
        </w:rPr>
        <w:t>年修订版</w:t>
      </w:r>
      <w:r>
        <w:t>），选取</w:t>
      </w:r>
      <w:r>
        <w:rPr>
          <w:rFonts w:hint="eastAsia"/>
        </w:rPr>
        <w:t>1</w:t>
      </w:r>
      <w:r>
        <w:t>2</w:t>
      </w:r>
      <w:r>
        <w:rPr>
          <w:rFonts w:hint="eastAsia"/>
        </w:rPr>
        <w:t>0</w:t>
      </w:r>
      <w:r>
        <w:t>L/（人</w:t>
      </w:r>
      <w:r>
        <w:rPr>
          <w:rFonts w:hint="eastAsia"/>
        </w:rPr>
        <w:t>·</w:t>
      </w:r>
      <w:r>
        <w:t>d）</w:t>
      </w:r>
      <w:r>
        <w:rPr>
          <w:rFonts w:hint="eastAsia"/>
        </w:rPr>
        <w:t>。</w:t>
      </w:r>
      <w:r>
        <w:rPr>
          <w:rFonts w:hint="eastAsia"/>
          <w:color w:val="0000FF"/>
        </w:rPr>
        <w:t>依据本次环评建议排水方案，污染物排放量按</w:t>
      </w:r>
      <w:r>
        <w:t>《城镇污水处理厂污染物排放标准》（GB18918-2002）一级A标准</w:t>
      </w:r>
      <w:r>
        <w:rPr>
          <w:rFonts w:hint="eastAsia"/>
          <w:color w:val="0000FF"/>
        </w:rPr>
        <w:t>核算。废水排放系数取80%，</w:t>
      </w:r>
      <w:r>
        <w:rPr>
          <w:color w:val="0000FF"/>
        </w:rPr>
        <w:t>保守不计中水回用量。根据设定的情景，生活污水预测明细见表</w:t>
      </w:r>
      <w:r>
        <w:rPr>
          <w:rFonts w:hint="eastAsia"/>
          <w:color w:val="0000FF"/>
        </w:rPr>
        <w:t>5.2-</w:t>
      </w:r>
      <w:r>
        <w:rPr>
          <w:rFonts w:hint="eastAsia"/>
          <w:color w:val="0000FF"/>
          <w:lang w:val="en-US" w:eastAsia="zh-CN"/>
        </w:rPr>
        <w:t>5</w:t>
      </w:r>
      <w:r>
        <w:rPr>
          <w:rFonts w:hint="eastAsia"/>
          <w:color w:val="0000FF"/>
        </w:rPr>
        <w:t>。</w:t>
      </w:r>
    </w:p>
    <w:p>
      <w:pPr>
        <w:pStyle w:val="27"/>
      </w:pPr>
      <w:r>
        <w:rPr>
          <w:rFonts w:hint="eastAsia"/>
        </w:rPr>
        <w:t>表5.2-</w:t>
      </w:r>
      <w:r>
        <w:rPr>
          <w:rFonts w:hint="eastAsia"/>
          <w:lang w:val="en-US" w:eastAsia="zh-CN"/>
        </w:rPr>
        <w:t>5</w:t>
      </w:r>
      <w:r>
        <w:rPr>
          <w:rFonts w:hint="eastAsia"/>
        </w:rPr>
        <w:t xml:space="preserve">  生活污水预测估算表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1"/>
        <w:gridCol w:w="1421"/>
        <w:gridCol w:w="1421"/>
        <w:gridCol w:w="1421"/>
        <w:gridCol w:w="1422"/>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时期</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区域</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用水量</w:t>
            </w:r>
          </w:p>
          <w:p>
            <w:pPr>
              <w:pStyle w:val="28"/>
              <w:keepNext w:val="0"/>
              <w:keepLines w:val="0"/>
              <w:suppressLineNumbers w:val="0"/>
              <w:spacing w:beforeAutospacing="0" w:afterAutospacing="0" w:line="276" w:lineRule="auto"/>
              <w:ind w:left="0" w:right="0"/>
              <w:rPr>
                <w:rFonts w:hint="default"/>
              </w:rPr>
            </w:pPr>
            <w:r>
              <w:rPr>
                <w:rFonts w:hint="eastAsia"/>
              </w:rPr>
              <w:t>（万t/a）</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污水产生量</w:t>
            </w:r>
          </w:p>
          <w:p>
            <w:pPr>
              <w:pStyle w:val="28"/>
              <w:keepNext w:val="0"/>
              <w:keepLines w:val="0"/>
              <w:suppressLineNumbers w:val="0"/>
              <w:spacing w:beforeAutospacing="0" w:afterAutospacing="0" w:line="276" w:lineRule="auto"/>
              <w:ind w:left="0" w:right="0"/>
              <w:rPr>
                <w:rFonts w:hint="default"/>
              </w:rPr>
            </w:pPr>
            <w:r>
              <w:rPr>
                <w:rFonts w:hint="eastAsia"/>
              </w:rPr>
              <w:t>（万t/a）</w:t>
            </w:r>
          </w:p>
        </w:tc>
        <w:tc>
          <w:tcPr>
            <w:tcW w:w="14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回用水量</w:t>
            </w:r>
          </w:p>
          <w:p>
            <w:pPr>
              <w:pStyle w:val="28"/>
              <w:keepNext w:val="0"/>
              <w:keepLines w:val="0"/>
              <w:suppressLineNumbers w:val="0"/>
              <w:spacing w:beforeAutospacing="0" w:afterAutospacing="0" w:line="276" w:lineRule="auto"/>
              <w:ind w:left="0" w:right="0"/>
              <w:rPr>
                <w:rFonts w:hint="default"/>
              </w:rPr>
            </w:pPr>
            <w:r>
              <w:rPr>
                <w:rFonts w:hint="eastAsia"/>
              </w:rPr>
              <w:t>（万t/a）</w:t>
            </w:r>
          </w:p>
        </w:tc>
        <w:tc>
          <w:tcPr>
            <w:tcW w:w="14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污水排放量</w:t>
            </w:r>
          </w:p>
          <w:p>
            <w:pPr>
              <w:pStyle w:val="28"/>
              <w:keepNext w:val="0"/>
              <w:keepLines w:val="0"/>
              <w:suppressLineNumbers w:val="0"/>
              <w:spacing w:beforeAutospacing="0" w:afterAutospacing="0" w:line="276" w:lineRule="auto"/>
              <w:ind w:left="0" w:right="0"/>
              <w:rPr>
                <w:rFonts w:hint="default"/>
              </w:rPr>
            </w:pPr>
            <w:r>
              <w:rPr>
                <w:rFonts w:hint="eastAsia"/>
              </w:rPr>
              <w:t>（万t/a）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center"/>
          </w:tcPr>
          <w:p>
            <w:pPr>
              <w:pStyle w:val="28"/>
              <w:keepNext w:val="0"/>
              <w:keepLines w:val="0"/>
              <w:suppressLineNumbers w:val="0"/>
              <w:spacing w:beforeAutospacing="0" w:afterAutospacing="0" w:line="276" w:lineRule="auto"/>
              <w:ind w:left="0" w:right="0"/>
              <w:rPr>
                <w:rFonts w:hint="default" w:eastAsia="宋体"/>
                <w:lang w:val="en-US" w:eastAsia="zh-CN"/>
              </w:rPr>
            </w:pPr>
            <w:r>
              <w:rPr>
                <w:rFonts w:hint="eastAsia"/>
                <w:lang w:val="en-US" w:eastAsia="zh-CN"/>
              </w:rPr>
              <w:t>2025</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全域</w:t>
            </w:r>
          </w:p>
        </w:tc>
        <w:tc>
          <w:tcPr>
            <w:tcW w:w="1421" w:type="dxa"/>
            <w:noWrap w:val="0"/>
            <w:vAlign w:val="center"/>
          </w:tcPr>
          <w:p>
            <w:pPr>
              <w:pStyle w:val="28"/>
              <w:keepNext w:val="0"/>
              <w:keepLines w:val="0"/>
              <w:suppressLineNumbers w:val="0"/>
              <w:bidi w:val="0"/>
              <w:spacing w:beforeAutospacing="0" w:afterAutospacing="0"/>
              <w:ind w:left="0" w:right="0"/>
              <w:rPr>
                <w:rFonts w:hint="default"/>
                <w:lang w:val="en-US"/>
              </w:rPr>
            </w:pPr>
            <w:r>
              <w:rPr>
                <w:rFonts w:hint="eastAsia"/>
                <w:lang w:val="en-US" w:eastAsia="zh-CN"/>
              </w:rPr>
              <w:t>228</w:t>
            </w:r>
          </w:p>
        </w:tc>
        <w:tc>
          <w:tcPr>
            <w:tcW w:w="1421" w:type="dxa"/>
            <w:noWrap w:val="0"/>
            <w:vAlign w:val="center"/>
          </w:tcPr>
          <w:p>
            <w:pPr>
              <w:pStyle w:val="28"/>
              <w:keepNext w:val="0"/>
              <w:keepLines w:val="0"/>
              <w:suppressLineNumbers w:val="0"/>
              <w:bidi w:val="0"/>
              <w:spacing w:beforeAutospacing="0" w:afterAutospacing="0"/>
              <w:ind w:left="0" w:right="0"/>
              <w:rPr>
                <w:rFonts w:hint="default"/>
                <w:lang w:val="en-US"/>
              </w:rPr>
            </w:pPr>
            <w:r>
              <w:rPr>
                <w:rFonts w:hint="eastAsia"/>
                <w:lang w:val="en-US" w:eastAsia="zh-CN"/>
              </w:rPr>
              <w:t>182.4</w:t>
            </w:r>
          </w:p>
        </w:tc>
        <w:tc>
          <w:tcPr>
            <w:tcW w:w="1422" w:type="dxa"/>
            <w:noWrap w:val="0"/>
            <w:vAlign w:val="center"/>
          </w:tcPr>
          <w:p>
            <w:pPr>
              <w:pStyle w:val="28"/>
              <w:keepNext w:val="0"/>
              <w:keepLines w:val="0"/>
              <w:suppressLineNumbers w:val="0"/>
              <w:bidi w:val="0"/>
              <w:spacing w:beforeAutospacing="0" w:afterAutospacing="0"/>
              <w:ind w:left="0" w:right="0"/>
              <w:rPr>
                <w:rFonts w:hint="default"/>
              </w:rPr>
            </w:pPr>
            <w:r>
              <w:rPr>
                <w:rFonts w:hint="default"/>
                <w:lang w:val="en-US" w:eastAsia="zh-CN"/>
              </w:rPr>
              <w:t>0</w:t>
            </w:r>
          </w:p>
        </w:tc>
        <w:tc>
          <w:tcPr>
            <w:tcW w:w="1422" w:type="dxa"/>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182.4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6"/>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主要控制污染因子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gridSpan w:val="2"/>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COD</w:t>
            </w:r>
          </w:p>
        </w:tc>
        <w:tc>
          <w:tcPr>
            <w:tcW w:w="2842" w:type="dxa"/>
            <w:gridSpan w:val="2"/>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氨氮</w:t>
            </w:r>
          </w:p>
        </w:tc>
        <w:tc>
          <w:tcPr>
            <w:tcW w:w="2844" w:type="dxa"/>
            <w:gridSpan w:val="2"/>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产生浓度</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产生量</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产生浓度</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产生量</w:t>
            </w:r>
          </w:p>
        </w:tc>
        <w:tc>
          <w:tcPr>
            <w:tcW w:w="14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产生浓度</w:t>
            </w:r>
          </w:p>
        </w:tc>
        <w:tc>
          <w:tcPr>
            <w:tcW w:w="14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500mg/L</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lang w:val="en-US" w:eastAsia="zh-CN"/>
              </w:rPr>
              <w:t>912</w:t>
            </w:r>
            <w:r>
              <w:rPr>
                <w:rFonts w:hint="eastAsia"/>
              </w:rPr>
              <w:t>t/a</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45mg/L</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lang w:val="en-US" w:eastAsia="zh-CN"/>
              </w:rPr>
              <w:t>82.08</w:t>
            </w:r>
            <w:r>
              <w:rPr>
                <w:rFonts w:hint="eastAsia"/>
              </w:rPr>
              <w:t>t/a</w:t>
            </w:r>
          </w:p>
        </w:tc>
        <w:tc>
          <w:tcPr>
            <w:tcW w:w="14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8mg/L</w:t>
            </w:r>
          </w:p>
        </w:tc>
        <w:tc>
          <w:tcPr>
            <w:tcW w:w="14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lang w:val="en-US" w:eastAsia="zh-CN"/>
              </w:rPr>
              <w:t>14.592</w:t>
            </w:r>
            <w:r>
              <w:rPr>
                <w:rFonts w:hint="eastAsi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排放浓度</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排放量</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排放浓度</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排放量</w:t>
            </w:r>
          </w:p>
        </w:tc>
        <w:tc>
          <w:tcPr>
            <w:tcW w:w="14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排放浓度</w:t>
            </w:r>
          </w:p>
        </w:tc>
        <w:tc>
          <w:tcPr>
            <w:tcW w:w="14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50mg/L</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lang w:val="en-US" w:eastAsia="zh-CN"/>
              </w:rPr>
              <w:t>91.2</w:t>
            </w:r>
            <w:r>
              <w:rPr>
                <w:rFonts w:hint="eastAsia"/>
              </w:rPr>
              <w:t>t/a</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5mg/L</w:t>
            </w:r>
          </w:p>
        </w:tc>
        <w:tc>
          <w:tcPr>
            <w:tcW w:w="1421"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lang w:val="en-US" w:eastAsia="zh-CN"/>
              </w:rPr>
              <w:t>9.12</w:t>
            </w:r>
            <w:r>
              <w:rPr>
                <w:rFonts w:hint="eastAsia"/>
              </w:rPr>
              <w:t>t/a</w:t>
            </w:r>
          </w:p>
        </w:tc>
        <w:tc>
          <w:tcPr>
            <w:tcW w:w="14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0.5mg/L</w:t>
            </w:r>
          </w:p>
        </w:tc>
        <w:tc>
          <w:tcPr>
            <w:tcW w:w="1422"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lang w:val="en-US" w:eastAsia="zh-CN"/>
              </w:rPr>
              <w:t>0.912</w:t>
            </w:r>
            <w:r>
              <w:rPr>
                <w:rFonts w:hint="eastAsia"/>
              </w:rPr>
              <w:t>t/a</w:t>
            </w:r>
          </w:p>
        </w:tc>
      </w:tr>
    </w:tbl>
    <w:p>
      <w:pPr>
        <w:pStyle w:val="6"/>
        <w:ind w:firstLine="482"/>
        <w:rPr>
          <w:rFonts w:hint="eastAsia"/>
          <w:b/>
          <w:bCs/>
        </w:rPr>
      </w:pPr>
      <w:r>
        <w:rPr>
          <w:rFonts w:hint="eastAsia"/>
          <w:b/>
          <w:bCs/>
          <w:lang w:val="en-US" w:eastAsia="zh-CN"/>
        </w:rPr>
        <w:t>2、林芝市</w:t>
      </w:r>
      <w:r>
        <w:rPr>
          <w:rFonts w:hint="eastAsia"/>
          <w:b/>
          <w:bCs/>
        </w:rPr>
        <w:t>污水处理概况</w:t>
      </w:r>
    </w:p>
    <w:p>
      <w:pPr>
        <w:pStyle w:val="6"/>
        <w:ind w:firstLine="482"/>
        <w:rPr>
          <w:rFonts w:hint="default"/>
          <w:b w:val="0"/>
          <w:bCs w:val="0"/>
          <w:lang w:val="en-US" w:eastAsia="zh-CN"/>
        </w:rPr>
      </w:pPr>
      <w:r>
        <w:rPr>
          <w:rFonts w:hint="eastAsia"/>
          <w:b w:val="0"/>
          <w:bCs w:val="0"/>
          <w:lang w:val="en-US" w:eastAsia="zh-CN"/>
        </w:rPr>
        <w:t>林芝市现状</w:t>
      </w:r>
      <w:r>
        <w:rPr>
          <w:rFonts w:hint="eastAsia"/>
          <w:b w:val="0"/>
          <w:bCs w:val="0"/>
        </w:rPr>
        <w:t>污水处理设施的布局主要分布在</w:t>
      </w:r>
      <w:r>
        <w:rPr>
          <w:rFonts w:hint="eastAsia"/>
          <w:b w:val="0"/>
          <w:bCs w:val="0"/>
          <w:lang w:val="en-US" w:eastAsia="zh-CN"/>
        </w:rPr>
        <w:t>城市建成区、乡镇建成区及各成熟景区。在污水处理设施布设方面，规划远期景点污水处理设施随着旅游规模的不断扩大，现有处理规模不能满足处理要求的，需及时进行扩容改造；对于尚未确定选址的规划项目，后续项目环评中需具体分析，可优先依托利用已有污水处理设施。林芝市污水处理设施布设情况见表5.2-6。</w:t>
      </w:r>
    </w:p>
    <w:p>
      <w:pPr>
        <w:pStyle w:val="27"/>
      </w:pPr>
      <w:r>
        <w:t>表</w:t>
      </w:r>
      <w:r>
        <w:rPr>
          <w:rFonts w:hint="eastAsia"/>
        </w:rPr>
        <w:t>3.5-</w:t>
      </w:r>
      <w:r>
        <w:rPr>
          <w:rFonts w:hint="eastAsia"/>
          <w:lang w:val="en-US" w:eastAsia="zh-CN"/>
        </w:rPr>
        <w:t>6</w:t>
      </w:r>
      <w:r>
        <w:rPr>
          <w:rFonts w:hint="eastAsia"/>
        </w:rPr>
        <w:t xml:space="preserve">  林芝市县市级污水处理厂及管网配套运营管理情况</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522"/>
        <w:gridCol w:w="1919"/>
        <w:gridCol w:w="1339"/>
        <w:gridCol w:w="3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413"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序号</w:t>
            </w:r>
          </w:p>
        </w:tc>
        <w:tc>
          <w:tcPr>
            <w:tcW w:w="892"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名称</w:t>
            </w:r>
          </w:p>
        </w:tc>
        <w:tc>
          <w:tcPr>
            <w:tcW w:w="1125"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地点</w:t>
            </w:r>
          </w:p>
        </w:tc>
        <w:tc>
          <w:tcPr>
            <w:tcW w:w="785"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设计规模</w:t>
            </w:r>
          </w:p>
          <w:p>
            <w:pPr>
              <w:pStyle w:val="29"/>
              <w:keepNext w:val="0"/>
              <w:keepLines w:val="0"/>
              <w:suppressLineNumbers w:val="0"/>
              <w:bidi w:val="0"/>
              <w:spacing w:before="0" w:beforeAutospacing="0" w:after="0" w:afterAutospacing="0"/>
              <w:ind w:left="0" w:right="0"/>
              <w:rPr>
                <w:rFonts w:hint="default"/>
              </w:rPr>
            </w:pPr>
            <w:r>
              <w:rPr>
                <w:rFonts w:hint="eastAsia"/>
              </w:rPr>
              <w:t>（m</w:t>
            </w:r>
            <w:r>
              <w:rPr>
                <w:rFonts w:hint="eastAsia"/>
                <w:vertAlign w:val="superscript"/>
              </w:rPr>
              <w:t>3</w:t>
            </w:r>
            <w:r>
              <w:rPr>
                <w:rFonts w:hint="eastAsia"/>
              </w:rPr>
              <w:t>/d）</w:t>
            </w:r>
          </w:p>
        </w:tc>
        <w:tc>
          <w:tcPr>
            <w:tcW w:w="1782"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lang w:val="en-US" w:eastAsia="zh-CN"/>
              </w:rPr>
              <w:t>污水</w:t>
            </w:r>
            <w:r>
              <w:rPr>
                <w:rFonts w:hint="eastAsia"/>
              </w:rPr>
              <w:t>集水范围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3"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1</w:t>
            </w:r>
          </w:p>
        </w:tc>
        <w:tc>
          <w:tcPr>
            <w:tcW w:w="892"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林芝市八一镇污水处理厂</w:t>
            </w:r>
          </w:p>
        </w:tc>
        <w:tc>
          <w:tcPr>
            <w:tcW w:w="1125"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林芝市巴宜区八一镇巴吉村</w:t>
            </w:r>
          </w:p>
        </w:tc>
        <w:tc>
          <w:tcPr>
            <w:tcW w:w="785"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15000</w:t>
            </w:r>
          </w:p>
        </w:tc>
        <w:tc>
          <w:tcPr>
            <w:tcW w:w="1782"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lang w:val="en-US" w:eastAsia="zh-CN"/>
              </w:rPr>
              <w:t>东至</w:t>
            </w:r>
            <w:r>
              <w:rPr>
                <w:rFonts w:hint="eastAsia"/>
              </w:rPr>
              <w:t>苹果园退休区</w:t>
            </w:r>
            <w:r>
              <w:rPr>
                <w:rFonts w:hint="eastAsia"/>
                <w:lang w:eastAsia="zh-CN"/>
              </w:rPr>
              <w:t>；</w:t>
            </w:r>
            <w:r>
              <w:rPr>
                <w:rFonts w:hint="eastAsia"/>
                <w:lang w:val="en-US" w:eastAsia="zh-CN"/>
              </w:rPr>
              <w:t>西至</w:t>
            </w:r>
            <w:r>
              <w:rPr>
                <w:rFonts w:hint="eastAsia"/>
              </w:rPr>
              <w:t>书画院</w:t>
            </w:r>
            <w:r>
              <w:rPr>
                <w:rFonts w:hint="eastAsia"/>
                <w:lang w:eastAsia="zh-CN"/>
              </w:rPr>
              <w:t>；</w:t>
            </w:r>
            <w:r>
              <w:rPr>
                <w:rFonts w:hint="eastAsia"/>
                <w:lang w:val="en-US" w:eastAsia="zh-CN"/>
              </w:rPr>
              <w:t>南至</w:t>
            </w:r>
            <w:r>
              <w:rPr>
                <w:rFonts w:hint="eastAsia"/>
              </w:rPr>
              <w:t>幸福小区</w:t>
            </w:r>
            <w:r>
              <w:rPr>
                <w:rFonts w:hint="eastAsia"/>
                <w:lang w:eastAsia="zh-CN"/>
              </w:rPr>
              <w:t>；</w:t>
            </w:r>
            <w:r>
              <w:rPr>
                <w:rFonts w:hint="eastAsia"/>
                <w:lang w:val="en-US" w:eastAsia="zh-CN"/>
              </w:rPr>
              <w:t>北至</w:t>
            </w:r>
            <w:r>
              <w:rPr>
                <w:rFonts w:hint="eastAsia"/>
              </w:rPr>
              <w:t>雪域江南小区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3"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2</w:t>
            </w:r>
          </w:p>
        </w:tc>
        <w:tc>
          <w:tcPr>
            <w:tcW w:w="892"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default"/>
              </w:rPr>
              <w:t>工布江达县污水处理厂</w:t>
            </w:r>
          </w:p>
        </w:tc>
        <w:tc>
          <w:tcPr>
            <w:tcW w:w="1125"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工布江达县工布江达镇帕朗沙村</w:t>
            </w:r>
          </w:p>
        </w:tc>
        <w:tc>
          <w:tcPr>
            <w:tcW w:w="785"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3000</w:t>
            </w:r>
          </w:p>
        </w:tc>
        <w:tc>
          <w:tcPr>
            <w:tcW w:w="1782" w:type="pct"/>
            <w:noWrap w:val="0"/>
            <w:vAlign w:val="center"/>
          </w:tcPr>
          <w:p>
            <w:pPr>
              <w:pStyle w:val="29"/>
              <w:keepNext w:val="0"/>
              <w:keepLines w:val="0"/>
              <w:suppressLineNumbers w:val="0"/>
              <w:bidi w:val="0"/>
              <w:spacing w:before="0" w:beforeAutospacing="0" w:after="0" w:afterAutospacing="0"/>
              <w:ind w:left="0" w:right="0"/>
              <w:rPr>
                <w:rFonts w:hint="default"/>
                <w:lang w:val="en-US"/>
              </w:rPr>
            </w:pPr>
            <w:r>
              <w:rPr>
                <w:rFonts w:hint="eastAsia"/>
                <w:lang w:val="en-US" w:eastAsia="zh-CN"/>
              </w:rPr>
              <w:t>东至解放路东；西至泉州二桥；南至环城南路；北至环城北路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3"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3</w:t>
            </w:r>
          </w:p>
        </w:tc>
        <w:tc>
          <w:tcPr>
            <w:tcW w:w="892"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林芝市经济开发区污水处理厂</w:t>
            </w:r>
          </w:p>
        </w:tc>
        <w:tc>
          <w:tcPr>
            <w:tcW w:w="1125"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林芝市巴宜区河西新区污水处理厂内</w:t>
            </w:r>
          </w:p>
        </w:tc>
        <w:tc>
          <w:tcPr>
            <w:tcW w:w="785"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1200</w:t>
            </w:r>
          </w:p>
        </w:tc>
        <w:tc>
          <w:tcPr>
            <w:tcW w:w="1782"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lang w:val="en-US" w:eastAsia="zh-CN"/>
              </w:rPr>
              <w:t>林芝市经济开发区内企业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3"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4</w:t>
            </w:r>
          </w:p>
        </w:tc>
        <w:tc>
          <w:tcPr>
            <w:tcW w:w="892"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default"/>
              </w:rPr>
              <w:t>察隅县察瓦龙乡污水处理厂</w:t>
            </w:r>
          </w:p>
        </w:tc>
        <w:tc>
          <w:tcPr>
            <w:tcW w:w="1125"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西藏自治区林芝市察隅县察瓦龙乡</w:t>
            </w:r>
          </w:p>
        </w:tc>
        <w:tc>
          <w:tcPr>
            <w:tcW w:w="785"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750</w:t>
            </w:r>
          </w:p>
        </w:tc>
        <w:tc>
          <w:tcPr>
            <w:tcW w:w="1782"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lang w:val="en-US" w:eastAsia="zh-CN"/>
              </w:rPr>
              <w:t>东至云南省德钦县；西至竹瓦根镇、古拉乡；南至贡山县；北至左贡县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3"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5</w:t>
            </w:r>
          </w:p>
        </w:tc>
        <w:tc>
          <w:tcPr>
            <w:tcW w:w="892"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林芝市朗县县城生活污水处理厂</w:t>
            </w:r>
          </w:p>
        </w:tc>
        <w:tc>
          <w:tcPr>
            <w:tcW w:w="1125"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西藏林芝市朗县光明新区过江大桥左岸位置处</w:t>
            </w:r>
          </w:p>
        </w:tc>
        <w:tc>
          <w:tcPr>
            <w:tcW w:w="785"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1500</w:t>
            </w:r>
          </w:p>
        </w:tc>
        <w:tc>
          <w:tcPr>
            <w:tcW w:w="1782" w:type="pct"/>
            <w:noWrap w:val="0"/>
            <w:vAlign w:val="center"/>
          </w:tcPr>
          <w:p>
            <w:pPr>
              <w:pStyle w:val="29"/>
              <w:keepNext w:val="0"/>
              <w:keepLines w:val="0"/>
              <w:suppressLineNumbers w:val="0"/>
              <w:bidi w:val="0"/>
              <w:spacing w:before="0" w:beforeAutospacing="0" w:after="0" w:afterAutospacing="0"/>
              <w:ind w:left="0" w:right="0"/>
              <w:rPr>
                <w:rFonts w:hint="default"/>
                <w:lang w:val="en-US"/>
              </w:rPr>
            </w:pPr>
            <w:r>
              <w:rPr>
                <w:rFonts w:hint="eastAsia"/>
                <w:lang w:val="en-US" w:eastAsia="zh-CN"/>
              </w:rPr>
              <w:t>朗县县城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3"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6</w:t>
            </w:r>
          </w:p>
        </w:tc>
        <w:tc>
          <w:tcPr>
            <w:tcW w:w="892"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林芝市波密县污水处理厂</w:t>
            </w:r>
          </w:p>
        </w:tc>
        <w:tc>
          <w:tcPr>
            <w:tcW w:w="1125"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林芝市波密县卡达村</w:t>
            </w:r>
          </w:p>
        </w:tc>
        <w:tc>
          <w:tcPr>
            <w:tcW w:w="785"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3000</w:t>
            </w:r>
          </w:p>
        </w:tc>
        <w:tc>
          <w:tcPr>
            <w:tcW w:w="1782" w:type="pct"/>
            <w:noWrap w:val="0"/>
            <w:vAlign w:val="center"/>
          </w:tcPr>
          <w:p>
            <w:pPr>
              <w:pStyle w:val="29"/>
              <w:keepNext w:val="0"/>
              <w:keepLines w:val="0"/>
              <w:suppressLineNumbers w:val="0"/>
              <w:bidi w:val="0"/>
              <w:spacing w:before="0" w:beforeAutospacing="0" w:after="0" w:afterAutospacing="0"/>
              <w:ind w:left="0" w:right="0"/>
              <w:rPr>
                <w:rFonts w:hint="eastAsia"/>
                <w:lang w:val="en-US" w:eastAsia="zh-CN"/>
              </w:rPr>
            </w:pPr>
            <w:r>
              <w:rPr>
                <w:rFonts w:hint="eastAsia"/>
              </w:rPr>
              <w:t>波密县</w:t>
            </w:r>
            <w:r>
              <w:rPr>
                <w:rFonts w:hint="eastAsia"/>
                <w:lang w:val="en-US" w:eastAsia="zh-CN"/>
              </w:rPr>
              <w:t>扎木镇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3"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7</w:t>
            </w:r>
          </w:p>
        </w:tc>
        <w:tc>
          <w:tcPr>
            <w:tcW w:w="892"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林芝市米林县污水处理厂</w:t>
            </w:r>
          </w:p>
        </w:tc>
        <w:tc>
          <w:tcPr>
            <w:tcW w:w="1125"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林芝市米林县东多村</w:t>
            </w:r>
          </w:p>
        </w:tc>
        <w:tc>
          <w:tcPr>
            <w:tcW w:w="785"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2500</w:t>
            </w:r>
          </w:p>
        </w:tc>
        <w:tc>
          <w:tcPr>
            <w:tcW w:w="1782"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lang w:val="en-US" w:eastAsia="zh-CN"/>
              </w:rPr>
              <w:t>东至东多村；西至米林县快修市场；南至306省道米林县段；北至米林县滨江路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3"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8</w:t>
            </w:r>
          </w:p>
        </w:tc>
        <w:tc>
          <w:tcPr>
            <w:tcW w:w="892"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察隅县县城污水处理厂</w:t>
            </w:r>
          </w:p>
        </w:tc>
        <w:tc>
          <w:tcPr>
            <w:tcW w:w="1125"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西藏自治区林芝市察隅县竹瓦根镇</w:t>
            </w:r>
          </w:p>
        </w:tc>
        <w:tc>
          <w:tcPr>
            <w:tcW w:w="785"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3000</w:t>
            </w:r>
          </w:p>
        </w:tc>
        <w:tc>
          <w:tcPr>
            <w:tcW w:w="1782"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lang w:val="en-US" w:eastAsia="zh-CN"/>
              </w:rPr>
              <w:t>东至沙通坝新区；南至嘎巴新区；北至吉公老县城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3"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9</w:t>
            </w:r>
          </w:p>
        </w:tc>
        <w:tc>
          <w:tcPr>
            <w:tcW w:w="892"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鲁朗污水处理厂</w:t>
            </w:r>
          </w:p>
        </w:tc>
        <w:tc>
          <w:tcPr>
            <w:tcW w:w="1125" w:type="pct"/>
            <w:noWrap w:val="0"/>
            <w:vAlign w:val="center"/>
          </w:tcPr>
          <w:p>
            <w:pPr>
              <w:pStyle w:val="29"/>
              <w:keepNext w:val="0"/>
              <w:keepLines w:val="0"/>
              <w:suppressLineNumbers w:val="0"/>
              <w:bidi w:val="0"/>
              <w:spacing w:before="0" w:beforeAutospacing="0" w:after="0" w:afterAutospacing="0"/>
              <w:ind w:left="0" w:right="0"/>
              <w:rPr>
                <w:rFonts w:hint="eastAsia"/>
              </w:rPr>
            </w:pPr>
            <w:r>
              <w:rPr>
                <w:rFonts w:hint="eastAsia"/>
              </w:rPr>
              <w:t>鲁朗国际旅游小镇规划人工湖水坝下游约500米处</w:t>
            </w:r>
          </w:p>
        </w:tc>
        <w:tc>
          <w:tcPr>
            <w:tcW w:w="785"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rPr>
              <w:t>900</w:t>
            </w:r>
          </w:p>
        </w:tc>
        <w:tc>
          <w:tcPr>
            <w:tcW w:w="1782" w:type="pct"/>
            <w:noWrap w:val="0"/>
            <w:vAlign w:val="center"/>
          </w:tcPr>
          <w:p>
            <w:pPr>
              <w:pStyle w:val="29"/>
              <w:keepNext w:val="0"/>
              <w:keepLines w:val="0"/>
              <w:suppressLineNumbers w:val="0"/>
              <w:bidi w:val="0"/>
              <w:spacing w:before="0" w:beforeAutospacing="0" w:after="0" w:afterAutospacing="0"/>
              <w:ind w:left="0" w:right="0"/>
              <w:rPr>
                <w:rFonts w:hint="default"/>
              </w:rPr>
            </w:pPr>
            <w:r>
              <w:rPr>
                <w:rFonts w:hint="eastAsia"/>
                <w:lang w:val="en-US" w:eastAsia="zh-CN"/>
              </w:rPr>
              <w:t>东至那麦村；西至鲁朗镇区；南至崩巴才村；北至仲麦村</w:t>
            </w:r>
          </w:p>
        </w:tc>
      </w:tr>
    </w:tbl>
    <w:p>
      <w:pPr>
        <w:pStyle w:val="6"/>
        <w:ind w:firstLine="482"/>
        <w:rPr>
          <w:b/>
          <w:bCs/>
        </w:rPr>
      </w:pPr>
      <w:r>
        <w:rPr>
          <w:rFonts w:hint="eastAsia"/>
          <w:b/>
          <w:bCs/>
          <w:lang w:val="en-US" w:eastAsia="zh-CN"/>
        </w:rPr>
        <w:t>3</w:t>
      </w:r>
      <w:r>
        <w:rPr>
          <w:rFonts w:hint="eastAsia"/>
          <w:b/>
          <w:bCs/>
        </w:rPr>
        <w:t>、</w:t>
      </w:r>
      <w:r>
        <w:rPr>
          <w:b/>
          <w:bCs/>
        </w:rPr>
        <w:t>排水方案</w:t>
      </w:r>
    </w:p>
    <w:p>
      <w:pPr>
        <w:pStyle w:val="6"/>
        <w:bidi w:val="0"/>
        <w:rPr>
          <w:color w:val="2A26F7"/>
        </w:rPr>
      </w:pPr>
      <w:r>
        <w:rPr>
          <w:rFonts w:hint="eastAsia"/>
          <w:color w:val="auto"/>
          <w:lang w:val="en-US" w:eastAsia="zh-CN"/>
        </w:rPr>
        <w:t>《林芝市全域旅游发展规划（2018-2025年）》</w:t>
      </w:r>
      <w:r>
        <w:rPr>
          <w:color w:val="2A26F7"/>
        </w:rPr>
        <w:t>中未提出废水处理方案，根据目前各县建成的污水处理厂情况及各景区建成的污水处理设施，</w:t>
      </w:r>
      <w:r>
        <w:rPr>
          <w:rFonts w:hint="eastAsia"/>
          <w:color w:val="2A26F7"/>
        </w:rPr>
        <w:t>同时</w:t>
      </w:r>
      <w:r>
        <w:rPr>
          <w:color w:val="2A26F7"/>
        </w:rPr>
        <w:t>结合本规划发展方向及目标，环评建议排水方案如下：</w:t>
      </w:r>
    </w:p>
    <w:p>
      <w:pPr>
        <w:pStyle w:val="6"/>
        <w:numPr>
          <w:ilvl w:val="0"/>
          <w:numId w:val="10"/>
        </w:numPr>
        <w:ind w:firstLine="480"/>
        <w:rPr>
          <w:rFonts w:hint="eastAsia" w:eastAsia="宋体"/>
          <w:color w:val="2A26F7"/>
          <w:highlight w:val="none"/>
          <w:lang w:eastAsia="zh-CN"/>
        </w:rPr>
      </w:pPr>
      <w:r>
        <w:rPr>
          <w:rFonts w:hint="eastAsia"/>
          <w:color w:val="2A26F7"/>
          <w:highlight w:val="none"/>
          <w:lang w:eastAsia="zh-CN"/>
        </w:rPr>
        <w:t>规划区</w:t>
      </w:r>
      <w:r>
        <w:rPr>
          <w:rFonts w:hint="eastAsia"/>
          <w:color w:val="2A26F7"/>
          <w:highlight w:val="none"/>
          <w:lang w:val="en-US" w:eastAsia="zh-CN"/>
        </w:rPr>
        <w:t>禁止向I类</w:t>
      </w:r>
      <w:r>
        <w:rPr>
          <w:rFonts w:hint="eastAsia"/>
          <w:color w:val="2A26F7"/>
          <w:highlight w:val="none"/>
          <w:lang w:eastAsia="zh-CN"/>
        </w:rPr>
        <w:t>、</w:t>
      </w:r>
      <w:r>
        <w:rPr>
          <w:rFonts w:hint="default" w:ascii="Times New Roman" w:hAnsi="Times New Roman" w:cs="Times New Roman"/>
          <w:color w:val="2A26F7"/>
          <w:highlight w:val="none"/>
          <w:lang w:eastAsia="zh-CN"/>
        </w:rPr>
        <w:t>Ⅱ类</w:t>
      </w:r>
      <w:r>
        <w:rPr>
          <w:rFonts w:hint="eastAsia"/>
          <w:color w:val="2A26F7"/>
          <w:highlight w:val="none"/>
          <w:lang w:eastAsia="zh-CN"/>
        </w:rPr>
        <w:t>水域排放废污水，</w:t>
      </w:r>
      <w:r>
        <w:rPr>
          <w:rFonts w:hint="eastAsia"/>
          <w:color w:val="00B050"/>
          <w:highlight w:val="none"/>
          <w:lang w:val="en-US" w:eastAsia="zh-CN"/>
        </w:rPr>
        <w:t>已有排污口不能增加排放量</w:t>
      </w:r>
      <w:r>
        <w:rPr>
          <w:rFonts w:hint="eastAsia"/>
          <w:color w:val="2A26F7"/>
          <w:highlight w:val="none"/>
          <w:lang w:eastAsia="zh-CN"/>
        </w:rPr>
        <w:t>。</w:t>
      </w:r>
    </w:p>
    <w:p>
      <w:pPr>
        <w:pStyle w:val="6"/>
        <w:ind w:firstLine="480"/>
        <w:rPr>
          <w:color w:val="2A26F7"/>
        </w:rPr>
      </w:pPr>
      <w:r>
        <w:rPr>
          <w:rFonts w:hint="eastAsia"/>
          <w:color w:val="2A26F7"/>
        </w:rPr>
        <w:t>（</w:t>
      </w:r>
      <w:r>
        <w:rPr>
          <w:rFonts w:hint="eastAsia"/>
          <w:color w:val="2A26F7"/>
          <w:lang w:val="en-US" w:eastAsia="zh-CN"/>
        </w:rPr>
        <w:t>2</w:t>
      </w:r>
      <w:r>
        <w:rPr>
          <w:rFonts w:hint="eastAsia"/>
          <w:color w:val="2A26F7"/>
        </w:rPr>
        <w:t>）针对</w:t>
      </w:r>
      <w:r>
        <w:rPr>
          <w:color w:val="2A26F7"/>
        </w:rPr>
        <w:t>依托城市建成区而建的规划项目（未确定选址的），选址首先考虑已敷设污水收集管网的区域，旅游区内产生的废水经过预处理达到《污水综合排放标准》（GB8978-1996）三级标准及《污水排入城镇下水道水质标准》（GB/T1962-2015）表1（A）等级标准后排入市政污水管网，最终进入污水处理厂进行处理。</w:t>
      </w:r>
    </w:p>
    <w:p>
      <w:pPr>
        <w:pStyle w:val="6"/>
        <w:ind w:firstLine="480"/>
        <w:rPr>
          <w:rFonts w:hint="eastAsia"/>
          <w:color w:val="2A26F7"/>
        </w:rPr>
      </w:pPr>
      <w:r>
        <w:rPr>
          <w:rFonts w:hint="eastAsia"/>
          <w:color w:val="2A26F7"/>
        </w:rPr>
        <w:t>（</w:t>
      </w:r>
      <w:r>
        <w:rPr>
          <w:rFonts w:hint="eastAsia"/>
          <w:color w:val="2A26F7"/>
          <w:lang w:val="en-US" w:eastAsia="zh-CN"/>
        </w:rPr>
        <w:t>3</w:t>
      </w:r>
      <w:r>
        <w:rPr>
          <w:rFonts w:hint="eastAsia"/>
          <w:color w:val="2A26F7"/>
        </w:rPr>
        <w:t>）针对</w:t>
      </w:r>
      <w:r>
        <w:rPr>
          <w:color w:val="2A26F7"/>
        </w:rPr>
        <w:t>无法依托市政污水管网的，或选址位于远离城市建成区的规划项目，各景区配套</w:t>
      </w:r>
      <w:r>
        <w:rPr>
          <w:rFonts w:hint="eastAsia"/>
          <w:color w:val="2A26F7"/>
        </w:rPr>
        <w:t>建设</w:t>
      </w:r>
      <w:r>
        <w:rPr>
          <w:color w:val="2A26F7"/>
        </w:rPr>
        <w:t>生态污水处理站或小型污水处理站，并要求污水经处理达到《城镇污水处理厂污染物排放标准》（GB18918-2002）一级A标准部分回用于绿化和道路洒水降尘</w:t>
      </w:r>
      <w:r>
        <w:rPr>
          <w:rFonts w:hint="eastAsia"/>
          <w:color w:val="2A26F7"/>
        </w:rPr>
        <w:t>，</w:t>
      </w:r>
      <w:r>
        <w:rPr>
          <w:color w:val="2A26F7"/>
        </w:rPr>
        <w:t>回用不完的外排至附近河流</w:t>
      </w:r>
      <w:r>
        <w:rPr>
          <w:rFonts w:hint="eastAsia"/>
          <w:color w:val="2A26F7"/>
        </w:rPr>
        <w:t>。</w:t>
      </w:r>
    </w:p>
    <w:p>
      <w:pPr>
        <w:pStyle w:val="6"/>
        <w:ind w:firstLine="480"/>
        <w:rPr>
          <w:color w:val="2A26F7"/>
        </w:rPr>
      </w:pPr>
      <w:r>
        <w:rPr>
          <w:rFonts w:hint="eastAsia"/>
          <w:color w:val="2A26F7"/>
        </w:rPr>
        <w:t>（</w:t>
      </w:r>
      <w:r>
        <w:rPr>
          <w:rFonts w:hint="eastAsia"/>
          <w:color w:val="2A26F7"/>
          <w:lang w:val="en-US" w:eastAsia="zh-CN"/>
        </w:rPr>
        <w:t>4</w:t>
      </w:r>
      <w:r>
        <w:rPr>
          <w:rFonts w:hint="eastAsia"/>
          <w:color w:val="2A26F7"/>
        </w:rPr>
        <w:t>）针对</w:t>
      </w:r>
      <w:r>
        <w:rPr>
          <w:color w:val="2A26F7"/>
        </w:rPr>
        <w:t>规划区内已开发的景区配套建设污水处理站，已建有污水处理站的，提倡改进污水处理工艺，将处理后达到回用标准的</w:t>
      </w:r>
      <w:r>
        <w:rPr>
          <w:rFonts w:hint="eastAsia"/>
          <w:color w:val="2A26F7"/>
        </w:rPr>
        <w:t>中水</w:t>
      </w:r>
      <w:r>
        <w:rPr>
          <w:color w:val="2A26F7"/>
        </w:rPr>
        <w:t>回用于景观、绿化及洒水降尘等，减少排放量，剩余达到《城镇污水处理厂污染物排放标准》（GB18918-2002）一级A标后排放。</w:t>
      </w:r>
    </w:p>
    <w:p>
      <w:pPr>
        <w:pStyle w:val="6"/>
        <w:ind w:firstLine="482"/>
        <w:rPr>
          <w:rFonts w:hint="eastAsia"/>
          <w:b/>
          <w:bCs/>
        </w:rPr>
      </w:pPr>
      <w:r>
        <w:rPr>
          <w:rFonts w:hint="eastAsia"/>
          <w:b/>
          <w:bCs/>
        </w:rPr>
        <w:t>3、水环境影响分析</w:t>
      </w:r>
    </w:p>
    <w:p>
      <w:pPr>
        <w:pStyle w:val="6"/>
        <w:ind w:firstLine="480"/>
        <w:rPr>
          <w:color w:val="00B050"/>
        </w:rPr>
      </w:pPr>
      <w:r>
        <w:rPr>
          <w:rFonts w:hint="eastAsia"/>
          <w:color w:val="00B050"/>
        </w:rPr>
        <w:t>根据污染源强分析可知，到</w:t>
      </w:r>
      <w:r>
        <w:rPr>
          <w:color w:val="00B050"/>
        </w:rPr>
        <w:t>2</w:t>
      </w:r>
      <w:r>
        <w:rPr>
          <w:rFonts w:hint="eastAsia"/>
          <w:color w:val="00B050"/>
        </w:rPr>
        <w:t>0</w:t>
      </w:r>
      <w:r>
        <w:rPr>
          <w:rFonts w:hint="eastAsia"/>
          <w:color w:val="00B050"/>
          <w:lang w:val="en-US" w:eastAsia="zh-CN"/>
        </w:rPr>
        <w:t>25</w:t>
      </w:r>
      <w:r>
        <w:rPr>
          <w:rFonts w:hint="eastAsia"/>
          <w:color w:val="00B050"/>
        </w:rPr>
        <w:t>年旅游废水主要为生活污水，其中污水总量约</w:t>
      </w:r>
      <w:r>
        <w:rPr>
          <w:rFonts w:hint="eastAsia"/>
          <w:color w:val="00B050"/>
          <w:lang w:val="en-US" w:eastAsia="zh-CN"/>
        </w:rPr>
        <w:t>182.4</w:t>
      </w:r>
      <w:r>
        <w:rPr>
          <w:rFonts w:hint="eastAsia"/>
          <w:color w:val="00B050"/>
        </w:rPr>
        <w:t>万m</w:t>
      </w:r>
      <w:r>
        <w:rPr>
          <w:rFonts w:hint="eastAsia"/>
          <w:color w:val="00B050"/>
          <w:vertAlign w:val="superscript"/>
        </w:rPr>
        <w:t>3</w:t>
      </w:r>
      <w:r>
        <w:rPr>
          <w:rFonts w:hint="eastAsia"/>
          <w:color w:val="00B050"/>
        </w:rPr>
        <w:t>，COD、氨氮、总磷的产生量约为</w:t>
      </w:r>
      <w:r>
        <w:rPr>
          <w:rFonts w:hint="eastAsia"/>
          <w:color w:val="00B050"/>
          <w:lang w:val="en-US" w:eastAsia="zh-CN"/>
        </w:rPr>
        <w:t>881.76</w:t>
      </w:r>
      <w:r>
        <w:rPr>
          <w:rFonts w:hint="eastAsia"/>
          <w:color w:val="00B050"/>
        </w:rPr>
        <w:t>t</w:t>
      </w:r>
      <w:r>
        <w:rPr>
          <w:color w:val="00B050"/>
        </w:rPr>
        <w:t>/a</w:t>
      </w:r>
      <w:r>
        <w:rPr>
          <w:rFonts w:hint="eastAsia"/>
          <w:color w:val="00B050"/>
        </w:rPr>
        <w:t>、</w:t>
      </w:r>
      <w:r>
        <w:rPr>
          <w:rFonts w:hint="eastAsia"/>
          <w:color w:val="00B050"/>
          <w:lang w:val="en-US" w:eastAsia="zh-CN"/>
        </w:rPr>
        <w:t>79.35</w:t>
      </w:r>
      <w:r>
        <w:rPr>
          <w:rFonts w:hint="eastAsia"/>
          <w:color w:val="00B050"/>
        </w:rPr>
        <w:t>t、</w:t>
      </w:r>
      <w:r>
        <w:rPr>
          <w:rFonts w:hint="eastAsia"/>
          <w:color w:val="00B050"/>
          <w:lang w:val="en-US" w:eastAsia="zh-CN"/>
        </w:rPr>
        <w:t>14.11</w:t>
      </w:r>
      <w:r>
        <w:rPr>
          <w:rFonts w:hint="eastAsia"/>
          <w:color w:val="00B050"/>
        </w:rPr>
        <w:t>t；待建的规划项目（未确定选址的），选址首先考虑已敷设污水收集管网的区域，旅游区内产生的废水经过收集后排入污水管网。无法依托污水管网的，或选址位于远离建成区的规划项目，需全部建成各自的污水处理站。处理后的污水回用于项目的景观或绿化用途，减少排放量。</w:t>
      </w:r>
      <w:r>
        <w:rPr>
          <w:color w:val="00B050"/>
        </w:rPr>
        <w:t>回用不完部分处理达到《城镇污水处理厂污染物排放标准》（GB18918-2002）一级A标准排放；</w:t>
      </w:r>
      <w:r>
        <w:rPr>
          <w:rFonts w:hint="eastAsia"/>
          <w:color w:val="00B050"/>
        </w:rPr>
        <w:t>按最不利情况，</w:t>
      </w:r>
      <w:r>
        <w:rPr>
          <w:color w:val="00B050"/>
        </w:rPr>
        <w:t>保守不计中水回用量</w:t>
      </w:r>
      <w:r>
        <w:rPr>
          <w:rFonts w:hint="eastAsia"/>
          <w:color w:val="00B050"/>
        </w:rPr>
        <w:t>COD、氨氮、总磷的排放量约为</w:t>
      </w:r>
      <w:r>
        <w:rPr>
          <w:rFonts w:hint="eastAsia"/>
          <w:color w:val="00B050"/>
          <w:lang w:val="en-US" w:eastAsia="zh-CN"/>
        </w:rPr>
        <w:t>91.2</w:t>
      </w:r>
      <w:r>
        <w:rPr>
          <w:rFonts w:hint="eastAsia"/>
          <w:color w:val="00B050"/>
        </w:rPr>
        <w:t>t、</w:t>
      </w:r>
      <w:r>
        <w:rPr>
          <w:rFonts w:hint="eastAsia"/>
          <w:color w:val="00B050"/>
          <w:lang w:val="en-US" w:eastAsia="zh-CN"/>
        </w:rPr>
        <w:t>9.12</w:t>
      </w:r>
      <w:r>
        <w:rPr>
          <w:rFonts w:hint="eastAsia"/>
          <w:color w:val="00B050"/>
        </w:rPr>
        <w:t>t、</w:t>
      </w:r>
      <w:r>
        <w:rPr>
          <w:rFonts w:hint="eastAsia"/>
          <w:color w:val="00B050"/>
          <w:lang w:val="en-US" w:eastAsia="zh-CN"/>
        </w:rPr>
        <w:t>0.91</w:t>
      </w:r>
      <w:r>
        <w:rPr>
          <w:rFonts w:hint="eastAsia"/>
          <w:color w:val="00B050"/>
        </w:rPr>
        <w:t>t，</w:t>
      </w:r>
      <w:r>
        <w:rPr>
          <w:rFonts w:hint="eastAsia"/>
        </w:rPr>
        <w:t>根据根据《林芝市“三线一单”研究报告》，</w:t>
      </w:r>
      <w:r>
        <w:rPr>
          <w:rFonts w:hint="eastAsia"/>
          <w:color w:val="1A15F1"/>
        </w:rPr>
        <w:t>到规划末年</w:t>
      </w:r>
      <w:r>
        <w:rPr>
          <w:rFonts w:hint="eastAsia"/>
          <w:color w:val="1A15F1"/>
          <w:lang w:val="en-US" w:eastAsia="zh-CN"/>
        </w:rPr>
        <w:t>2025</w:t>
      </w:r>
      <w:r>
        <w:rPr>
          <w:rFonts w:hint="eastAsia"/>
          <w:color w:val="1A15F1"/>
        </w:rPr>
        <w:t>年，林芝市COD、氨氮、总磷允许排放量分别为</w:t>
      </w:r>
      <w:r>
        <w:rPr>
          <w:rFonts w:hint="eastAsia"/>
          <w:color w:val="1A15F1"/>
          <w:lang w:val="en-US" w:eastAsia="zh-CN"/>
        </w:rPr>
        <w:t>2995.01</w:t>
      </w:r>
      <w:r>
        <w:rPr>
          <w:rFonts w:hint="eastAsia"/>
          <w:color w:val="1A15F1"/>
        </w:rPr>
        <w:t>t、</w:t>
      </w:r>
      <w:r>
        <w:rPr>
          <w:rFonts w:hint="eastAsia"/>
          <w:color w:val="1A15F1"/>
          <w:lang w:val="en-US" w:eastAsia="zh-CN"/>
        </w:rPr>
        <w:t>147.43</w:t>
      </w:r>
      <w:r>
        <w:rPr>
          <w:rFonts w:hint="eastAsia"/>
          <w:color w:val="1A15F1"/>
        </w:rPr>
        <w:t>t和</w:t>
      </w:r>
      <w:r>
        <w:rPr>
          <w:rFonts w:hint="eastAsia"/>
          <w:color w:val="1A15F1"/>
          <w:lang w:val="en-US" w:eastAsia="zh-CN"/>
        </w:rPr>
        <w:t>35.91</w:t>
      </w:r>
      <w:r>
        <w:rPr>
          <w:rFonts w:hint="eastAsia"/>
          <w:color w:val="1A15F1"/>
        </w:rPr>
        <w:t>t。</w:t>
      </w:r>
      <w:r>
        <w:rPr>
          <w:rFonts w:hint="eastAsia"/>
          <w:color w:val="1A15F1"/>
          <w:lang w:val="en-US" w:eastAsia="zh-CN"/>
        </w:rPr>
        <w:t>旅游废水</w:t>
      </w:r>
      <w:r>
        <w:rPr>
          <w:rFonts w:hint="eastAsia"/>
          <w:color w:val="1A15F1"/>
        </w:rPr>
        <w:t>COD、氨氮、总磷</w:t>
      </w:r>
      <w:r>
        <w:rPr>
          <w:rFonts w:hint="eastAsia"/>
          <w:color w:val="00B050"/>
        </w:rPr>
        <w:t>分别占20</w:t>
      </w:r>
      <w:r>
        <w:rPr>
          <w:rFonts w:hint="eastAsia"/>
          <w:color w:val="00B050"/>
          <w:lang w:val="en-US" w:eastAsia="zh-CN"/>
        </w:rPr>
        <w:t>25</w:t>
      </w:r>
      <w:r>
        <w:rPr>
          <w:rFonts w:hint="eastAsia"/>
          <w:color w:val="00B050"/>
        </w:rPr>
        <w:t>年允许排放总量的</w:t>
      </w:r>
      <w:r>
        <w:rPr>
          <w:rFonts w:hint="eastAsia"/>
          <w:color w:val="00B050"/>
          <w:lang w:val="en-US" w:eastAsia="zh-CN"/>
        </w:rPr>
        <w:t>3.04</w:t>
      </w:r>
      <w:r>
        <w:rPr>
          <w:rFonts w:hint="eastAsia"/>
          <w:color w:val="00B050"/>
        </w:rPr>
        <w:t>%、</w:t>
      </w:r>
      <w:r>
        <w:rPr>
          <w:rFonts w:hint="eastAsia"/>
          <w:color w:val="00B050"/>
          <w:lang w:val="en-US" w:eastAsia="zh-CN"/>
        </w:rPr>
        <w:t>6.18</w:t>
      </w:r>
      <w:r>
        <w:rPr>
          <w:rFonts w:hint="eastAsia"/>
          <w:color w:val="00B050"/>
        </w:rPr>
        <w:t>%、</w:t>
      </w:r>
      <w:r>
        <w:rPr>
          <w:rFonts w:hint="eastAsia"/>
          <w:color w:val="00B050"/>
          <w:lang w:val="en-US" w:eastAsia="zh-CN"/>
        </w:rPr>
        <w:t>2.54</w:t>
      </w:r>
      <w:r>
        <w:rPr>
          <w:rFonts w:hint="eastAsia"/>
          <w:color w:val="00B050"/>
        </w:rPr>
        <w:t>%。在所有产生废水均能得到收集并处理达到排放标准的前提下，林芝市规划期内旅游业的发展排放的废水，水污染物所占允许排放量的比例较低。</w:t>
      </w:r>
    </w:p>
    <w:p>
      <w:pPr>
        <w:spacing w:line="360" w:lineRule="auto"/>
        <w:ind w:firstLine="480" w:firstLineChars="200"/>
        <w:rPr>
          <w:color w:val="00B050"/>
        </w:rPr>
      </w:pPr>
      <w:r>
        <w:rPr>
          <w:color w:val="00B050"/>
        </w:rPr>
        <w:t>从中长期来看，规划主要项目对当地地表水水质不会有明显影响。</w:t>
      </w:r>
    </w:p>
    <w:p>
      <w:pPr>
        <w:pStyle w:val="2"/>
        <w:rPr>
          <w:color w:val="2A26F7"/>
        </w:rPr>
      </w:pPr>
      <w:r>
        <w:rPr>
          <w:rFonts w:hint="eastAsia"/>
          <w:color w:val="2A26F7"/>
          <w:lang w:val="en-US" w:eastAsia="zh-CN"/>
        </w:rPr>
        <w:t>5.2.2.3</w:t>
      </w:r>
      <w:r>
        <w:rPr>
          <w:rFonts w:hint="eastAsia"/>
          <w:color w:val="2A26F7"/>
        </w:rPr>
        <w:t>运营期声环境影响分析</w:t>
      </w:r>
    </w:p>
    <w:p>
      <w:pPr>
        <w:pStyle w:val="6"/>
        <w:ind w:firstLine="480"/>
        <w:rPr>
          <w:rFonts w:hint="eastAsia"/>
          <w:color w:val="auto"/>
        </w:rPr>
      </w:pPr>
      <w:r>
        <w:rPr>
          <w:rFonts w:hint="eastAsia"/>
          <w:color w:val="auto"/>
        </w:rPr>
        <w:t>根据规划定位及规划内容来看，规划实施后的噪声排放主要来源于交通噪声、游客活动和经营活动噪声。</w:t>
      </w:r>
    </w:p>
    <w:p>
      <w:pPr>
        <w:pStyle w:val="6"/>
        <w:ind w:firstLine="482"/>
        <w:rPr>
          <w:rFonts w:hint="eastAsia"/>
          <w:b/>
          <w:bCs/>
          <w:color w:val="auto"/>
        </w:rPr>
      </w:pPr>
      <w:r>
        <w:rPr>
          <w:rFonts w:hint="eastAsia"/>
          <w:b/>
          <w:bCs/>
          <w:color w:val="auto"/>
        </w:rPr>
        <w:t>1、交通噪声环境影响</w:t>
      </w:r>
    </w:p>
    <w:p>
      <w:pPr>
        <w:pStyle w:val="6"/>
        <w:ind w:firstLine="480"/>
        <w:rPr>
          <w:rFonts w:hint="eastAsia"/>
          <w:color w:val="auto"/>
        </w:rPr>
      </w:pPr>
      <w:r>
        <w:rPr>
          <w:rFonts w:hint="eastAsia"/>
          <w:color w:val="auto"/>
        </w:rPr>
        <w:t>交通噪声主要集中在道路干线、景区停车场，时间上主要集中在昼间时段（6:00-22:00），空间上其分布与道路及停车场正相关，交通噪声影响范围通常在道路两侧200m范围内。就本规划来说，应采取限制车型、限制车速、禁止鸣号，对旅游公路主干道两侧进行绿化，设置5～15m的防护林带，减轻交通噪声影响，以最大限度降低车辆运行噪声对周边环境的影响。</w:t>
      </w:r>
    </w:p>
    <w:p>
      <w:pPr>
        <w:pStyle w:val="6"/>
        <w:bidi w:val="0"/>
        <w:rPr>
          <w:b/>
          <w:bCs/>
          <w:color w:val="auto"/>
        </w:rPr>
      </w:pPr>
      <w:r>
        <w:rPr>
          <w:rFonts w:hint="eastAsia"/>
          <w:b/>
          <w:bCs/>
          <w:color w:val="auto"/>
          <w:lang w:val="en-US" w:eastAsia="zh-CN"/>
        </w:rPr>
        <w:t>2、</w:t>
      </w:r>
      <w:r>
        <w:rPr>
          <w:rFonts w:hint="eastAsia"/>
          <w:b/>
          <w:bCs/>
          <w:color w:val="auto"/>
        </w:rPr>
        <w:t>游客</w:t>
      </w:r>
      <w:r>
        <w:rPr>
          <w:b/>
          <w:bCs/>
          <w:color w:val="auto"/>
        </w:rPr>
        <w:t>人群噪声</w:t>
      </w:r>
    </w:p>
    <w:p>
      <w:pPr>
        <w:pStyle w:val="6"/>
        <w:ind w:firstLine="480"/>
        <w:rPr>
          <w:rFonts w:ascii="宋体" w:hAnsi="宋体" w:cs="宋体"/>
          <w:color w:val="auto"/>
          <w:kern w:val="0"/>
          <w:lang w:bidi="ar"/>
        </w:rPr>
      </w:pPr>
      <w:r>
        <w:rPr>
          <w:rFonts w:ascii="宋体" w:hAnsi="宋体" w:cs="宋体"/>
          <w:color w:val="auto"/>
          <w:kern w:val="0"/>
          <w:lang w:bidi="ar"/>
        </w:rPr>
        <w:t>一般人群普遍会话的声级范围在</w:t>
      </w:r>
      <w:r>
        <w:rPr>
          <w:color w:val="auto"/>
          <w:kern w:val="0"/>
          <w:lang w:bidi="ar"/>
        </w:rPr>
        <w:t>70</w:t>
      </w:r>
      <w:r>
        <w:rPr>
          <w:rFonts w:ascii="宋体" w:hAnsi="宋体" w:cs="宋体"/>
          <w:color w:val="auto"/>
          <w:kern w:val="0"/>
          <w:lang w:bidi="ar"/>
        </w:rPr>
        <w:t>～</w:t>
      </w:r>
      <w:r>
        <w:rPr>
          <w:color w:val="auto"/>
          <w:kern w:val="0"/>
          <w:lang w:bidi="ar"/>
        </w:rPr>
        <w:t>75dB(A)</w:t>
      </w:r>
      <w:r>
        <w:rPr>
          <w:rFonts w:ascii="宋体" w:hAnsi="宋体" w:cs="宋体"/>
          <w:color w:val="auto"/>
          <w:kern w:val="0"/>
          <w:lang w:bidi="ar"/>
        </w:rPr>
        <w:t>，人群产生的噪声与人群的人口密度有关。根据有关景区噪声统计结果，人口密度为</w:t>
      </w:r>
      <w:r>
        <w:rPr>
          <w:color w:val="auto"/>
          <w:kern w:val="0"/>
          <w:lang w:bidi="ar"/>
        </w:rPr>
        <w:t>0.2</w:t>
      </w:r>
      <w:r>
        <w:rPr>
          <w:rFonts w:ascii="宋体" w:hAnsi="宋体" w:cs="宋体"/>
          <w:color w:val="auto"/>
          <w:kern w:val="0"/>
          <w:lang w:bidi="ar"/>
        </w:rPr>
        <w:t>人</w:t>
      </w:r>
      <w:r>
        <w:rPr>
          <w:color w:val="auto"/>
          <w:kern w:val="0"/>
          <w:lang w:bidi="ar"/>
        </w:rPr>
        <w:t>/m</w:t>
      </w:r>
      <w:r>
        <w:rPr>
          <w:rFonts w:hint="eastAsia"/>
          <w:color w:val="auto"/>
          <w:kern w:val="0"/>
          <w:vertAlign w:val="superscript"/>
          <w:lang w:bidi="ar"/>
        </w:rPr>
        <w:t>2</w:t>
      </w:r>
      <w:r>
        <w:rPr>
          <w:rFonts w:ascii="宋体" w:hAnsi="宋体" w:cs="宋体"/>
          <w:color w:val="auto"/>
          <w:kern w:val="0"/>
          <w:lang w:bidi="ar"/>
        </w:rPr>
        <w:t>时，人群的噪声级在</w:t>
      </w:r>
      <w:r>
        <w:rPr>
          <w:color w:val="auto"/>
          <w:kern w:val="0"/>
          <w:lang w:bidi="ar"/>
        </w:rPr>
        <w:t>73dB(A)</w:t>
      </w:r>
      <w:r>
        <w:rPr>
          <w:rFonts w:ascii="宋体" w:hAnsi="宋体" w:cs="宋体"/>
          <w:color w:val="auto"/>
          <w:kern w:val="0"/>
          <w:lang w:bidi="ar"/>
        </w:rPr>
        <w:t>左右，人口密度为</w:t>
      </w:r>
      <w:r>
        <w:rPr>
          <w:color w:val="auto"/>
          <w:kern w:val="0"/>
          <w:lang w:bidi="ar"/>
        </w:rPr>
        <w:t>1</w:t>
      </w:r>
      <w:r>
        <w:rPr>
          <w:rFonts w:ascii="宋体" w:hAnsi="宋体" w:cs="宋体"/>
          <w:color w:val="auto"/>
          <w:kern w:val="0"/>
          <w:lang w:bidi="ar"/>
        </w:rPr>
        <w:t>人</w:t>
      </w:r>
      <w:r>
        <w:rPr>
          <w:color w:val="auto"/>
          <w:kern w:val="0"/>
          <w:lang w:bidi="ar"/>
        </w:rPr>
        <w:t>/m</w:t>
      </w:r>
      <w:r>
        <w:rPr>
          <w:rFonts w:hint="eastAsia"/>
          <w:color w:val="auto"/>
          <w:kern w:val="0"/>
          <w:vertAlign w:val="superscript"/>
          <w:lang w:bidi="ar"/>
        </w:rPr>
        <w:t>2</w:t>
      </w:r>
      <w:r>
        <w:rPr>
          <w:rFonts w:ascii="宋体" w:hAnsi="宋体" w:cs="宋体"/>
          <w:color w:val="auto"/>
          <w:kern w:val="0"/>
          <w:lang w:bidi="ar"/>
        </w:rPr>
        <w:t>时，人群的噪声级在</w:t>
      </w:r>
      <w:r>
        <w:rPr>
          <w:color w:val="auto"/>
          <w:kern w:val="0"/>
          <w:lang w:bidi="ar"/>
        </w:rPr>
        <w:t>75dB(A)</w:t>
      </w:r>
      <w:r>
        <w:rPr>
          <w:rFonts w:ascii="宋体" w:hAnsi="宋体" w:cs="宋体"/>
          <w:color w:val="auto"/>
          <w:kern w:val="0"/>
          <w:lang w:bidi="ar"/>
        </w:rPr>
        <w:t>左右，人群密度在</w:t>
      </w:r>
      <w:r>
        <w:rPr>
          <w:color w:val="auto"/>
          <w:kern w:val="0"/>
          <w:lang w:bidi="ar"/>
        </w:rPr>
        <w:t>2</w:t>
      </w:r>
      <w:r>
        <w:rPr>
          <w:rFonts w:ascii="宋体" w:hAnsi="宋体" w:cs="宋体"/>
          <w:color w:val="auto"/>
          <w:kern w:val="0"/>
          <w:lang w:bidi="ar"/>
        </w:rPr>
        <w:t>人</w:t>
      </w:r>
      <w:r>
        <w:rPr>
          <w:color w:val="auto"/>
          <w:kern w:val="0"/>
          <w:lang w:bidi="ar"/>
        </w:rPr>
        <w:t>/m</w:t>
      </w:r>
      <w:r>
        <w:rPr>
          <w:rFonts w:hint="eastAsia"/>
          <w:color w:val="auto"/>
          <w:kern w:val="0"/>
          <w:vertAlign w:val="superscript"/>
          <w:lang w:bidi="ar"/>
        </w:rPr>
        <w:t>2</w:t>
      </w:r>
      <w:r>
        <w:rPr>
          <w:rFonts w:ascii="宋体" w:hAnsi="宋体" w:cs="宋体"/>
          <w:color w:val="auto"/>
          <w:kern w:val="0"/>
          <w:lang w:bidi="ar"/>
        </w:rPr>
        <w:t>时，人群的噪声级在</w:t>
      </w:r>
      <w:r>
        <w:rPr>
          <w:color w:val="auto"/>
          <w:kern w:val="0"/>
          <w:lang w:bidi="ar"/>
        </w:rPr>
        <w:t>83dB(A)</w:t>
      </w:r>
      <w:r>
        <w:rPr>
          <w:rFonts w:ascii="宋体" w:hAnsi="宋体" w:cs="宋体"/>
          <w:color w:val="auto"/>
          <w:kern w:val="0"/>
          <w:lang w:bidi="ar"/>
        </w:rPr>
        <w:t>左右。</w:t>
      </w:r>
    </w:p>
    <w:p>
      <w:pPr>
        <w:pStyle w:val="6"/>
        <w:ind w:firstLine="480"/>
        <w:rPr>
          <w:rFonts w:ascii="宋体" w:hAnsi="宋体" w:cs="宋体"/>
          <w:color w:val="auto"/>
          <w:kern w:val="0"/>
          <w:lang w:bidi="ar"/>
        </w:rPr>
      </w:pPr>
      <w:r>
        <w:rPr>
          <w:rFonts w:ascii="宋体" w:hAnsi="宋体" w:cs="宋体"/>
          <w:color w:val="auto"/>
          <w:kern w:val="0"/>
          <w:lang w:bidi="ar"/>
        </w:rPr>
        <w:t>由于人群噪声构成比较复杂，并且其分布又有不确定性，因此通过计算声源的干扰半径来进行分析。干扰半径即指声源在经过一定距离衰减达到指定标准的长度，如</w:t>
      </w:r>
      <w:r>
        <w:rPr>
          <w:color w:val="auto"/>
          <w:kern w:val="0"/>
          <w:lang w:bidi="ar"/>
        </w:rPr>
        <w:t>r50</w:t>
      </w:r>
      <w:r>
        <w:rPr>
          <w:rFonts w:ascii="宋体" w:hAnsi="宋体" w:cs="宋体"/>
          <w:color w:val="auto"/>
          <w:kern w:val="0"/>
          <w:lang w:bidi="ar"/>
        </w:rPr>
        <w:t>即是指声级衰减至</w:t>
      </w:r>
      <w:r>
        <w:rPr>
          <w:color w:val="auto"/>
          <w:kern w:val="0"/>
          <w:lang w:bidi="ar"/>
        </w:rPr>
        <w:t>50dB(A)</w:t>
      </w:r>
      <w:r>
        <w:rPr>
          <w:rFonts w:ascii="宋体" w:hAnsi="宋体" w:cs="宋体"/>
          <w:color w:val="auto"/>
          <w:kern w:val="0"/>
          <w:lang w:bidi="ar"/>
        </w:rPr>
        <w:t>所需的距离。在计算干扰半径时，考虑空气吸收附加衰减</w:t>
      </w:r>
      <w:r>
        <w:rPr>
          <w:color w:val="auto"/>
          <w:kern w:val="0"/>
          <w:lang w:bidi="ar"/>
        </w:rPr>
        <w:t>0.5</w:t>
      </w:r>
      <w:r>
        <w:rPr>
          <w:rFonts w:ascii="宋体" w:hAnsi="宋体" w:cs="宋体"/>
          <w:color w:val="auto"/>
          <w:kern w:val="0"/>
          <w:lang w:bidi="ar"/>
        </w:rPr>
        <w:t>～</w:t>
      </w:r>
      <w:r>
        <w:rPr>
          <w:color w:val="auto"/>
          <w:kern w:val="0"/>
          <w:lang w:bidi="ar"/>
        </w:rPr>
        <w:t>1dB(A)</w:t>
      </w:r>
      <w:r>
        <w:rPr>
          <w:rFonts w:ascii="宋体" w:hAnsi="宋体" w:cs="宋体"/>
          <w:color w:val="auto"/>
          <w:kern w:val="0"/>
          <w:lang w:bidi="ar"/>
        </w:rPr>
        <w:t>。人群噪声源的干扰半径经计算如表</w:t>
      </w:r>
      <w:r>
        <w:rPr>
          <w:rFonts w:hint="eastAsia"/>
          <w:color w:val="auto"/>
          <w:kern w:val="0"/>
          <w:lang w:bidi="ar"/>
        </w:rPr>
        <w:t>5.2-</w:t>
      </w:r>
      <w:r>
        <w:rPr>
          <w:rFonts w:hint="eastAsia"/>
          <w:color w:val="auto"/>
          <w:kern w:val="0"/>
          <w:lang w:val="en-US" w:eastAsia="zh-CN" w:bidi="ar"/>
        </w:rPr>
        <w:t>7</w:t>
      </w:r>
      <w:r>
        <w:rPr>
          <w:rFonts w:ascii="宋体" w:hAnsi="宋体" w:cs="宋体"/>
          <w:color w:val="auto"/>
          <w:kern w:val="0"/>
          <w:lang w:bidi="ar"/>
        </w:rPr>
        <w:t>所列。</w:t>
      </w:r>
    </w:p>
    <w:p>
      <w:pPr>
        <w:pStyle w:val="27"/>
        <w:keepNext w:val="0"/>
        <w:keepLines w:val="0"/>
        <w:pageBreakBefore w:val="0"/>
        <w:widowControl w:val="0"/>
        <w:kinsoku/>
        <w:wordWrap/>
        <w:overflowPunct/>
        <w:topLinePunct w:val="0"/>
        <w:autoSpaceDE/>
        <w:autoSpaceDN/>
        <w:bidi w:val="0"/>
        <w:adjustRightInd/>
        <w:snapToGrid/>
        <w:spacing w:before="0"/>
        <w:textAlignment w:val="auto"/>
        <w:rPr>
          <w:color w:val="auto"/>
        </w:rPr>
      </w:pPr>
      <w:r>
        <w:rPr>
          <w:color w:val="auto"/>
        </w:rPr>
        <w:t>表</w:t>
      </w:r>
      <w:r>
        <w:rPr>
          <w:rFonts w:hint="eastAsia"/>
          <w:color w:val="auto"/>
        </w:rPr>
        <w:t>5.2-</w:t>
      </w:r>
      <w:r>
        <w:rPr>
          <w:rFonts w:hint="eastAsia"/>
          <w:color w:val="auto"/>
          <w:lang w:val="en-US" w:eastAsia="zh-CN"/>
        </w:rPr>
        <w:t>7</w:t>
      </w:r>
      <w:r>
        <w:rPr>
          <w:color w:val="auto"/>
        </w:rPr>
        <w:t xml:space="preserve"> </w:t>
      </w:r>
      <w:r>
        <w:rPr>
          <w:rFonts w:hint="eastAsia"/>
          <w:color w:val="auto"/>
        </w:rPr>
        <w:t xml:space="preserve"> </w:t>
      </w:r>
      <w:r>
        <w:rPr>
          <w:color w:val="auto"/>
        </w:rPr>
        <w:t>人群噪声源干扰半径 单位：m</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60"/>
        <w:gridCol w:w="1275"/>
        <w:gridCol w:w="1290"/>
        <w:gridCol w:w="1275"/>
        <w:gridCol w:w="1290"/>
        <w:gridCol w:w="1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 xml:space="preserve">噪声源 </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 xml:space="preserve">r50 </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 xml:space="preserve">r55 </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 xml:space="preserve">r70 </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 xml:space="preserve">r75 </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r80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人群（1人/m</w:t>
            </w:r>
            <w:r>
              <w:rPr>
                <w:rFonts w:hint="default"/>
                <w:color w:val="auto"/>
                <w:vertAlign w:val="superscript"/>
              </w:rPr>
              <w:t>2</w:t>
            </w:r>
            <w:r>
              <w:rPr>
                <w:rFonts w:hint="default"/>
                <w:color w:val="auto"/>
              </w:rPr>
              <w:t xml:space="preserve">） </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 xml:space="preserve">14 </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8</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 xml:space="preserve">5 </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 xml:space="preserve">3 </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人群（2人/m</w:t>
            </w:r>
            <w:r>
              <w:rPr>
                <w:rFonts w:hint="default"/>
                <w:color w:val="auto"/>
                <w:vertAlign w:val="superscript"/>
              </w:rPr>
              <w:t>2</w:t>
            </w:r>
            <w:r>
              <w:rPr>
                <w:rFonts w:hint="default"/>
                <w:color w:val="auto"/>
              </w:rPr>
              <w:t xml:space="preserve">） </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 xml:space="preserve">45 </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 xml:space="preserve">25 </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 xml:space="preserve">14 </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 xml:space="preserve">8 </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color w:val="auto"/>
              </w:rPr>
            </w:pPr>
            <w:r>
              <w:rPr>
                <w:rFonts w:hint="default"/>
                <w:color w:val="auto"/>
              </w:rPr>
              <w:t>5</w:t>
            </w:r>
          </w:p>
        </w:tc>
      </w:tr>
    </w:tbl>
    <w:p>
      <w:pPr>
        <w:pStyle w:val="6"/>
        <w:ind w:firstLine="480"/>
        <w:rPr>
          <w:color w:val="auto"/>
        </w:rPr>
      </w:pPr>
      <w:r>
        <w:rPr>
          <w:color w:val="auto"/>
        </w:rPr>
        <w:t>在人口密度为1人/m</w:t>
      </w:r>
      <w:r>
        <w:rPr>
          <w:color w:val="auto"/>
          <w:vertAlign w:val="superscript"/>
        </w:rPr>
        <w:t>2</w:t>
      </w:r>
      <w:r>
        <w:rPr>
          <w:color w:val="auto"/>
        </w:rPr>
        <w:t>时，r70为人5m，r50为14m，其最大影响范围为14m；当人口密度为2人/m</w:t>
      </w:r>
      <w:r>
        <w:rPr>
          <w:color w:val="auto"/>
          <w:vertAlign w:val="superscript"/>
        </w:rPr>
        <w:t>2</w:t>
      </w:r>
      <w:r>
        <w:rPr>
          <w:color w:val="auto"/>
        </w:rPr>
        <w:t>时，r70为14m，r50为45m，其最大影响范围为45m。</w:t>
      </w:r>
      <w:r>
        <w:rPr>
          <w:rFonts w:hint="eastAsia"/>
          <w:color w:val="auto"/>
        </w:rPr>
        <w:t>规划末年</w:t>
      </w:r>
      <w:r>
        <w:rPr>
          <w:bCs/>
          <w:color w:val="auto"/>
        </w:rPr>
        <w:t>由于客流量散布于</w:t>
      </w:r>
      <w:r>
        <w:rPr>
          <w:rFonts w:hint="eastAsia"/>
          <w:bCs/>
          <w:color w:val="auto"/>
        </w:rPr>
        <w:t>规划区域</w:t>
      </w:r>
      <w:r>
        <w:rPr>
          <w:bCs/>
          <w:color w:val="auto"/>
        </w:rPr>
        <w:t>各个景点，因此，就单个景区而言，</w:t>
      </w:r>
      <w:r>
        <w:rPr>
          <w:color w:val="auto"/>
        </w:rPr>
        <w:t>景区人口密度一般小于</w:t>
      </w:r>
      <w:r>
        <w:rPr>
          <w:rFonts w:hint="eastAsia"/>
          <w:color w:val="auto"/>
        </w:rPr>
        <w:t>2</w:t>
      </w:r>
      <w:r>
        <w:rPr>
          <w:color w:val="auto"/>
        </w:rPr>
        <w:t>人/m</w:t>
      </w:r>
      <w:r>
        <w:rPr>
          <w:color w:val="auto"/>
          <w:vertAlign w:val="superscript"/>
        </w:rPr>
        <w:t>2</w:t>
      </w:r>
      <w:r>
        <w:rPr>
          <w:color w:val="auto"/>
        </w:rPr>
        <w:t>，其最大影响范围小于</w:t>
      </w:r>
      <w:r>
        <w:rPr>
          <w:rFonts w:hint="eastAsia"/>
          <w:color w:val="auto"/>
        </w:rPr>
        <w:t>45</w:t>
      </w:r>
      <w:r>
        <w:rPr>
          <w:color w:val="auto"/>
        </w:rPr>
        <w:t>m，因此人群噪声不会对附近居民造成大的影响。</w:t>
      </w:r>
    </w:p>
    <w:p>
      <w:pPr>
        <w:pStyle w:val="6"/>
        <w:ind w:firstLine="482"/>
        <w:rPr>
          <w:rFonts w:hint="eastAsia"/>
          <w:b/>
          <w:bCs/>
          <w:color w:val="auto"/>
        </w:rPr>
      </w:pPr>
      <w:r>
        <w:rPr>
          <w:rFonts w:hint="eastAsia"/>
          <w:b/>
          <w:bCs/>
          <w:color w:val="auto"/>
        </w:rPr>
        <w:t>3、经营活动的声环境影响</w:t>
      </w:r>
    </w:p>
    <w:p>
      <w:pPr>
        <w:pStyle w:val="6"/>
        <w:ind w:firstLine="480"/>
        <w:rPr>
          <w:rFonts w:hint="eastAsia"/>
          <w:color w:val="auto"/>
        </w:rPr>
      </w:pPr>
      <w:r>
        <w:rPr>
          <w:rFonts w:hint="eastAsia"/>
          <w:color w:val="auto"/>
        </w:rPr>
        <w:t>经营活动噪声主要为营业块娱乐文化场所和商业经营活动中使用的设备、设施产生的噪声。类比同类型露天广场演艺活动，音乐音响声可达100dB，活动期间昼、夜间将分别造成周边100m、200m范围内超过《声环境质量标准》（GB3096-2008）2类标准。</w:t>
      </w:r>
    </w:p>
    <w:p>
      <w:pPr>
        <w:pStyle w:val="6"/>
        <w:ind w:firstLine="480"/>
        <w:rPr>
          <w:rFonts w:hint="eastAsia"/>
          <w:color w:val="auto"/>
        </w:rPr>
      </w:pPr>
      <w:r>
        <w:rPr>
          <w:rFonts w:hint="eastAsia"/>
          <w:color w:val="auto"/>
        </w:rPr>
        <w:t>随着规划区逐步开发建设和居民聚集，对原本安静的声环境将产生一定影响，针对社会生活除主要采取管理措施减少噪声的排放，如禁止商业区内的商户使用高音喇叭或其他高箭响器材招缆顾客，禁止占道经营，避免过往车辆频繁鸣笛；高噪声营业性文化娱乐场所应合理布置，避免对周边住户产生噪声和振动影响。在旅游活动带来的收益、采取相应补偿措施情况下，声环境质量的变化预计可以接受。</w:t>
      </w:r>
    </w:p>
    <w:p>
      <w:pPr>
        <w:pStyle w:val="2"/>
        <w:bidi w:val="0"/>
        <w:rPr>
          <w:rFonts w:hint="eastAsia"/>
          <w:color w:val="auto"/>
        </w:rPr>
      </w:pPr>
      <w:r>
        <w:rPr>
          <w:rFonts w:hint="eastAsia"/>
          <w:color w:val="auto"/>
          <w:lang w:val="en-US" w:eastAsia="zh-CN"/>
        </w:rPr>
        <w:t>5.2.2.4</w:t>
      </w:r>
      <w:r>
        <w:rPr>
          <w:rFonts w:hint="eastAsia"/>
          <w:color w:val="auto"/>
        </w:rPr>
        <w:t>运营期固体废物环境影响分析</w:t>
      </w:r>
    </w:p>
    <w:p>
      <w:pPr>
        <w:pStyle w:val="6"/>
        <w:bidi w:val="0"/>
        <w:rPr>
          <w:rFonts w:hint="eastAsia"/>
        </w:rPr>
      </w:pPr>
      <w:r>
        <w:rPr>
          <w:rFonts w:hint="eastAsia"/>
        </w:rPr>
        <w:t>规划区内产生的固体废物主要为游客垃圾</w:t>
      </w:r>
      <w:r>
        <w:rPr>
          <w:rFonts w:hint="eastAsia"/>
          <w:lang w:eastAsia="zh-CN"/>
        </w:rPr>
        <w:t>、</w:t>
      </w:r>
      <w:r>
        <w:rPr>
          <w:rFonts w:hint="eastAsia"/>
          <w:lang w:val="en-US" w:eastAsia="zh-CN"/>
        </w:rPr>
        <w:t>餐饮垃圾</w:t>
      </w:r>
      <w:r>
        <w:rPr>
          <w:rFonts w:hint="eastAsia"/>
        </w:rPr>
        <w:t>、危险废物等。</w:t>
      </w:r>
    </w:p>
    <w:p>
      <w:pPr>
        <w:pStyle w:val="6"/>
        <w:ind w:firstLine="482"/>
        <w:rPr>
          <w:rFonts w:hint="eastAsia" w:eastAsia="宋体"/>
          <w:b/>
          <w:bCs/>
          <w:lang w:val="en-US" w:eastAsia="zh-CN"/>
        </w:rPr>
      </w:pPr>
      <w:r>
        <w:rPr>
          <w:rFonts w:hint="eastAsia"/>
          <w:b/>
          <w:bCs/>
          <w:lang w:val="en-US" w:eastAsia="zh-CN"/>
        </w:rPr>
        <w:t>1、生活垃圾</w:t>
      </w:r>
    </w:p>
    <w:p>
      <w:pPr>
        <w:pStyle w:val="6"/>
        <w:ind w:firstLine="480"/>
        <w:rPr>
          <w:rFonts w:hint="default" w:eastAsia="宋体"/>
          <w:lang w:val="en-US" w:eastAsia="zh-CN"/>
        </w:rPr>
      </w:pPr>
      <w:r>
        <w:rPr>
          <w:rFonts w:hint="eastAsia"/>
          <w:lang w:val="en-US" w:eastAsia="zh-CN"/>
        </w:rPr>
        <w:t>（1）生活垃圾产生源</w:t>
      </w:r>
    </w:p>
    <w:p>
      <w:pPr>
        <w:pStyle w:val="6"/>
        <w:ind w:firstLine="480"/>
        <w:rPr>
          <w:rFonts w:hint="eastAsia"/>
        </w:rPr>
      </w:pPr>
      <w:r>
        <w:rPr>
          <w:rFonts w:hint="eastAsia"/>
        </w:rPr>
        <w:t>规划区旅游业产生的垃圾主要是旅游者（群体或个体）在旅游过程中和为其服务（衣、食、住、行等）的过程中产生的垃圾，具有生活废物的一般特点，多以塑料、纸类、金属、玻璃等可回收组分，以及食物残渣等易腐有机组分为主，有毒有害物质很少。所以，从产生对象来看，风景区生活垃圾的产生源以游客为主，常住居民和服务管理人员均次之；从产生场所来看，以宾馆饭店、热线景点驻留地、公共活动广场等游客聚集地为主，旅游步行道路和公路等场所依次减少。</w:t>
      </w:r>
    </w:p>
    <w:p>
      <w:pPr>
        <w:pStyle w:val="6"/>
        <w:ind w:firstLine="480"/>
        <w:rPr>
          <w:rFonts w:hint="eastAsia"/>
        </w:rPr>
      </w:pPr>
      <w:r>
        <w:rPr>
          <w:rFonts w:hint="eastAsia"/>
        </w:rPr>
        <w:t>生活垃圾主要来自规划区游客、规划区居住人员产生的废弃物，主要成分为厨余、废塑料、玻璃、废纸、饮料罐、破布、废纤维以及废金属等。类比同类项目生活垃圾组分，风景区生活垃圾组分预测表见表5.2-</w:t>
      </w:r>
      <w:r>
        <w:rPr>
          <w:rFonts w:hint="eastAsia"/>
          <w:lang w:val="en-US" w:eastAsia="zh-CN"/>
        </w:rPr>
        <w:t>8</w:t>
      </w:r>
      <w:r>
        <w:rPr>
          <w:rFonts w:hint="eastAsia"/>
        </w:rPr>
        <w:t>。</w:t>
      </w:r>
    </w:p>
    <w:p>
      <w:pPr>
        <w:pStyle w:val="27"/>
        <w:rPr>
          <w:rFonts w:hint="eastAsia"/>
        </w:rPr>
      </w:pPr>
      <w:r>
        <w:rPr>
          <w:rFonts w:hint="eastAsia"/>
        </w:rPr>
        <w:t>表5.2-</w:t>
      </w:r>
      <w:r>
        <w:rPr>
          <w:rFonts w:hint="eastAsia"/>
          <w:lang w:val="en-US" w:eastAsia="zh-CN"/>
        </w:rPr>
        <w:t>8</w:t>
      </w:r>
      <w:r>
        <w:rPr>
          <w:rFonts w:hint="eastAsia"/>
        </w:rPr>
        <w:t xml:space="preserve">  规划区生活垃圾组分预测    单位：%</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947"/>
        <w:gridCol w:w="947"/>
        <w:gridCol w:w="947"/>
        <w:gridCol w:w="948"/>
        <w:gridCol w:w="948"/>
        <w:gridCol w:w="948"/>
        <w:gridCol w:w="772"/>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Merge w:val="restar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组分</w:t>
            </w:r>
          </w:p>
        </w:tc>
        <w:tc>
          <w:tcPr>
            <w:tcW w:w="6457" w:type="dxa"/>
            <w:gridSpan w:val="7"/>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生活娱乐区产生的生活垃圾</w:t>
            </w:r>
          </w:p>
        </w:tc>
        <w:tc>
          <w:tcPr>
            <w:tcW w:w="1124" w:type="dxa"/>
            <w:vMerge w:val="restar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园林垃圾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vMerge w:val="continue"/>
            <w:noWrap w:val="0"/>
            <w:vAlign w:val="center"/>
          </w:tcPr>
          <w:p>
            <w:pPr>
              <w:pStyle w:val="29"/>
              <w:keepNext w:val="0"/>
              <w:keepLines w:val="0"/>
              <w:suppressLineNumbers w:val="0"/>
              <w:spacing w:before="0" w:beforeAutospacing="0" w:after="0" w:afterAutospacing="0"/>
              <w:ind w:left="0" w:right="0"/>
              <w:rPr>
                <w:rFonts w:hint="eastAsia"/>
              </w:rPr>
            </w:pPr>
          </w:p>
        </w:tc>
        <w:tc>
          <w:tcPr>
            <w:tcW w:w="94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纸类</w:t>
            </w:r>
          </w:p>
        </w:tc>
        <w:tc>
          <w:tcPr>
            <w:tcW w:w="94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塑料</w:t>
            </w:r>
          </w:p>
        </w:tc>
        <w:tc>
          <w:tcPr>
            <w:tcW w:w="947"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玻璃</w:t>
            </w:r>
          </w:p>
        </w:tc>
        <w:tc>
          <w:tcPr>
            <w:tcW w:w="948"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金属</w:t>
            </w:r>
          </w:p>
        </w:tc>
        <w:tc>
          <w:tcPr>
            <w:tcW w:w="948"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植物</w:t>
            </w:r>
          </w:p>
        </w:tc>
        <w:tc>
          <w:tcPr>
            <w:tcW w:w="948"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餐厨</w:t>
            </w:r>
          </w:p>
        </w:tc>
        <w:tc>
          <w:tcPr>
            <w:tcW w:w="772"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其他</w:t>
            </w:r>
          </w:p>
        </w:tc>
        <w:tc>
          <w:tcPr>
            <w:tcW w:w="1124" w:type="dxa"/>
            <w:vMerge w:val="continue"/>
            <w:noWrap w:val="0"/>
            <w:vAlign w:val="center"/>
          </w:tcPr>
          <w:p>
            <w:pPr>
              <w:pStyle w:val="29"/>
              <w:keepNext w:val="0"/>
              <w:keepLines w:val="0"/>
              <w:suppressLineNumbers w:val="0"/>
              <w:spacing w:before="0" w:beforeAutospacing="0" w:after="0" w:afterAutospacing="0"/>
              <w:ind w:left="0" w:right="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含量</w:t>
            </w:r>
          </w:p>
        </w:tc>
        <w:tc>
          <w:tcPr>
            <w:tcW w:w="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22</w:t>
            </w:r>
          </w:p>
        </w:tc>
        <w:tc>
          <w:tcPr>
            <w:tcW w:w="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w:t>
            </w:r>
          </w:p>
        </w:tc>
        <w:tc>
          <w:tcPr>
            <w:tcW w:w="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7</w:t>
            </w:r>
          </w:p>
        </w:tc>
        <w:tc>
          <w:tcPr>
            <w:tcW w:w="948"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w:t>
            </w:r>
          </w:p>
        </w:tc>
        <w:tc>
          <w:tcPr>
            <w:tcW w:w="948"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9</w:t>
            </w:r>
          </w:p>
        </w:tc>
        <w:tc>
          <w:tcPr>
            <w:tcW w:w="948"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30</w:t>
            </w:r>
          </w:p>
        </w:tc>
        <w:tc>
          <w:tcPr>
            <w:tcW w:w="77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7</w:t>
            </w:r>
          </w:p>
        </w:tc>
        <w:tc>
          <w:tcPr>
            <w:tcW w:w="112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13</w:t>
            </w:r>
          </w:p>
        </w:tc>
      </w:tr>
    </w:tbl>
    <w:p>
      <w:pPr>
        <w:pStyle w:val="6"/>
        <w:ind w:firstLine="480"/>
        <w:rPr>
          <w:rFonts w:hint="eastAsia"/>
        </w:rPr>
      </w:pPr>
      <w:r>
        <w:rPr>
          <w:rFonts w:hint="eastAsia"/>
        </w:rPr>
        <w:t>从表5.5-2可知，生活垃圾的主要组分为餐厨垃圾、纸类垃圾、园林垃圾，分别占总量的30%、22%、13%。</w:t>
      </w:r>
    </w:p>
    <w:p>
      <w:pPr>
        <w:pStyle w:val="6"/>
        <w:ind w:firstLine="482"/>
        <w:rPr>
          <w:b w:val="0"/>
          <w:bCs w:val="0"/>
        </w:rPr>
      </w:pPr>
      <w:r>
        <w:rPr>
          <w:rFonts w:hint="eastAsia"/>
          <w:b w:val="0"/>
          <w:bCs w:val="0"/>
          <w:lang w:val="en-US" w:eastAsia="zh-CN"/>
        </w:rPr>
        <w:t>（2）生活垃圾</w:t>
      </w:r>
      <w:r>
        <w:rPr>
          <w:rFonts w:hint="eastAsia"/>
          <w:b w:val="0"/>
          <w:bCs w:val="0"/>
        </w:rPr>
        <w:t>产生情况</w:t>
      </w:r>
    </w:p>
    <w:p>
      <w:pPr>
        <w:pStyle w:val="6"/>
        <w:ind w:firstLine="480"/>
        <w:rPr>
          <w:rFonts w:hint="eastAsia"/>
          <w:color w:val="2A26F7"/>
        </w:rPr>
      </w:pPr>
      <w:r>
        <w:rPr>
          <w:rFonts w:hint="eastAsia"/>
        </w:rPr>
        <w:t>根据《</w:t>
      </w:r>
      <w:r>
        <w:t>风景区生活垃圾特性及产生量预测研究</w:t>
      </w:r>
      <w:r>
        <w:rPr>
          <w:rFonts w:hint="eastAsia"/>
        </w:rPr>
        <w:t>》对旅游景区垃圾产生量的研究结果，住宿游客产生的垃圾量约为1.3kg/（人.d），不住宿游客为0.3kg/（人.d）。根据林芝市旅游局游客抽样调查分析统计，林芝旅游的过夜游客占到84%。平均停留天数为1.9天。</w:t>
      </w:r>
      <w:r>
        <w:rPr>
          <w:rFonts w:hint="eastAsia"/>
          <w:color w:val="2A26F7"/>
        </w:rPr>
        <w:t>根据规划目标到规划末期2</w:t>
      </w:r>
      <w:r>
        <w:rPr>
          <w:color w:val="2A26F7"/>
        </w:rPr>
        <w:t>0</w:t>
      </w:r>
      <w:r>
        <w:rPr>
          <w:rFonts w:hint="eastAsia"/>
          <w:color w:val="2A26F7"/>
          <w:lang w:val="en-US" w:eastAsia="zh-CN"/>
        </w:rPr>
        <w:t>25</w:t>
      </w:r>
      <w:r>
        <w:rPr>
          <w:rFonts w:hint="eastAsia"/>
          <w:color w:val="2A26F7"/>
        </w:rPr>
        <w:t>年旅游总人数预计达到</w:t>
      </w:r>
      <w:r>
        <w:rPr>
          <w:rFonts w:hint="eastAsia"/>
          <w:color w:val="2A26F7"/>
          <w:lang w:val="en-US" w:eastAsia="zh-CN"/>
        </w:rPr>
        <w:t>1900</w:t>
      </w:r>
      <w:r>
        <w:rPr>
          <w:rFonts w:hint="eastAsia"/>
          <w:color w:val="2A26F7"/>
        </w:rPr>
        <w:t>万人次。结合上述分析数据进行估算，</w:t>
      </w:r>
      <w:r>
        <w:rPr>
          <w:rFonts w:hint="eastAsia"/>
          <w:color w:val="2A26F7"/>
          <w:lang w:val="en-US" w:eastAsia="zh-CN"/>
        </w:rPr>
        <w:t>2025</w:t>
      </w:r>
      <w:r>
        <w:rPr>
          <w:rFonts w:hint="eastAsia"/>
          <w:color w:val="2A26F7"/>
        </w:rPr>
        <w:t>年旅游垃圾产生量约</w:t>
      </w:r>
      <w:r>
        <w:rPr>
          <w:rFonts w:hint="eastAsia"/>
          <w:color w:val="2A26F7"/>
          <w:lang w:val="en-US" w:eastAsia="zh-CN"/>
        </w:rPr>
        <w:t>4.03</w:t>
      </w:r>
      <w:r>
        <w:rPr>
          <w:rFonts w:hint="eastAsia"/>
          <w:color w:val="2A26F7"/>
        </w:rPr>
        <w:t>万t/a。</w:t>
      </w:r>
    </w:p>
    <w:p>
      <w:pPr>
        <w:pStyle w:val="27"/>
        <w:rPr>
          <w:rFonts w:hint="eastAsia"/>
          <w:color w:val="2A26F7"/>
        </w:rPr>
      </w:pPr>
      <w:r>
        <w:rPr>
          <w:rFonts w:hint="eastAsia"/>
          <w:color w:val="2A26F7"/>
        </w:rPr>
        <w:t>表</w:t>
      </w:r>
      <w:r>
        <w:rPr>
          <w:rFonts w:hint="eastAsia"/>
          <w:color w:val="2A26F7"/>
          <w:lang w:val="en-US" w:eastAsia="zh-CN"/>
        </w:rPr>
        <w:t>5.2-9</w:t>
      </w:r>
      <w:r>
        <w:rPr>
          <w:rFonts w:hint="eastAsia"/>
          <w:color w:val="2A26F7"/>
        </w:rPr>
        <w:t xml:space="preserve">  旅游垃圾产生情况</w:t>
      </w:r>
    </w:p>
    <w:tbl>
      <w:tblPr>
        <w:tblStyle w:val="24"/>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10"/>
        <w:gridCol w:w="1339"/>
        <w:gridCol w:w="1032"/>
        <w:gridCol w:w="1521"/>
        <w:gridCol w:w="1567"/>
        <w:gridCol w:w="21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规划期</w:t>
            </w:r>
          </w:p>
        </w:tc>
        <w:tc>
          <w:tcPr>
            <w:tcW w:w="78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游客人数（万人/年）</w:t>
            </w:r>
          </w:p>
        </w:tc>
        <w:tc>
          <w:tcPr>
            <w:tcW w:w="1497" w:type="pct"/>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人数（万人）</w:t>
            </w:r>
          </w:p>
        </w:tc>
        <w:tc>
          <w:tcPr>
            <w:tcW w:w="91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天数（d</w:t>
            </w:r>
            <w:r>
              <w:rPr>
                <w:rFonts w:hint="eastAsia"/>
                <w:color w:val="2A26F7"/>
              </w:rPr>
              <w:t>）</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垃圾产生量</w:t>
            </w:r>
            <w:r>
              <w:rPr>
                <w:rFonts w:hint="eastAsia"/>
                <w:color w:val="2A26F7"/>
              </w:rPr>
              <w:t>（万t/a）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pct"/>
            <w:vMerge w:val="restart"/>
            <w:tcBorders>
              <w:top w:val="single" w:color="auto" w:sz="4" w:space="0"/>
              <w:left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eastAsia"/>
                <w:color w:val="2A26F7"/>
              </w:rPr>
              <w:t>20</w:t>
            </w:r>
            <w:r>
              <w:rPr>
                <w:rFonts w:hint="eastAsia"/>
                <w:color w:val="2A26F7"/>
                <w:lang w:val="en-US" w:eastAsia="zh-CN"/>
              </w:rPr>
              <w:t>25</w:t>
            </w:r>
            <w:r>
              <w:rPr>
                <w:rFonts w:hint="eastAsia"/>
                <w:color w:val="2A26F7"/>
              </w:rPr>
              <w:t>年</w:t>
            </w:r>
          </w:p>
        </w:tc>
        <w:tc>
          <w:tcPr>
            <w:tcW w:w="785" w:type="pct"/>
            <w:vMerge w:val="restart"/>
            <w:tcBorders>
              <w:top w:val="single" w:color="auto" w:sz="4" w:space="0"/>
              <w:left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color w:val="2A26F7"/>
                <w:lang w:val="en-US" w:eastAsia="zh-CN"/>
              </w:rPr>
            </w:pPr>
            <w:r>
              <w:rPr>
                <w:rFonts w:hint="eastAsia"/>
                <w:color w:val="2A26F7"/>
                <w:lang w:val="en-US" w:eastAsia="zh-CN"/>
              </w:rPr>
              <w:t>1900</w:t>
            </w:r>
          </w:p>
        </w:tc>
        <w:tc>
          <w:tcPr>
            <w:tcW w:w="60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 xml:space="preserve">住宿 </w:t>
            </w:r>
          </w:p>
        </w:tc>
        <w:tc>
          <w:tcPr>
            <w:tcW w:w="89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color w:val="2A26F7"/>
                <w:lang w:val="en-US" w:eastAsia="zh-CN"/>
              </w:rPr>
            </w:pPr>
            <w:r>
              <w:rPr>
                <w:rFonts w:hint="eastAsia"/>
                <w:color w:val="2A26F7"/>
                <w:lang w:val="en-US" w:eastAsia="zh-CN"/>
              </w:rPr>
              <w:t>1596</w:t>
            </w:r>
          </w:p>
        </w:tc>
        <w:tc>
          <w:tcPr>
            <w:tcW w:w="91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eastAsia"/>
                <w:color w:val="2A26F7"/>
              </w:rPr>
              <w:t>1.9</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color w:val="2A26F7"/>
                <w:lang w:val="en-US" w:eastAsia="zh-CN"/>
              </w:rPr>
            </w:pPr>
            <w:r>
              <w:rPr>
                <w:rFonts w:hint="eastAsia"/>
                <w:color w:val="2A26F7"/>
                <w:lang w:val="en-US" w:eastAsia="zh-CN"/>
              </w:rPr>
              <w:t>3.94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pct"/>
            <w:vMerge w:val="continue"/>
            <w:tcBorders>
              <w:left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785" w:type="pct"/>
            <w:vMerge w:val="continue"/>
            <w:tcBorders>
              <w:left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60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default"/>
                <w:color w:val="2A26F7"/>
              </w:rPr>
              <w:t xml:space="preserve">非住宿 </w:t>
            </w:r>
          </w:p>
        </w:tc>
        <w:tc>
          <w:tcPr>
            <w:tcW w:w="89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color w:val="2A26F7"/>
                <w:lang w:val="en-US" w:eastAsia="zh-CN"/>
              </w:rPr>
            </w:pPr>
            <w:r>
              <w:rPr>
                <w:rFonts w:hint="eastAsia"/>
                <w:color w:val="2A26F7"/>
                <w:lang w:val="en-US" w:eastAsia="zh-CN"/>
              </w:rPr>
              <w:t>304</w:t>
            </w:r>
          </w:p>
        </w:tc>
        <w:tc>
          <w:tcPr>
            <w:tcW w:w="91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eastAsia"/>
                <w:color w:val="2A26F7"/>
              </w:rPr>
              <w:t>1.9</w:t>
            </w:r>
          </w:p>
        </w:tc>
        <w:tc>
          <w:tcPr>
            <w:tcW w:w="1264" w:type="pct"/>
            <w:tcBorders>
              <w:top w:val="single" w:color="auto" w:sz="4" w:space="0"/>
              <w:left w:val="single" w:color="auto" w:sz="4" w:space="0"/>
              <w:bottom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color w:val="2A26F7"/>
                <w:lang w:val="en-US" w:eastAsia="zh-CN"/>
              </w:rPr>
            </w:pPr>
            <w:r>
              <w:rPr>
                <w:rFonts w:hint="eastAsia"/>
                <w:color w:val="2A26F7"/>
                <w:lang w:val="en-US" w:eastAsia="zh-CN"/>
              </w:rPr>
              <w:t>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34" w:type="pct"/>
            <w:vMerge w:val="continue"/>
            <w:tcBorders>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p>
        </w:tc>
        <w:tc>
          <w:tcPr>
            <w:tcW w:w="3201" w:type="pct"/>
            <w:gridSpan w:val="4"/>
            <w:tcBorders>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color w:val="2A26F7"/>
              </w:rPr>
            </w:pPr>
            <w:r>
              <w:rPr>
                <w:rFonts w:hint="eastAsia"/>
                <w:color w:val="2A26F7"/>
              </w:rPr>
              <w:t>合计</w:t>
            </w:r>
          </w:p>
        </w:tc>
        <w:tc>
          <w:tcPr>
            <w:tcW w:w="1264" w:type="pct"/>
            <w:tcBorders>
              <w:top w:val="single" w:color="auto" w:sz="4" w:space="0"/>
              <w:left w:val="single" w:color="auto" w:sz="4" w:space="0"/>
              <w:bottom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eastAsia="宋体"/>
                <w:color w:val="2A26F7"/>
                <w:lang w:val="en-US" w:eastAsia="zh-CN"/>
              </w:rPr>
            </w:pPr>
            <w:r>
              <w:rPr>
                <w:rFonts w:hint="eastAsia"/>
                <w:color w:val="2A26F7"/>
                <w:lang w:val="en-US" w:eastAsia="zh-CN"/>
              </w:rPr>
              <w:t>4.03</w:t>
            </w:r>
          </w:p>
        </w:tc>
      </w:tr>
    </w:tbl>
    <w:p>
      <w:pPr>
        <w:pStyle w:val="6"/>
        <w:ind w:firstLine="482"/>
        <w:rPr>
          <w:rFonts w:hint="eastAsia"/>
          <w:b/>
          <w:bCs/>
          <w:color w:val="00B050"/>
          <w:lang w:val="en-US" w:eastAsia="zh-CN"/>
        </w:rPr>
      </w:pPr>
    </w:p>
    <w:p>
      <w:pPr>
        <w:pStyle w:val="6"/>
        <w:ind w:firstLine="482"/>
        <w:rPr>
          <w:rFonts w:hint="eastAsia"/>
          <w:b/>
          <w:bCs/>
          <w:color w:val="00B050"/>
        </w:rPr>
      </w:pPr>
      <w:r>
        <w:rPr>
          <w:rFonts w:hint="eastAsia"/>
          <w:b/>
          <w:bCs/>
          <w:color w:val="00B050"/>
          <w:lang w:val="en-US" w:eastAsia="zh-CN"/>
        </w:rPr>
        <w:t>2、林芝市</w:t>
      </w:r>
      <w:r>
        <w:rPr>
          <w:rFonts w:ascii="宋体" w:hAnsi="宋体" w:eastAsia="宋体" w:cs="宋体"/>
          <w:b/>
          <w:bCs/>
          <w:i w:val="0"/>
          <w:iCs w:val="0"/>
          <w:color w:val="00B050"/>
          <w:sz w:val="24"/>
          <w:szCs w:val="24"/>
        </w:rPr>
        <w:t>生活垃圾处置</w:t>
      </w:r>
      <w:r>
        <w:rPr>
          <w:rFonts w:hint="eastAsia"/>
          <w:b/>
          <w:bCs/>
          <w:color w:val="00B050"/>
        </w:rPr>
        <w:t>概况</w:t>
      </w:r>
    </w:p>
    <w:p>
      <w:pPr>
        <w:pStyle w:val="6"/>
        <w:ind w:firstLine="480"/>
        <w:rPr>
          <w:color w:val="00B050"/>
        </w:rPr>
      </w:pPr>
      <w:r>
        <w:rPr>
          <w:rFonts w:hint="eastAsia"/>
          <w:color w:val="00B050"/>
        </w:rPr>
        <w:t>林芝市</w:t>
      </w:r>
      <w:r>
        <w:rPr>
          <w:rFonts w:hint="eastAsia"/>
          <w:color w:val="00B050"/>
          <w:lang w:val="en-US" w:eastAsia="zh-CN"/>
        </w:rPr>
        <w:t>目前已建成</w:t>
      </w:r>
      <w:r>
        <w:rPr>
          <w:rFonts w:hint="eastAsia"/>
          <w:color w:val="00B050"/>
        </w:rPr>
        <w:t>生活垃圾</w:t>
      </w:r>
      <w:r>
        <w:rPr>
          <w:rFonts w:hint="eastAsia"/>
          <w:color w:val="00B050"/>
          <w:lang w:val="en-US" w:eastAsia="zh-CN"/>
        </w:rPr>
        <w:t>填埋场10座。目前运行正常。</w:t>
      </w:r>
    </w:p>
    <w:p>
      <w:pPr>
        <w:pStyle w:val="27"/>
        <w:rPr>
          <w:color w:val="00B050"/>
        </w:rPr>
      </w:pPr>
      <w:r>
        <w:rPr>
          <w:rFonts w:hint="eastAsia"/>
          <w:color w:val="00B050"/>
        </w:rPr>
        <w:t>表3.5-5</w:t>
      </w:r>
      <w:r>
        <w:rPr>
          <w:rFonts w:hint="eastAsia"/>
          <w:color w:val="00B050"/>
          <w:lang w:val="en-US" w:eastAsia="zh-CN"/>
        </w:rPr>
        <w:t>5.2-10</w:t>
      </w:r>
      <w:r>
        <w:rPr>
          <w:rFonts w:hint="eastAsia"/>
          <w:color w:val="00B050"/>
        </w:rPr>
        <w:t xml:space="preserve">  林芝市生活垃圾处理设施情况表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145"/>
        <w:gridCol w:w="2737"/>
        <w:gridCol w:w="1138"/>
        <w:gridCol w:w="1326"/>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center"/>
          </w:tcPr>
          <w:p>
            <w:pPr>
              <w:pStyle w:val="28"/>
              <w:keepNext w:val="0"/>
              <w:keepLines w:val="0"/>
              <w:suppressLineNumbers w:val="0"/>
              <w:spacing w:beforeAutospacing="0" w:afterAutospacing="0"/>
              <w:ind w:left="0" w:right="0"/>
              <w:rPr>
                <w:rFonts w:hint="default"/>
                <w:color w:val="1A15F1"/>
              </w:rPr>
            </w:pPr>
            <w:r>
              <w:rPr>
                <w:rFonts w:hint="eastAsia"/>
                <w:color w:val="1A15F1"/>
              </w:rPr>
              <w:t>序号</w:t>
            </w:r>
          </w:p>
        </w:tc>
        <w:tc>
          <w:tcPr>
            <w:tcW w:w="1145" w:type="dxa"/>
            <w:noWrap w:val="0"/>
            <w:vAlign w:val="center"/>
          </w:tcPr>
          <w:p>
            <w:pPr>
              <w:pStyle w:val="28"/>
              <w:keepNext w:val="0"/>
              <w:keepLines w:val="0"/>
              <w:suppressLineNumbers w:val="0"/>
              <w:spacing w:beforeAutospacing="0" w:afterAutospacing="0"/>
              <w:ind w:left="0" w:right="0"/>
              <w:rPr>
                <w:rFonts w:hint="default"/>
                <w:color w:val="1A15F1"/>
              </w:rPr>
            </w:pPr>
            <w:r>
              <w:rPr>
                <w:rFonts w:hint="eastAsia"/>
                <w:color w:val="1A15F1"/>
              </w:rPr>
              <w:t>行政区域</w:t>
            </w:r>
          </w:p>
        </w:tc>
        <w:tc>
          <w:tcPr>
            <w:tcW w:w="2737" w:type="dxa"/>
            <w:noWrap w:val="0"/>
            <w:vAlign w:val="center"/>
          </w:tcPr>
          <w:p>
            <w:pPr>
              <w:pStyle w:val="28"/>
              <w:keepNext w:val="0"/>
              <w:keepLines w:val="0"/>
              <w:suppressLineNumbers w:val="0"/>
              <w:spacing w:beforeAutospacing="0" w:afterAutospacing="0"/>
              <w:ind w:left="0" w:right="0"/>
              <w:rPr>
                <w:rFonts w:hint="default"/>
                <w:color w:val="1A15F1"/>
              </w:rPr>
            </w:pPr>
            <w:r>
              <w:rPr>
                <w:rFonts w:hint="eastAsia"/>
                <w:color w:val="1A15F1"/>
              </w:rPr>
              <w:t>项目名称</w:t>
            </w:r>
          </w:p>
        </w:tc>
        <w:tc>
          <w:tcPr>
            <w:tcW w:w="1138" w:type="dxa"/>
            <w:noWrap w:val="0"/>
            <w:vAlign w:val="center"/>
          </w:tcPr>
          <w:p>
            <w:pPr>
              <w:pStyle w:val="28"/>
              <w:keepNext w:val="0"/>
              <w:keepLines w:val="0"/>
              <w:suppressLineNumbers w:val="0"/>
              <w:spacing w:beforeAutospacing="0" w:afterAutospacing="0"/>
              <w:ind w:left="0" w:right="0"/>
              <w:rPr>
                <w:rFonts w:hint="default"/>
                <w:color w:val="1A15F1"/>
              </w:rPr>
            </w:pPr>
            <w:r>
              <w:rPr>
                <w:rFonts w:hint="eastAsia"/>
                <w:color w:val="1A15F1"/>
              </w:rPr>
              <w:t>运行状态</w:t>
            </w:r>
          </w:p>
        </w:tc>
        <w:tc>
          <w:tcPr>
            <w:tcW w:w="1326" w:type="dxa"/>
            <w:noWrap w:val="0"/>
            <w:vAlign w:val="center"/>
          </w:tcPr>
          <w:p>
            <w:pPr>
              <w:pStyle w:val="28"/>
              <w:keepNext w:val="0"/>
              <w:keepLines w:val="0"/>
              <w:suppressLineNumbers w:val="0"/>
              <w:spacing w:beforeAutospacing="0" w:afterAutospacing="0"/>
              <w:ind w:left="0" w:right="0"/>
              <w:rPr>
                <w:rFonts w:hint="default"/>
                <w:color w:val="1A15F1"/>
              </w:rPr>
            </w:pPr>
            <w:r>
              <w:rPr>
                <w:rFonts w:hint="eastAsia"/>
                <w:color w:val="1A15F1"/>
              </w:rPr>
              <w:t>设计库容</w:t>
            </w:r>
          </w:p>
          <w:p>
            <w:pPr>
              <w:pStyle w:val="28"/>
              <w:keepNext w:val="0"/>
              <w:keepLines w:val="0"/>
              <w:suppressLineNumbers w:val="0"/>
              <w:spacing w:beforeAutospacing="0" w:afterAutospacing="0"/>
              <w:ind w:left="0" w:right="0"/>
              <w:rPr>
                <w:rFonts w:hint="default"/>
                <w:color w:val="1A15F1"/>
              </w:rPr>
            </w:pPr>
            <w:r>
              <w:rPr>
                <w:rFonts w:hint="eastAsia"/>
                <w:color w:val="1A15F1"/>
              </w:rPr>
              <w:t>（万m</w:t>
            </w:r>
            <w:r>
              <w:rPr>
                <w:rFonts w:hint="eastAsia"/>
                <w:color w:val="1A15F1"/>
                <w:vertAlign w:val="superscript"/>
              </w:rPr>
              <w:t>3</w:t>
            </w:r>
            <w:r>
              <w:rPr>
                <w:rFonts w:hint="eastAsia"/>
                <w:color w:val="1A15F1"/>
              </w:rPr>
              <w:t>）</w:t>
            </w:r>
          </w:p>
        </w:tc>
        <w:tc>
          <w:tcPr>
            <w:tcW w:w="1532" w:type="dxa"/>
            <w:noWrap w:val="0"/>
            <w:vAlign w:val="center"/>
          </w:tcPr>
          <w:p>
            <w:pPr>
              <w:pStyle w:val="28"/>
              <w:keepNext w:val="0"/>
              <w:keepLines w:val="0"/>
              <w:suppressLineNumbers w:val="0"/>
              <w:spacing w:beforeAutospacing="0" w:afterAutospacing="0"/>
              <w:ind w:left="0" w:right="0"/>
              <w:rPr>
                <w:rFonts w:hint="default"/>
                <w:color w:val="1A15F1"/>
              </w:rPr>
            </w:pPr>
            <w:r>
              <w:rPr>
                <w:rFonts w:hint="eastAsia"/>
                <w:color w:val="1A15F1"/>
              </w:rPr>
              <w:t>剩余库容</w:t>
            </w:r>
          </w:p>
          <w:p>
            <w:pPr>
              <w:pStyle w:val="28"/>
              <w:keepNext w:val="0"/>
              <w:keepLines w:val="0"/>
              <w:suppressLineNumbers w:val="0"/>
              <w:spacing w:beforeAutospacing="0" w:afterAutospacing="0"/>
              <w:ind w:left="0" w:right="0"/>
              <w:rPr>
                <w:rFonts w:hint="default"/>
                <w:color w:val="1A15F1"/>
              </w:rPr>
            </w:pPr>
            <w:r>
              <w:rPr>
                <w:rFonts w:hint="eastAsia"/>
                <w:color w:val="1A15F1"/>
              </w:rPr>
              <w:t>（万m</w:t>
            </w:r>
            <w:r>
              <w:rPr>
                <w:rFonts w:hint="eastAsia"/>
                <w:color w:val="1A15F1"/>
                <w:vertAlign w:val="superscript"/>
              </w:rPr>
              <w:t>3</w:t>
            </w:r>
            <w:r>
              <w:rPr>
                <w:rFonts w:hint="eastAsia"/>
                <w:color w:val="1A15F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1</w:t>
            </w:r>
          </w:p>
        </w:tc>
        <w:tc>
          <w:tcPr>
            <w:tcW w:w="1145"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波密县</w:t>
            </w:r>
          </w:p>
        </w:tc>
        <w:tc>
          <w:tcPr>
            <w:tcW w:w="2737" w:type="dxa"/>
            <w:noWrap w:val="0"/>
            <w:vAlign w:val="center"/>
          </w:tcPr>
          <w:p>
            <w:pPr>
              <w:pStyle w:val="28"/>
              <w:keepNext w:val="0"/>
              <w:keepLines w:val="0"/>
              <w:suppressLineNumbers w:val="0"/>
              <w:spacing w:beforeAutospacing="0" w:afterAutospacing="0"/>
              <w:ind w:left="0" w:right="0"/>
              <w:rPr>
                <w:rFonts w:hint="default"/>
                <w:color w:val="1A15F1"/>
              </w:rPr>
            </w:pPr>
            <w:r>
              <w:rPr>
                <w:rFonts w:hint="eastAsia"/>
                <w:color w:val="1A15F1"/>
              </w:rPr>
              <w:t>波密县生活垃圾处理场</w:t>
            </w:r>
          </w:p>
        </w:tc>
        <w:tc>
          <w:tcPr>
            <w:tcW w:w="1138"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运行</w:t>
            </w:r>
          </w:p>
        </w:tc>
        <w:tc>
          <w:tcPr>
            <w:tcW w:w="1326"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lang w:val="en-US" w:eastAsia="zh-CN"/>
              </w:rPr>
              <w:t>21</w:t>
            </w:r>
          </w:p>
        </w:tc>
        <w:tc>
          <w:tcPr>
            <w:tcW w:w="1532" w:type="dxa"/>
            <w:noWrap w:val="0"/>
            <w:vAlign w:val="center"/>
          </w:tcPr>
          <w:p>
            <w:pPr>
              <w:pStyle w:val="28"/>
              <w:keepNext w:val="0"/>
              <w:keepLines w:val="0"/>
              <w:suppressLineNumbers w:val="0"/>
              <w:spacing w:beforeAutospacing="0" w:afterAutospacing="0"/>
              <w:ind w:left="0" w:right="0"/>
              <w:rPr>
                <w:rFonts w:hint="eastAsia" w:ascii="Times New Roman" w:hAnsi="Times New Roman" w:eastAsia="宋体" w:cs="Times New Roman"/>
                <w:color w:val="1A15F1"/>
                <w:kern w:val="2"/>
                <w:sz w:val="21"/>
                <w:szCs w:val="24"/>
                <w:lang w:val="en-US" w:eastAsia="zh-CN" w:bidi="ar-SA"/>
              </w:rPr>
            </w:pPr>
            <w:r>
              <w:rPr>
                <w:rFonts w:hint="eastAsia"/>
                <w:color w:val="1A15F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center"/>
          </w:tcPr>
          <w:p>
            <w:pPr>
              <w:pStyle w:val="28"/>
              <w:keepNext w:val="0"/>
              <w:keepLines w:val="0"/>
              <w:suppressLineNumbers w:val="0"/>
              <w:spacing w:beforeAutospacing="0" w:afterAutospacing="0"/>
              <w:ind w:left="0" w:right="0"/>
              <w:rPr>
                <w:rFonts w:hint="default"/>
                <w:color w:val="1A15F1"/>
              </w:rPr>
            </w:pPr>
            <w:r>
              <w:rPr>
                <w:rFonts w:hint="eastAsia"/>
                <w:color w:val="1A15F1"/>
              </w:rPr>
              <w:t>2</w:t>
            </w:r>
          </w:p>
        </w:tc>
        <w:tc>
          <w:tcPr>
            <w:tcW w:w="1145"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波密县</w:t>
            </w:r>
          </w:p>
        </w:tc>
        <w:tc>
          <w:tcPr>
            <w:tcW w:w="2737"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玉许乡生活垃圾填埋场</w:t>
            </w:r>
          </w:p>
        </w:tc>
        <w:tc>
          <w:tcPr>
            <w:tcW w:w="1138"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运行</w:t>
            </w:r>
          </w:p>
        </w:tc>
        <w:tc>
          <w:tcPr>
            <w:tcW w:w="1326"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1.8632</w:t>
            </w:r>
          </w:p>
        </w:tc>
        <w:tc>
          <w:tcPr>
            <w:tcW w:w="1532"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3</w:t>
            </w:r>
          </w:p>
        </w:tc>
        <w:tc>
          <w:tcPr>
            <w:tcW w:w="1145"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墨脱县</w:t>
            </w:r>
          </w:p>
        </w:tc>
        <w:tc>
          <w:tcPr>
            <w:tcW w:w="2737"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墨脱县住房和城乡建设局生活垃圾填埋场</w:t>
            </w:r>
          </w:p>
        </w:tc>
        <w:tc>
          <w:tcPr>
            <w:tcW w:w="1138"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运行</w:t>
            </w:r>
          </w:p>
        </w:tc>
        <w:tc>
          <w:tcPr>
            <w:tcW w:w="1326"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5.95</w:t>
            </w:r>
          </w:p>
        </w:tc>
        <w:tc>
          <w:tcPr>
            <w:tcW w:w="1532"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4</w:t>
            </w:r>
          </w:p>
        </w:tc>
        <w:tc>
          <w:tcPr>
            <w:tcW w:w="1145"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米林县</w:t>
            </w:r>
          </w:p>
        </w:tc>
        <w:tc>
          <w:tcPr>
            <w:tcW w:w="2737"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西藏自治区米林县县城生活垃圾卫生填埋场</w:t>
            </w:r>
          </w:p>
        </w:tc>
        <w:tc>
          <w:tcPr>
            <w:tcW w:w="1138"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运行</w:t>
            </w:r>
          </w:p>
        </w:tc>
        <w:tc>
          <w:tcPr>
            <w:tcW w:w="1326"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9.69</w:t>
            </w:r>
          </w:p>
        </w:tc>
        <w:tc>
          <w:tcPr>
            <w:tcW w:w="1532"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lang w:val="en-US" w:eastAsia="zh-CN"/>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650"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5</w:t>
            </w:r>
          </w:p>
        </w:tc>
        <w:tc>
          <w:tcPr>
            <w:tcW w:w="1145"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察隅县</w:t>
            </w:r>
          </w:p>
        </w:tc>
        <w:tc>
          <w:tcPr>
            <w:tcW w:w="2737"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察隅县县城生活垃圾填埋场</w:t>
            </w:r>
          </w:p>
        </w:tc>
        <w:tc>
          <w:tcPr>
            <w:tcW w:w="1138"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运行</w:t>
            </w:r>
          </w:p>
        </w:tc>
        <w:tc>
          <w:tcPr>
            <w:tcW w:w="1326"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6.8</w:t>
            </w:r>
          </w:p>
        </w:tc>
        <w:tc>
          <w:tcPr>
            <w:tcW w:w="1532"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6</w:t>
            </w:r>
          </w:p>
        </w:tc>
        <w:tc>
          <w:tcPr>
            <w:tcW w:w="1145"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工布江达县</w:t>
            </w:r>
          </w:p>
        </w:tc>
        <w:tc>
          <w:tcPr>
            <w:tcW w:w="2737"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工布江达县县城生活垃圾卫生填埋场</w:t>
            </w:r>
          </w:p>
        </w:tc>
        <w:tc>
          <w:tcPr>
            <w:tcW w:w="1138"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运行</w:t>
            </w:r>
          </w:p>
        </w:tc>
        <w:tc>
          <w:tcPr>
            <w:tcW w:w="1326"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9.5</w:t>
            </w:r>
            <w:r>
              <w:rPr>
                <w:rFonts w:hint="eastAsia"/>
                <w:color w:val="1A15F1"/>
                <w:lang w:val="en-US" w:eastAsia="zh-CN"/>
              </w:rPr>
              <w:t>7</w:t>
            </w:r>
          </w:p>
        </w:tc>
        <w:tc>
          <w:tcPr>
            <w:tcW w:w="1532"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lang w:val="en-US" w:eastAsia="zh-CN"/>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7</w:t>
            </w:r>
          </w:p>
        </w:tc>
        <w:tc>
          <w:tcPr>
            <w:tcW w:w="1145"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巴宜区</w:t>
            </w:r>
          </w:p>
        </w:tc>
        <w:tc>
          <w:tcPr>
            <w:tcW w:w="2737"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林芝市巴宜区生活垃圾填埋场</w:t>
            </w:r>
          </w:p>
        </w:tc>
        <w:tc>
          <w:tcPr>
            <w:tcW w:w="1138"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运行</w:t>
            </w:r>
          </w:p>
        </w:tc>
        <w:tc>
          <w:tcPr>
            <w:tcW w:w="1326"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91.2</w:t>
            </w:r>
          </w:p>
        </w:tc>
        <w:tc>
          <w:tcPr>
            <w:tcW w:w="1532"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8</w:t>
            </w:r>
          </w:p>
        </w:tc>
        <w:tc>
          <w:tcPr>
            <w:tcW w:w="1145"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工布江达县</w:t>
            </w:r>
          </w:p>
        </w:tc>
        <w:tc>
          <w:tcPr>
            <w:tcW w:w="2737"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工布江达县巴河镇垃圾填埋场</w:t>
            </w:r>
          </w:p>
        </w:tc>
        <w:tc>
          <w:tcPr>
            <w:tcW w:w="1138"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运行</w:t>
            </w:r>
          </w:p>
        </w:tc>
        <w:tc>
          <w:tcPr>
            <w:tcW w:w="1326"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1.39</w:t>
            </w:r>
          </w:p>
        </w:tc>
        <w:tc>
          <w:tcPr>
            <w:tcW w:w="1532"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9</w:t>
            </w:r>
          </w:p>
        </w:tc>
        <w:tc>
          <w:tcPr>
            <w:tcW w:w="1145"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工布江达县</w:t>
            </w:r>
          </w:p>
        </w:tc>
        <w:tc>
          <w:tcPr>
            <w:tcW w:w="2737"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工布江达县错高乡垃圾填埋场</w:t>
            </w:r>
          </w:p>
        </w:tc>
        <w:tc>
          <w:tcPr>
            <w:tcW w:w="1138"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运行</w:t>
            </w:r>
          </w:p>
        </w:tc>
        <w:tc>
          <w:tcPr>
            <w:tcW w:w="1326"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0.865</w:t>
            </w:r>
          </w:p>
        </w:tc>
        <w:tc>
          <w:tcPr>
            <w:tcW w:w="1532"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center"/>
          </w:tcPr>
          <w:p>
            <w:pPr>
              <w:pStyle w:val="28"/>
              <w:keepNext w:val="0"/>
              <w:keepLines w:val="0"/>
              <w:suppressLineNumbers w:val="0"/>
              <w:spacing w:beforeAutospacing="0" w:afterAutospacing="0"/>
              <w:ind w:left="0" w:right="0"/>
              <w:rPr>
                <w:rFonts w:hint="default"/>
                <w:color w:val="1A15F1"/>
              </w:rPr>
            </w:pPr>
            <w:r>
              <w:rPr>
                <w:rFonts w:hint="eastAsia"/>
                <w:color w:val="1A15F1"/>
              </w:rPr>
              <w:t>10</w:t>
            </w:r>
          </w:p>
        </w:tc>
        <w:tc>
          <w:tcPr>
            <w:tcW w:w="1145"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朗县</w:t>
            </w:r>
          </w:p>
        </w:tc>
        <w:tc>
          <w:tcPr>
            <w:tcW w:w="2737"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林芝市朗县生活垃圾卫生填埋场</w:t>
            </w:r>
          </w:p>
        </w:tc>
        <w:tc>
          <w:tcPr>
            <w:tcW w:w="1138" w:type="dxa"/>
            <w:noWrap w:val="0"/>
            <w:vAlign w:val="center"/>
          </w:tcPr>
          <w:p>
            <w:pPr>
              <w:pStyle w:val="28"/>
              <w:keepNext w:val="0"/>
              <w:keepLines w:val="0"/>
              <w:suppressLineNumbers w:val="0"/>
              <w:spacing w:beforeAutospacing="0" w:afterAutospacing="0"/>
              <w:ind w:left="0" w:right="0"/>
              <w:rPr>
                <w:rFonts w:hint="eastAsia"/>
                <w:color w:val="1A15F1"/>
              </w:rPr>
            </w:pPr>
            <w:r>
              <w:rPr>
                <w:rFonts w:hint="eastAsia"/>
                <w:color w:val="1A15F1"/>
              </w:rPr>
              <w:t>运行</w:t>
            </w:r>
          </w:p>
        </w:tc>
        <w:tc>
          <w:tcPr>
            <w:tcW w:w="1326"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6.67</w:t>
            </w:r>
          </w:p>
        </w:tc>
        <w:tc>
          <w:tcPr>
            <w:tcW w:w="1532" w:type="dxa"/>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lang w:val="en-US" w:eastAsia="zh-CN"/>
              </w:rPr>
              <w:t>4.9</w:t>
            </w:r>
          </w:p>
        </w:tc>
      </w:tr>
    </w:tbl>
    <w:p>
      <w:pPr>
        <w:pStyle w:val="6"/>
        <w:ind w:firstLine="482"/>
        <w:rPr>
          <w:rFonts w:hint="eastAsia"/>
          <w:b/>
          <w:bCs/>
          <w:lang w:val="en-US" w:eastAsia="zh-CN"/>
        </w:rPr>
      </w:pPr>
    </w:p>
    <w:p>
      <w:pPr>
        <w:pStyle w:val="6"/>
        <w:ind w:firstLine="482"/>
        <w:rPr>
          <w:b/>
          <w:bCs/>
        </w:rPr>
      </w:pPr>
      <w:r>
        <w:rPr>
          <w:rFonts w:hint="eastAsia"/>
          <w:b/>
          <w:bCs/>
          <w:lang w:val="en-US" w:eastAsia="zh-CN"/>
        </w:rPr>
        <w:t>3、</w:t>
      </w:r>
      <w:r>
        <w:rPr>
          <w:rFonts w:hint="eastAsia"/>
          <w:b/>
          <w:bCs/>
        </w:rPr>
        <w:t>固废影响分析</w:t>
      </w:r>
    </w:p>
    <w:p>
      <w:pPr>
        <w:pStyle w:val="6"/>
        <w:ind w:firstLine="480"/>
        <w:rPr>
          <w:rFonts w:hint="eastAsia"/>
        </w:rPr>
      </w:pPr>
      <w:r>
        <w:rPr>
          <w:rFonts w:hint="eastAsia"/>
        </w:rPr>
        <w:t>（1）生活垃圾处置</w:t>
      </w:r>
    </w:p>
    <w:p>
      <w:pPr>
        <w:pStyle w:val="6"/>
        <w:ind w:firstLine="480"/>
        <w:rPr>
          <w:rFonts w:hint="eastAsia"/>
        </w:rPr>
      </w:pPr>
      <w:r>
        <w:rPr>
          <w:rFonts w:hint="eastAsia"/>
        </w:rPr>
        <w:t>规划</w:t>
      </w:r>
      <w:r>
        <w:rPr>
          <w:rFonts w:hint="eastAsia"/>
          <w:lang w:val="en-US" w:eastAsia="zh-CN"/>
        </w:rPr>
        <w:t>范围内各景区</w:t>
      </w:r>
      <w:r>
        <w:rPr>
          <w:rFonts w:hint="eastAsia"/>
        </w:rPr>
        <w:t>设置与其容纳规模相符的垃圾收集、分类、装运的设施，并与属地生活垃圾集中无害化处理单位做好衔接，对产生的垃圾进行分类，并及时清运。做好对游客的宣传教育，不乱扔垃圾，对垃圾进行分类投放。对景区内产生的生活垃圾无害化处理率应为100%；垃圾分类的有效开展将提高生活垃圾的减量化、资源化和无害化水平，降低生活垃圾对周围环境的影响。</w:t>
      </w:r>
    </w:p>
    <w:p>
      <w:pPr>
        <w:pStyle w:val="6"/>
        <w:ind w:firstLine="480"/>
        <w:rPr>
          <w:rFonts w:hint="eastAsia"/>
          <w:color w:val="00B050"/>
        </w:rPr>
      </w:pPr>
      <w:r>
        <w:rPr>
          <w:rFonts w:hint="eastAsia"/>
          <w:color w:val="00B050"/>
          <w:lang w:val="en-US" w:eastAsia="zh-CN"/>
        </w:rPr>
        <w:t>考虑到本次规划范围面积较大，各景区、旅游资源相对分散，使得生活垃圾</w:t>
      </w:r>
      <w:r>
        <w:rPr>
          <w:rFonts w:hint="eastAsia"/>
          <w:color w:val="00B050"/>
        </w:rPr>
        <w:t>，转运难度较大，转运成本</w:t>
      </w:r>
      <w:r>
        <w:rPr>
          <w:rFonts w:hint="eastAsia"/>
          <w:color w:val="00B050"/>
          <w:lang w:val="en-US" w:eastAsia="zh-CN"/>
        </w:rPr>
        <w:t>增加。环评提出生活垃圾处置</w:t>
      </w:r>
      <w:r>
        <w:rPr>
          <w:rFonts w:hint="eastAsia"/>
          <w:color w:val="00B050"/>
        </w:rPr>
        <w:t>措施如下：</w:t>
      </w:r>
    </w:p>
    <w:p>
      <w:pPr>
        <w:pStyle w:val="6"/>
        <w:numPr>
          <w:ilvl w:val="0"/>
          <w:numId w:val="11"/>
        </w:numPr>
        <w:ind w:firstLine="480"/>
        <w:rPr>
          <w:rFonts w:hint="eastAsia"/>
          <w:color w:val="00B050"/>
        </w:rPr>
      </w:pPr>
      <w:r>
        <w:rPr>
          <w:rFonts w:hint="eastAsia"/>
          <w:color w:val="00B050"/>
        </w:rPr>
        <w:t>健全规划区</w:t>
      </w:r>
      <w:r>
        <w:rPr>
          <w:rFonts w:hint="eastAsia"/>
          <w:color w:val="00B050"/>
          <w:lang w:val="en-US" w:eastAsia="zh-CN"/>
        </w:rPr>
        <w:t>内各景区及旅游资源内</w:t>
      </w:r>
      <w:r>
        <w:rPr>
          <w:rFonts w:hint="eastAsia"/>
          <w:color w:val="00B050"/>
        </w:rPr>
        <w:t>固体废弃物分级分类回收系统，设立与环境相协调的环保分类垃圾箱，日产日清；优化垃圾收集系统，确保在服务区与游览区路程较长地方有垃圾收集点；</w:t>
      </w:r>
      <w:r>
        <w:rPr>
          <w:rFonts w:hint="eastAsia"/>
          <w:color w:val="00B050"/>
          <w:lang w:eastAsia="zh-CN"/>
        </w:rPr>
        <w:t>各乡镇生活垃圾统一收集，运送至</w:t>
      </w:r>
      <w:r>
        <w:rPr>
          <w:rFonts w:hint="eastAsia"/>
          <w:color w:val="00B050"/>
          <w:lang w:val="en-US" w:eastAsia="zh-CN"/>
        </w:rPr>
        <w:t>区县</w:t>
      </w:r>
      <w:r>
        <w:rPr>
          <w:rFonts w:hint="eastAsia"/>
          <w:color w:val="00B050"/>
          <w:lang w:eastAsia="zh-CN"/>
        </w:rPr>
        <w:t>生活垃圾填埋场处理</w:t>
      </w:r>
      <w:r>
        <w:rPr>
          <w:rFonts w:hint="eastAsia"/>
          <w:color w:val="00B050"/>
          <w:lang w:val="en-US" w:eastAsia="zh-CN"/>
        </w:rPr>
        <w:t>。</w:t>
      </w:r>
    </w:p>
    <w:p>
      <w:pPr>
        <w:pStyle w:val="6"/>
        <w:ind w:firstLine="480"/>
        <w:rPr>
          <w:rFonts w:hint="eastAsia"/>
          <w:color w:val="00B050"/>
        </w:rPr>
      </w:pPr>
      <w:r>
        <w:rPr>
          <w:rFonts w:hint="eastAsia"/>
          <w:color w:val="00B050"/>
        </w:rPr>
        <w:t xml:space="preserve">2）加强对垃圾收集-转运-处理的科学管理，针对垃圾收运人员制定相应的工作规定，并建立固废收运监督、检查机制，确保垃圾得到及时清运和处理。 </w:t>
      </w:r>
    </w:p>
    <w:p>
      <w:pPr>
        <w:pStyle w:val="6"/>
        <w:ind w:firstLine="480"/>
        <w:rPr>
          <w:rFonts w:hint="eastAsia"/>
          <w:color w:val="00B050"/>
        </w:rPr>
      </w:pPr>
      <w:r>
        <w:rPr>
          <w:rFonts w:hint="eastAsia"/>
          <w:color w:val="00B050"/>
        </w:rPr>
        <w:t>4）根据固废产生量，适当增加垃圾箱和垃圾池，制定严格的定期清运机制，实行环境卫生监督机制。</w:t>
      </w:r>
    </w:p>
    <w:p>
      <w:pPr>
        <w:pStyle w:val="6"/>
        <w:ind w:firstLine="480"/>
        <w:rPr>
          <w:rFonts w:hint="eastAsia"/>
        </w:rPr>
      </w:pPr>
      <w:r>
        <w:rPr>
          <w:rFonts w:hint="eastAsia"/>
        </w:rPr>
        <w:t>（2）餐饮垃圾</w:t>
      </w:r>
    </w:p>
    <w:p>
      <w:pPr>
        <w:pStyle w:val="6"/>
        <w:ind w:firstLine="480"/>
        <w:rPr>
          <w:rFonts w:hint="eastAsia"/>
        </w:rPr>
      </w:pPr>
      <w:r>
        <w:rPr>
          <w:rFonts w:hint="eastAsia"/>
        </w:rPr>
        <w:t>规划区内涉及酒店、餐馆等区域产生的餐饮垃圾应进行严格监管，禁止随意排放，应完善环保设施和设备，加强对垃圾的收集和管理，定期由市政部门专用车辆分类转运，送至相关处理机构进行处理。</w:t>
      </w:r>
    </w:p>
    <w:p>
      <w:pPr>
        <w:pStyle w:val="6"/>
        <w:ind w:firstLine="480"/>
        <w:rPr>
          <w:rFonts w:hint="eastAsia"/>
        </w:rPr>
      </w:pPr>
      <w:r>
        <w:rPr>
          <w:rFonts w:hint="eastAsia"/>
          <w:lang w:eastAsia="zh-CN"/>
        </w:rPr>
        <w:t>（</w:t>
      </w:r>
      <w:r>
        <w:rPr>
          <w:rFonts w:hint="eastAsia"/>
          <w:lang w:val="en-US" w:eastAsia="zh-CN"/>
        </w:rPr>
        <w:t>3</w:t>
      </w:r>
      <w:r>
        <w:rPr>
          <w:rFonts w:hint="eastAsia"/>
          <w:lang w:eastAsia="zh-CN"/>
        </w:rPr>
        <w:t>）</w:t>
      </w:r>
      <w:r>
        <w:rPr>
          <w:rFonts w:hint="eastAsia"/>
        </w:rPr>
        <w:t>危险废物</w:t>
      </w:r>
    </w:p>
    <w:p>
      <w:pPr>
        <w:pStyle w:val="6"/>
        <w:ind w:firstLine="480"/>
        <w:rPr>
          <w:rFonts w:hint="eastAsia"/>
        </w:rPr>
      </w:pPr>
      <w:r>
        <w:rPr>
          <w:rFonts w:hint="eastAsia"/>
        </w:rPr>
        <w:t>规划区内</w:t>
      </w:r>
      <w:r>
        <w:rPr>
          <w:rFonts w:hint="eastAsia"/>
          <w:lang w:val="en-US" w:eastAsia="zh-CN"/>
        </w:rPr>
        <w:t>各景区</w:t>
      </w:r>
      <w:r>
        <w:rPr>
          <w:rFonts w:hint="eastAsia"/>
        </w:rPr>
        <w:t>产生的危险废物主要包括</w:t>
      </w:r>
      <w:r>
        <w:rPr>
          <w:rFonts w:hint="eastAsia"/>
          <w:lang w:val="en-US" w:eastAsia="zh-CN"/>
        </w:rPr>
        <w:t>清洁能源车辆更换的</w:t>
      </w:r>
      <w:r>
        <w:rPr>
          <w:rFonts w:hint="eastAsia"/>
        </w:rPr>
        <w:t>废蓄电池、日用电池、荧光管、电子元件等，各产生危废的企业须配备危废暂存间，定期交由有危险废物处理处置资质的单位进行回收处理处置。</w:t>
      </w:r>
    </w:p>
    <w:p>
      <w:pPr>
        <w:pStyle w:val="6"/>
        <w:ind w:firstLine="480"/>
        <w:rPr>
          <w:rFonts w:hint="eastAsia"/>
        </w:rPr>
      </w:pPr>
      <w:r>
        <w:rPr>
          <w:rFonts w:hint="eastAsia"/>
        </w:rPr>
        <w:t>在采取了上述处理措施后，本规划的项目运营期固废对周边环境影响不大。</w:t>
      </w:r>
    </w:p>
    <w:p>
      <w:pPr>
        <w:pStyle w:val="5"/>
        <w:bidi w:val="0"/>
      </w:pPr>
      <w:bookmarkStart w:id="139" w:name="_Toc93156005"/>
      <w:bookmarkStart w:id="140" w:name="_Toc3549"/>
      <w:bookmarkStart w:id="141" w:name="_Toc10091"/>
      <w:r>
        <w:t>5.2.</w:t>
      </w:r>
      <w:bookmarkEnd w:id="139"/>
      <w:r>
        <w:rPr>
          <w:rFonts w:hint="eastAsia"/>
          <w:lang w:val="en-US" w:eastAsia="zh-CN"/>
        </w:rPr>
        <w:t>2</w:t>
      </w:r>
      <w:r>
        <w:rPr>
          <w:rFonts w:hint="eastAsia"/>
        </w:rPr>
        <w:t>地下水环境影响预测与评价</w:t>
      </w:r>
      <w:bookmarkEnd w:id="140"/>
      <w:bookmarkEnd w:id="141"/>
      <w:r>
        <w:t xml:space="preserve"> </w:t>
      </w:r>
    </w:p>
    <w:p>
      <w:pPr>
        <w:pStyle w:val="6"/>
        <w:ind w:firstLine="480"/>
        <w:rPr>
          <w:rFonts w:hint="eastAsia"/>
        </w:rPr>
      </w:pPr>
      <w:r>
        <w:rPr>
          <w:rFonts w:hint="eastAsia"/>
        </w:rPr>
        <w:t>规划区规划实施过程中对地下水的影响方式主要是规划区内化粪池、餐饮场所废水隔油池以及污水收集管线沿途下渗。</w:t>
      </w:r>
      <w:r>
        <w:rPr>
          <w:rFonts w:hint="eastAsia"/>
          <w:lang w:val="en-US" w:eastAsia="zh-CN"/>
        </w:rPr>
        <w:t>规划建设</w:t>
      </w:r>
      <w:r>
        <w:rPr>
          <w:rFonts w:hint="eastAsia"/>
        </w:rPr>
        <w:t>项目在建设及运营阶段，应充分做好化粪池、餐饮场所废水隔油池以及污水收集管线，杜绝污水渗漏。严格用水管理，防止污水“跑、冒、滴、漏”现象的发生，保证生活污水排入市政污水管网，消除对附近地下水环境的影响。</w:t>
      </w:r>
    </w:p>
    <w:p>
      <w:pPr>
        <w:pStyle w:val="6"/>
        <w:ind w:firstLine="480"/>
        <w:rPr>
          <w:rFonts w:hint="eastAsia"/>
        </w:rPr>
      </w:pPr>
      <w:r>
        <w:rPr>
          <w:rFonts w:hint="eastAsia"/>
        </w:rPr>
        <w:t>规划区内固体废物如不及时收集转运，也可导致地下水水质污染。在规划实施过程中，需要采取严格的防治措施（袋装收集、密闭容器存放、及时清运及在垃圾临时堆放处做好防雨和防渗处理等），以避免固废渗滤液污染地下水，确保不会产生新的污染。如此，则对地下水环境影响较小。</w:t>
      </w:r>
    </w:p>
    <w:p>
      <w:pPr>
        <w:pStyle w:val="6"/>
        <w:ind w:firstLine="480"/>
        <w:rPr>
          <w:rFonts w:hint="eastAsia"/>
        </w:rPr>
      </w:pPr>
      <w:r>
        <w:rPr>
          <w:rFonts w:hint="eastAsia"/>
        </w:rPr>
        <w:t>此外，工程建设施工活动产生的建筑垃圾的随意堆放可能导致地下水污染。随着规划</w:t>
      </w:r>
      <w:r>
        <w:rPr>
          <w:rFonts w:hint="eastAsia"/>
          <w:lang w:val="en-US" w:eastAsia="zh-CN"/>
        </w:rPr>
        <w:t>区域</w:t>
      </w:r>
      <w:r>
        <w:rPr>
          <w:rFonts w:hint="eastAsia"/>
        </w:rPr>
        <w:t>的开发建设，大量工程施工钻孔，若止水不严，势必成为上部潜水和下部承压水的联系通道，潜水同承压水通过垂直越流形式将可能发生相互污染等。因此，规划区块在开发建设施工过程中，应做好建筑、施工垃圾临时堆场等地面硬化防渗工作，同时做好水土保持工作，则对地下水环境影响较小。</w:t>
      </w:r>
    </w:p>
    <w:p>
      <w:pPr>
        <w:pStyle w:val="6"/>
        <w:ind w:firstLine="480"/>
        <w:rPr>
          <w:rFonts w:hint="eastAsia"/>
        </w:rPr>
      </w:pPr>
      <w:r>
        <w:rPr>
          <w:rFonts w:hint="eastAsia"/>
        </w:rPr>
        <w:t>综上分析，在落实好防渗、防污措施后，规划区所产生的生活污水和固体废物能得到有效处理，对地下水水质影响较小，规划区的规划建设不会产生其他环</w:t>
      </w:r>
      <w:r>
        <w:rPr>
          <w:rFonts w:ascii="宋体" w:hAnsi="宋体" w:eastAsia="宋体" w:cs="宋体"/>
          <w:b w:val="0"/>
          <w:bCs w:val="0"/>
          <w:i w:val="0"/>
          <w:iCs w:val="0"/>
          <w:color w:val="000000"/>
          <w:sz w:val="24"/>
          <w:szCs w:val="24"/>
        </w:rPr>
        <w:t>境地质问题，对地下水环境质量影响较小。</w:t>
      </w:r>
      <w:r>
        <w:rPr>
          <w:rFonts w:ascii="宋体" w:hAnsi="宋体" w:eastAsia="宋体" w:cs="宋体"/>
          <w:sz w:val="24"/>
          <w:szCs w:val="24"/>
        </w:rPr>
        <w:t xml:space="preserve"> </w:t>
      </w:r>
    </w:p>
    <w:p>
      <w:pPr>
        <w:pStyle w:val="6"/>
        <w:ind w:firstLine="480"/>
      </w:pPr>
      <w:r>
        <w:t>针对以上污染，环评要求：</w:t>
      </w:r>
    </w:p>
    <w:p>
      <w:pPr>
        <w:pStyle w:val="6"/>
        <w:ind w:firstLine="480"/>
      </w:pPr>
      <w:r>
        <w:t>（1）对施工企业严加管理，将沟渠开挖的土方尽快归位，严禁雨季，特别是大雨 天施工，以杜绝施工机械的石油类和悬浮物进入地下水体污染地下水。</w:t>
      </w:r>
    </w:p>
    <w:p>
      <w:pPr>
        <w:pStyle w:val="6"/>
        <w:ind w:firstLine="480"/>
      </w:pPr>
      <w:r>
        <w:t xml:space="preserve">（2）施工期新建的旱厕、沉淀、隔油、除渣等污水处理设施应远离规划区内的两 个饮用水水源地保护区，同时应做好防渗处理。 </w:t>
      </w:r>
      <w:r>
        <w:rPr>
          <w:rFonts w:hint="eastAsia"/>
        </w:rPr>
        <w:t xml:space="preserve"> </w:t>
      </w:r>
    </w:p>
    <w:p>
      <w:pPr>
        <w:pStyle w:val="6"/>
        <w:ind w:firstLine="480"/>
      </w:pPr>
      <w:r>
        <w:t>（3）规划区内实施</w:t>
      </w:r>
      <w:r>
        <w:rPr>
          <w:rFonts w:hint="eastAsia"/>
        </w:rPr>
        <w:t>“</w:t>
      </w:r>
      <w:r>
        <w:t>清污分流、雨污分流</w:t>
      </w:r>
      <w:r>
        <w:rPr>
          <w:rFonts w:hint="eastAsia"/>
        </w:rPr>
        <w:t>”</w:t>
      </w:r>
      <w:r>
        <w:t xml:space="preserve">。 </w:t>
      </w:r>
    </w:p>
    <w:p>
      <w:pPr>
        <w:pStyle w:val="6"/>
        <w:ind w:firstLine="480"/>
      </w:pPr>
      <w:r>
        <w:t>（4）规划区内的污水预处理设施（如隔油池，化粪池等）及污水管网进行防渗处理，以避免污水预处理设施内的污水进入地下水体污染地下水。</w:t>
      </w:r>
    </w:p>
    <w:p>
      <w:pPr>
        <w:pStyle w:val="6"/>
        <w:ind w:firstLine="480"/>
      </w:pPr>
      <w:r>
        <w:t>（5）规划区内农林用地及绿化带尽量选用低毒农药和缓释肥，不使用化学合成的农药、化肥、生长调节剂、饲料添加剂等物质，推广测土配方施肥技术，鼓励发展有 机农业。避免对地下水的影响。</w:t>
      </w:r>
    </w:p>
    <w:p>
      <w:pPr>
        <w:pStyle w:val="6"/>
        <w:ind w:firstLine="480"/>
      </w:pPr>
      <w:r>
        <w:t xml:space="preserve">（6）规划区内禁止建设集约化的畜禽养殖场，加快规划区污水管网建设，将规划 区内的生活污水全部进行收集，杜绝污水随意排放。生活垃圾收集点地面做好防渗措 施，渗滤液收集至市政污水管网。 </w:t>
      </w:r>
    </w:p>
    <w:p>
      <w:pPr>
        <w:pStyle w:val="6"/>
        <w:ind w:firstLine="480"/>
      </w:pPr>
      <w:r>
        <w:t>（7）规划实施过程中进行分区防控措施，对于重点防渗区参照《环境影响评价技术导则-地下水环境》（HJ610-2016）中重点防渗区的防渗要求进行防渗设计，防渗层的 防渗性能应等效于厚度≥6m，渗透系数≤1.0×10</w:t>
      </w:r>
      <w:r>
        <w:rPr>
          <w:vertAlign w:val="superscript"/>
        </w:rPr>
        <w:t>-7</w:t>
      </w:r>
      <w:r>
        <w:t xml:space="preserve"> cm/s 的黏土层的防渗性能。一般防渗 区参照《环境影响评价技术导则-地下水环境》（HJ610-2016）中一般防渗区的防渗要求进行防渗设计，防渗层的防渗性能应等效于厚度≥1.5m，渗透系数≤1.0×10</w:t>
      </w:r>
      <w:r>
        <w:rPr>
          <w:vertAlign w:val="superscript"/>
        </w:rPr>
        <w:t xml:space="preserve">-7 </w:t>
      </w:r>
      <w:r>
        <w:t xml:space="preserve">cm/s 的黏 土层的防渗性能。 </w:t>
      </w:r>
    </w:p>
    <w:p>
      <w:pPr>
        <w:pStyle w:val="6"/>
        <w:ind w:firstLine="480"/>
      </w:pPr>
      <w:r>
        <w:t>（8）建立运营期地下水污染控制计划，对规划范围内重点旅游开发区域进行跟踪监测，及时掌握地下水水质情况，以便及时发现问题，采取措施，防止地下水受到污染。综上所述，规划做好合理布局，在施工及营运过程中加强管理，并配备必要的设施，污水处理设施进行防渗处理，则可以将规划的实施对地下水的影响减小到最小程度。</w:t>
      </w:r>
    </w:p>
    <w:p>
      <w:pPr>
        <w:pStyle w:val="5"/>
        <w:rPr>
          <w:rFonts w:hint="eastAsia"/>
          <w:color w:val="2A26F7"/>
        </w:rPr>
      </w:pPr>
      <w:bookmarkStart w:id="142" w:name="_Toc21055"/>
      <w:bookmarkStart w:id="143" w:name="_Toc28087"/>
      <w:r>
        <w:rPr>
          <w:rFonts w:hint="eastAsia"/>
          <w:color w:val="2A26F7"/>
        </w:rPr>
        <w:t>5.2.</w:t>
      </w:r>
      <w:r>
        <w:rPr>
          <w:rFonts w:hint="eastAsia"/>
          <w:color w:val="2A26F7"/>
          <w:lang w:val="en-US" w:eastAsia="zh-CN"/>
        </w:rPr>
        <w:t>3</w:t>
      </w:r>
      <w:r>
        <w:rPr>
          <w:rFonts w:hint="eastAsia"/>
          <w:color w:val="2A26F7"/>
        </w:rPr>
        <w:t>生态环境影响分析</w:t>
      </w:r>
      <w:bookmarkEnd w:id="142"/>
      <w:bookmarkEnd w:id="143"/>
    </w:p>
    <w:p>
      <w:pPr>
        <w:pStyle w:val="6"/>
        <w:ind w:firstLine="480"/>
        <w:rPr>
          <w:rFonts w:hint="eastAsia"/>
          <w:color w:val="2A26F7"/>
        </w:rPr>
      </w:pPr>
      <w:r>
        <w:rPr>
          <w:rFonts w:hint="eastAsia"/>
          <w:color w:val="2A26F7"/>
        </w:rPr>
        <w:t>原生态是生态文化旅游的资本，发展旅游不能牺牲生态环境，不能搞过度商业化开发，不能搞影响生态环境的建筑。既要发展旅游，用原生态吸引游客，又要保护原生态，不能因为发展旅游而使其受到破坏。</w:t>
      </w:r>
    </w:p>
    <w:p>
      <w:pPr>
        <w:pStyle w:val="2"/>
        <w:rPr>
          <w:color w:val="2A26F7"/>
        </w:rPr>
      </w:pPr>
      <w:r>
        <w:rPr>
          <w:rFonts w:hint="eastAsia"/>
          <w:color w:val="2A26F7"/>
        </w:rPr>
        <w:t>5.2.</w:t>
      </w:r>
      <w:r>
        <w:rPr>
          <w:rFonts w:hint="eastAsia"/>
          <w:color w:val="2A26F7"/>
          <w:lang w:val="en-US" w:eastAsia="zh-CN"/>
        </w:rPr>
        <w:t>3</w:t>
      </w:r>
      <w:r>
        <w:rPr>
          <w:rFonts w:hint="eastAsia"/>
          <w:color w:val="2A26F7"/>
        </w:rPr>
        <w:t>.1对土地利用的影响分析</w:t>
      </w:r>
    </w:p>
    <w:p>
      <w:pPr>
        <w:pStyle w:val="6"/>
        <w:ind w:firstLine="480"/>
        <w:rPr>
          <w:rFonts w:hint="eastAsia"/>
          <w:color w:val="2A26F7"/>
        </w:rPr>
      </w:pPr>
      <w:r>
        <w:rPr>
          <w:rFonts w:hint="eastAsia"/>
          <w:color w:val="2A26F7"/>
        </w:rPr>
        <w:t>随着规划实施，在规划区内部将开展一系列旅游设施建设会占用土地，目前占地范围及类型尚未统计出来，占地对将会造成林芝市市耕地、林地等一定程度减少，但相对整个林芝市总面积（114215km</w:t>
      </w:r>
      <w:r>
        <w:rPr>
          <w:rFonts w:hint="eastAsia"/>
          <w:color w:val="2A26F7"/>
          <w:vertAlign w:val="superscript"/>
        </w:rPr>
        <w:t>2</w:t>
      </w:r>
      <w:r>
        <w:rPr>
          <w:rFonts w:hint="eastAsia"/>
          <w:color w:val="2A26F7"/>
        </w:rPr>
        <w:t>），占地较少，不会对全市土地造成根本性、制约性的影响。</w:t>
      </w:r>
    </w:p>
    <w:p>
      <w:pPr>
        <w:pStyle w:val="6"/>
        <w:ind w:firstLine="480"/>
        <w:rPr>
          <w:color w:val="2A26F7"/>
        </w:rPr>
      </w:pPr>
      <w:r>
        <w:rPr>
          <w:color w:val="2A26F7"/>
        </w:rPr>
        <w:t>规划区建成后占用土地的使用功能发生变化，开发成为较高经济效益、社会效益、生态保护效益的旅游区，使土地功能多样化，提高了土地产出，占用土地的潜能价值得到开发；旅游业的发展带动当地经济的发展；但是随着旅游区开发的不断深入，规划区内的人工设施面积将不断增加，与自然景观协调等方面也会出现矛盾，体现在土地利用上，就会出现自然植被用地、农林用地与建设用地的矛盾，使得土地开发建设模式受到限制。因此，旅游开发建设中必须贯彻“保护中开发，开发促保护”的科学发展观，以不破坏规划区生态环境为前提，合理进行土地利用，人工景观力求达到协调一致。</w:t>
      </w:r>
    </w:p>
    <w:p>
      <w:pPr>
        <w:pStyle w:val="6"/>
        <w:ind w:firstLine="480"/>
        <w:rPr>
          <w:color w:val="2A26F7"/>
        </w:rPr>
      </w:pPr>
      <w:r>
        <w:rPr>
          <w:color w:val="2A26F7"/>
        </w:rPr>
        <w:t>总体而言，旅游区建设对土地资源存在一定的影响，建设方必须按照国家的有关规定办理土地及林地的使用手续，按规定缴纳森林植被恢复费、林地林木补偿费及安 置补助费等费用，将不利影响降至最低。</w:t>
      </w:r>
    </w:p>
    <w:p>
      <w:pPr>
        <w:pStyle w:val="2"/>
      </w:pPr>
      <w:r>
        <w:rPr>
          <w:rFonts w:hint="eastAsia"/>
        </w:rPr>
        <w:t>5.2.</w:t>
      </w:r>
      <w:r>
        <w:rPr>
          <w:rFonts w:hint="eastAsia"/>
          <w:lang w:val="en-US" w:eastAsia="zh-CN"/>
        </w:rPr>
        <w:t>3</w:t>
      </w:r>
      <w:r>
        <w:rPr>
          <w:rFonts w:hint="eastAsia"/>
        </w:rPr>
        <w:t>.2对植物的影响分析</w:t>
      </w:r>
    </w:p>
    <w:p>
      <w:pPr>
        <w:pStyle w:val="6"/>
        <w:numPr>
          <w:ilvl w:val="0"/>
          <w:numId w:val="12"/>
        </w:numPr>
        <w:ind w:firstLine="482"/>
        <w:rPr>
          <w:b/>
          <w:bCs/>
        </w:rPr>
      </w:pPr>
      <w:r>
        <w:rPr>
          <w:b/>
          <w:bCs/>
        </w:rPr>
        <w:t>对植被的影响</w:t>
      </w:r>
    </w:p>
    <w:p>
      <w:pPr>
        <w:pStyle w:val="6"/>
        <w:ind w:firstLine="482"/>
        <w:rPr>
          <w:rFonts w:hint="eastAsia"/>
          <w:b/>
          <w:bCs/>
        </w:rPr>
      </w:pPr>
      <w:r>
        <w:rPr>
          <w:rFonts w:hint="eastAsia"/>
          <w:b/>
          <w:bCs/>
        </w:rPr>
        <w:t>（1）规划建设导致自然植被损失</w:t>
      </w:r>
    </w:p>
    <w:p>
      <w:pPr>
        <w:pStyle w:val="6"/>
        <w:ind w:firstLine="480"/>
      </w:pPr>
      <w:r>
        <w:t xml:space="preserve">规划项目建设期间对植被的影响主要是公共服务设施和市政基础设施建设对植被的破坏和扰动影响，包括植被永久性损失、可恢复性损失和植被扰动三类。房建基础、管网铺设、道路工程、防护及排水工程等工程占地对植被造成永久性破坏；施工营地、施工便道、堆土场、拌和站等工程临时占地也将造成植被损失；另外，由于施工及人为活动，也可能对作业区边界外围区域植被扰动影响，扰动范围为施工区边界外围5m左右。道路施工的建设对植被的影响范围和程度较大。但规划区建设永久性破坏、临 时性破坏和扰动植被面积较小，而且破坏植被为常见物种，可以通过移栽或补种进行 植被恢复，在规划设计时应注意以下几点： </w:t>
      </w:r>
    </w:p>
    <w:p>
      <w:pPr>
        <w:pStyle w:val="6"/>
        <w:ind w:firstLine="480"/>
      </w:pPr>
      <w:r>
        <w:rPr>
          <w:rFonts w:hint="eastAsia"/>
        </w:rPr>
        <w:t>1）</w:t>
      </w:r>
      <w:r>
        <w:t xml:space="preserve">尽量选择无植被或植被稀疏地带进行建设，尽量保持现有的植被，通过移栽或补种进行植被恢复。 </w:t>
      </w:r>
    </w:p>
    <w:p>
      <w:pPr>
        <w:pStyle w:val="6"/>
        <w:ind w:firstLine="480"/>
      </w:pPr>
      <w:r>
        <w:rPr>
          <w:rFonts w:hint="eastAsia"/>
        </w:rPr>
        <w:t>2）</w:t>
      </w:r>
      <w:r>
        <w:t>加强配套的环境绿化，维护和提高生物多样，美化和改善当地生态环境。</w:t>
      </w:r>
    </w:p>
    <w:p>
      <w:pPr>
        <w:pStyle w:val="6"/>
        <w:ind w:firstLine="480"/>
      </w:pPr>
      <w:r>
        <w:rPr>
          <w:rFonts w:hint="eastAsia"/>
        </w:rPr>
        <w:t>3）</w:t>
      </w:r>
      <w:r>
        <w:t>加强施工管理和监督，严格控制施工对植被的破坏。</w:t>
      </w:r>
    </w:p>
    <w:p>
      <w:pPr>
        <w:pStyle w:val="6"/>
        <w:ind w:firstLine="482"/>
        <w:rPr>
          <w:rFonts w:hint="eastAsia"/>
          <w:b/>
          <w:bCs/>
        </w:rPr>
      </w:pPr>
      <w:r>
        <w:rPr>
          <w:rFonts w:hint="eastAsia"/>
          <w:b/>
          <w:bCs/>
        </w:rPr>
        <w:t>（2）游客践踏对植被造成破坏</w:t>
      </w:r>
    </w:p>
    <w:p>
      <w:pPr>
        <w:pStyle w:val="6"/>
        <w:ind w:firstLine="480"/>
        <w:rPr>
          <w:rFonts w:hint="eastAsia"/>
        </w:rPr>
      </w:pPr>
      <w:r>
        <w:rPr>
          <w:rFonts w:hint="eastAsia"/>
        </w:rPr>
        <w:t>另外，在旅游项目营运期，旅游活动对植被的影响主要是游客游览过程中对植被的践踏，导致植被不同程度的破坏，因此，运营期应加强游客数量控制、对游客的生态教育和游客行为管理，减小对自然植被的破坏。加强对区内古树名木及珍稀濒危植物的保护。旅游者不慎或管理不善可能导致的森林火灾，致使植被覆盖率下降；任意砍伐树、竹作木屋、竹屋和烧柴等，毁坏幼木，改变森林树龄结构；大量垃圾堆积，导致土壤营养状态改变，还会造成空气和光线堵塞致使生态系统受到破坏等。</w:t>
      </w:r>
    </w:p>
    <w:p>
      <w:pPr>
        <w:pStyle w:val="6"/>
        <w:ind w:firstLine="480"/>
        <w:rPr>
          <w:rFonts w:hint="eastAsia"/>
        </w:rPr>
      </w:pPr>
      <w:r>
        <w:rPr>
          <w:rFonts w:hint="eastAsia"/>
        </w:rPr>
        <w:t>（3）外来物种入侵</w:t>
      </w:r>
    </w:p>
    <w:p>
      <w:pPr>
        <w:pStyle w:val="6"/>
        <w:ind w:firstLine="480"/>
      </w:pPr>
      <w:r>
        <w:rPr>
          <w:rFonts w:hint="eastAsia"/>
        </w:rPr>
        <w:t>规划实施过程中，公路边坡防护、人工植草、引进观赏植物和花卉等都可能给区域带来了新的侵入种，这种“生物污染”破坏了当地的生态平衡，许多特有的和濒临灭绝的原生物种面临取而代之的危险。</w:t>
      </w:r>
    </w:p>
    <w:p>
      <w:pPr>
        <w:pStyle w:val="6"/>
        <w:ind w:firstLine="480"/>
      </w:pPr>
      <w:r>
        <w:t xml:space="preserve">总来的说，规划的建设工程不会产生大量的植被砍伐，且会建设景观绿地，对现有植物群落类型的破坏较小。规划建成以后，旅游活动对植被的影响主要是游客游览过程中对植被的践踏，导致植被不同程度的破坏，因此，运营期应加强游客数量控制、对游客的生态教育和游客行为管理，减小对自然植被的破坏，由于自然植被较少，植物结构单一，只要运营期加强旅游管理，对物种多样性基本无影响。 </w:t>
      </w:r>
    </w:p>
    <w:p>
      <w:pPr>
        <w:pStyle w:val="6"/>
        <w:ind w:firstLine="482"/>
        <w:rPr>
          <w:b/>
          <w:bCs/>
        </w:rPr>
      </w:pPr>
      <w:r>
        <w:rPr>
          <w:rFonts w:hint="eastAsia"/>
          <w:b/>
          <w:bCs/>
        </w:rPr>
        <w:t>2、</w:t>
      </w:r>
      <w:r>
        <w:rPr>
          <w:b/>
          <w:bCs/>
        </w:rPr>
        <w:t>对动物的影响</w:t>
      </w:r>
    </w:p>
    <w:p>
      <w:pPr>
        <w:pStyle w:val="6"/>
        <w:ind w:firstLine="480"/>
      </w:pPr>
      <w:r>
        <w:t>规划项目的建设对野生动物的影响主要是施工噪声、污水及施工占地，施工噪声对野生动物的影响在夜间表现得较为明显，施工噪声使得野生动物远离施工区，突发高噪声还可能使得野生动物受到惊吓，改变其栖息环境。施工过程中的临时占地可能会导致爬行动物栖息空间减少。在具体项目实施阶段，应做好施工设计，注意临时施工占地的选择，避免夜间施工，严格控制施工行为，尤其是加强夜间施工和污水排放 的施工组织管理。降低规划实施对野生动物的影响。规划区建成以后，运营期对野生 动物的影响主要是游客活动噪声。采取禁止游客大声喧哗等措施，运营期规划区对动物的影响较小。 综合以上分析，规划区范围内动植物分布较少，物种单一，施工仅造成局部范围常见植被少量的破坏，且本规划建设中将建设生态绿地，不会造成植被物种的减少；对野生动物有一定影响，但只要采取相应的对策和措施，规划的实施不会导致区域生物物种多样性及其整体生态环境发生重大变化。</w:t>
      </w:r>
    </w:p>
    <w:p>
      <w:pPr>
        <w:pStyle w:val="2"/>
      </w:pPr>
      <w:r>
        <w:rPr>
          <w:rFonts w:hint="eastAsia"/>
        </w:rPr>
        <w:t>5.</w:t>
      </w:r>
      <w:r>
        <w:rPr>
          <w:rFonts w:hint="eastAsia"/>
          <w:lang w:val="en-US" w:eastAsia="zh-CN"/>
        </w:rPr>
        <w:t>.2.3.</w:t>
      </w:r>
      <w:r>
        <w:rPr>
          <w:rFonts w:hint="eastAsia"/>
        </w:rPr>
        <w:t>3对水土流失影响分析</w:t>
      </w:r>
    </w:p>
    <w:p>
      <w:pPr>
        <w:pStyle w:val="6"/>
        <w:ind w:firstLine="480"/>
      </w:pPr>
      <w:r>
        <w:t>规划项目对水土保持产生的影响，主要发生在项目建设期间，工程施工对区域水土流失的影响主要表现在以下几个方面：</w:t>
      </w:r>
    </w:p>
    <w:p>
      <w:pPr>
        <w:pStyle w:val="6"/>
        <w:ind w:firstLine="480"/>
      </w:pPr>
      <w:r>
        <w:t>（1）工程施工改变了施工区域植被分布状况和地表性质，进而改变了雨水落地强度，增加了雨水对地表的直接冲击，而地表则以裸露的表土直接接受雨水的冲刷、侵蚀，这必将增加区域的土壤流失量，加剧局部区域水土流失现象。</w:t>
      </w:r>
    </w:p>
    <w:p>
      <w:pPr>
        <w:pStyle w:val="6"/>
        <w:ind w:firstLine="480"/>
      </w:pPr>
      <w:r>
        <w:t xml:space="preserve">（2）工程场地平整时，土方开挖和填平，改变了施工区域的微地形，加大了地面坡度，使施工区域成为新的水土流失发生源，加剧局部区域水土流失现象。 </w:t>
      </w:r>
    </w:p>
    <w:p>
      <w:pPr>
        <w:pStyle w:val="6"/>
        <w:ind w:firstLine="480"/>
      </w:pPr>
      <w:r>
        <w:t xml:space="preserve">（3）辅助工程的施工，在改变施工区域的微地形、加大地面坡度的同时，并可能改变区域地表径流状况，增加水土流失的诱导因素，加剧局部区域水土流失。 </w:t>
      </w:r>
    </w:p>
    <w:p>
      <w:pPr>
        <w:pStyle w:val="6"/>
        <w:ind w:firstLine="480"/>
      </w:pPr>
      <w:r>
        <w:t>（4）施工临时物料堆放场地等遭大风及雨水冲刷及侵蚀时，极易造成水土流失。因此，项目建设单位在工程施工时需要将施工期水土流失防治措施拉入施工中标段合同中，由施工单位负责实施。应采取相应措施以防治施工期的水土流失现象。水土流失防治措施分为工程措施和植被措施，并以工程措施为先导，植被措施为后行，合理安排施工时间，使水土流失防治措施行之有效，将施工期的水土流失现象控制在 最小限度。综上所述，建设项目对区域水土流失的影响主要集中在工程建设期，可采取行之有效的水土流失防治措施，将施工期的水土流失现象控制在最小限度。随着工程施工活动的结束，区域水土保持的工程措施和植被恢复措施同时竣工，项目营运期区域的水土流失现象不明显。因此对评价区整体水土流失现状影响不大，但局部引起的土壤侵蚀强度增加问题仍应引起重视，尤其是施工方法不当，植被占用过多以及植被恢复措施不足时，带来的水土流失问题不容小视。</w:t>
      </w:r>
    </w:p>
    <w:p>
      <w:pPr>
        <w:pStyle w:val="2"/>
      </w:pPr>
      <w:r>
        <w:rPr>
          <w:rFonts w:hint="eastAsia"/>
        </w:rPr>
        <w:t>5.</w:t>
      </w:r>
      <w:r>
        <w:rPr>
          <w:rFonts w:hint="eastAsia"/>
          <w:lang w:val="en-US" w:eastAsia="zh-CN"/>
        </w:rPr>
        <w:t>2.6.3</w:t>
      </w:r>
      <w:r>
        <w:rPr>
          <w:rFonts w:hint="eastAsia"/>
        </w:rPr>
        <w:t>对景观影响分析</w:t>
      </w:r>
    </w:p>
    <w:p>
      <w:pPr>
        <w:pStyle w:val="6"/>
        <w:ind w:firstLine="480"/>
      </w:pPr>
      <w:r>
        <w:t>本规划对景观的影响主要来源于规划项目的建设期间，由于部分施工活动建设的一些临时工程与周边环境的整体景观感官上不一致，但这类影响是暂时的，如果不采取及时有效的恢复，可能还会对今后的景观造成不良影响，进而影响旅游业带来的经济增长。其次，规划项目除基础设施建设之外，都是旅游资源开发建设，规划建设的 景观绿地等将增加区域绿化面积，对景观的影响是积极的。</w:t>
      </w:r>
    </w:p>
    <w:p>
      <w:pPr>
        <w:pStyle w:val="6"/>
        <w:ind w:firstLine="480"/>
      </w:pPr>
      <w:r>
        <w:t xml:space="preserve">对景观的影响主要表现在： </w:t>
      </w:r>
    </w:p>
    <w:p>
      <w:pPr>
        <w:pStyle w:val="6"/>
        <w:ind w:firstLine="480"/>
      </w:pPr>
      <w:r>
        <w:t>（1）不合理地设置施工场地和施工营地，可能直接破坏景观，扩大对沿线地表覆 盖的破坏面积，增加恢复的难度，施工完毕后不及时清理这些场地，可能出现油污满地、垃圾遍布、植被枯萎、一片狼籍的景象，破坏景观的自然性和和谐性；</w:t>
      </w:r>
    </w:p>
    <w:p>
      <w:pPr>
        <w:pStyle w:val="6"/>
        <w:ind w:firstLine="480"/>
      </w:pPr>
      <w:r>
        <w:t>（2）不合理设置取土场和弃土场，不仅在施工期影响景观，而且造成消除影响困难，从而长久地影响美感与和谐，施工完毕后这些场地的恢复措施缺乏或不得力，使得与周边景观呈现明显的不协调；</w:t>
      </w:r>
    </w:p>
    <w:p>
      <w:pPr>
        <w:pStyle w:val="6"/>
        <w:ind w:firstLine="480"/>
      </w:pPr>
      <w:r>
        <w:t xml:space="preserve">（3）施工便道的设置如果只考虑施工方便，则可能分割自然景观，施工机械若随意行驶，将导致地表植被退化，留下车辙痕迹等，造成视觉污染； </w:t>
      </w:r>
    </w:p>
    <w:p>
      <w:pPr>
        <w:pStyle w:val="6"/>
        <w:ind w:firstLine="480"/>
      </w:pPr>
      <w:r>
        <w:t>（4）施工人员活动随意乱扔生活垃圾、乱倒生活污水、破坏植被或干扰威胁动物等不良生活习惯都将造成景观的破坏。 本规划为分期建设，施工点相对分散，施工对景观的影响范围较大，因此，施工 期应采取相应的景观影响保护措施。施工期应合理布置各种施工临时占地，加强施工管理、规范施工行为，施工结束后及时对料场及各种临时占地采取迹地整治，植被恢复措施，并加强施工期施工人员环保教育，不要随地乱倒，乱丢垃圾，方可减轻工程 建设对环境景观的影响，以便施工结束后景观能得到进一步恢复。 规划区建成后，将改变土地存在的结构和功能，林地、耕地、荒草坡和裸露的岩 石将被建筑物、道路和绿化所取代，形成新的景观格局。规划通过特色景观区、景观 轴线、景观节点及景观界面的控制，营造优美的自然生态景观和人工景观，展现</w:t>
      </w:r>
      <w:r>
        <w:rPr>
          <w:rFonts w:hint="eastAsia"/>
        </w:rPr>
        <w:t>林芝市</w:t>
      </w:r>
      <w:r>
        <w:t>内生态性、人文性、开放性的景观特色。总体而言，规划区的建设，对于改善区域景观具有积极的促进作用。</w:t>
      </w:r>
    </w:p>
    <w:p>
      <w:pPr>
        <w:pStyle w:val="5"/>
        <w:bidi w:val="0"/>
      </w:pPr>
      <w:bookmarkStart w:id="144" w:name="_Toc29676"/>
      <w:bookmarkStart w:id="145" w:name="_Toc5829"/>
      <w:bookmarkStart w:id="146" w:name="_Toc93156024"/>
      <w:r>
        <w:rPr>
          <w:rFonts w:hint="eastAsia"/>
        </w:rPr>
        <w:t>5.</w:t>
      </w:r>
      <w:r>
        <w:rPr>
          <w:rFonts w:hint="eastAsia"/>
          <w:lang w:val="en-US" w:eastAsia="zh-CN"/>
        </w:rPr>
        <w:t>2.4</w:t>
      </w:r>
      <w:r>
        <w:rPr>
          <w:rFonts w:hint="eastAsia"/>
        </w:rPr>
        <w:t>环境敏感区影响分析</w:t>
      </w:r>
      <w:bookmarkEnd w:id="144"/>
      <w:bookmarkEnd w:id="145"/>
      <w:bookmarkEnd w:id="146"/>
    </w:p>
    <w:p>
      <w:pPr>
        <w:pStyle w:val="2"/>
        <w:bidi w:val="0"/>
      </w:pPr>
      <w:bookmarkStart w:id="147" w:name="_Toc93156025"/>
      <w:bookmarkStart w:id="148" w:name="_Toc3998"/>
      <w:r>
        <w:rPr>
          <w:rFonts w:hint="eastAsia"/>
        </w:rPr>
        <w:t>5.</w:t>
      </w:r>
      <w:r>
        <w:rPr>
          <w:rFonts w:hint="eastAsia"/>
          <w:lang w:val="en-US" w:eastAsia="zh-CN"/>
        </w:rPr>
        <w:t>2.4</w:t>
      </w:r>
      <w:r>
        <w:rPr>
          <w:rFonts w:hint="eastAsia"/>
        </w:rPr>
        <w:t>.1对自然保护区、风景名胜</w:t>
      </w:r>
      <w:r>
        <w:rPr>
          <w:rFonts w:hint="eastAsia"/>
          <w:lang w:val="en-US" w:eastAsia="zh-CN"/>
        </w:rPr>
        <w:t>区</w:t>
      </w:r>
      <w:r>
        <w:rPr>
          <w:rFonts w:hint="eastAsia"/>
        </w:rPr>
        <w:t>的分析</w:t>
      </w:r>
      <w:bookmarkEnd w:id="147"/>
      <w:bookmarkEnd w:id="148"/>
    </w:p>
    <w:p>
      <w:pPr>
        <w:pStyle w:val="6"/>
        <w:bidi w:val="0"/>
        <w:rPr>
          <w:color w:val="auto"/>
          <w:highlight w:val="none"/>
        </w:rPr>
      </w:pPr>
      <w:r>
        <w:rPr>
          <w:rFonts w:hint="eastAsia"/>
          <w:color w:val="auto"/>
          <w:highlight w:val="none"/>
        </w:rPr>
        <w:t>针对本次规划涉及</w:t>
      </w:r>
      <w:r>
        <w:rPr>
          <w:rFonts w:hint="eastAsia"/>
          <w:color w:val="auto"/>
          <w:highlight w:val="none"/>
          <w:lang w:val="en-US" w:eastAsia="zh-CN"/>
        </w:rPr>
        <w:t>自</w:t>
      </w:r>
      <w:r>
        <w:rPr>
          <w:rFonts w:hint="eastAsia"/>
          <w:color w:val="auto"/>
          <w:highlight w:val="none"/>
        </w:rPr>
        <w:t>然保护区</w:t>
      </w:r>
      <w:r>
        <w:rPr>
          <w:rFonts w:hint="eastAsia"/>
          <w:color w:val="auto"/>
          <w:highlight w:val="none"/>
          <w:lang w:val="en-US" w:eastAsia="zh-CN"/>
        </w:rPr>
        <w:t>5</w:t>
      </w:r>
      <w:r>
        <w:rPr>
          <w:rFonts w:hint="eastAsia"/>
          <w:color w:val="auto"/>
          <w:highlight w:val="none"/>
        </w:rPr>
        <w:t>个（西藏雅鲁藏布大峡谷国家级自然保护区</w:t>
      </w:r>
      <w:r>
        <w:rPr>
          <w:rFonts w:hint="eastAsia"/>
          <w:color w:val="auto"/>
          <w:highlight w:val="none"/>
          <w:lang w:eastAsia="zh-CN"/>
        </w:rPr>
        <w:t>、</w:t>
      </w:r>
      <w:r>
        <w:rPr>
          <w:rFonts w:hint="eastAsia"/>
          <w:color w:val="auto"/>
          <w:highlight w:val="none"/>
        </w:rPr>
        <w:t>西藏察隅慈巴沟国家级自然保护区</w:t>
      </w:r>
      <w:r>
        <w:rPr>
          <w:rFonts w:hint="eastAsia"/>
          <w:color w:val="auto"/>
          <w:highlight w:val="none"/>
          <w:lang w:eastAsia="zh-CN"/>
        </w:rPr>
        <w:t>、</w:t>
      </w:r>
      <w:r>
        <w:rPr>
          <w:rFonts w:hint="eastAsia"/>
          <w:color w:val="auto"/>
          <w:highlight w:val="none"/>
        </w:rPr>
        <w:t>西藏工布自然保护区</w:t>
      </w:r>
      <w:r>
        <w:rPr>
          <w:rFonts w:hint="eastAsia"/>
          <w:color w:val="auto"/>
          <w:highlight w:val="none"/>
          <w:lang w:eastAsia="zh-CN"/>
        </w:rPr>
        <w:t>、</w:t>
      </w:r>
      <w:r>
        <w:rPr>
          <w:rFonts w:hint="eastAsia"/>
          <w:color w:val="auto"/>
          <w:highlight w:val="none"/>
        </w:rPr>
        <w:t>林芝巴结巨柏自然保护区</w:t>
      </w:r>
      <w:r>
        <w:rPr>
          <w:rFonts w:hint="eastAsia"/>
          <w:color w:val="auto"/>
          <w:highlight w:val="none"/>
          <w:lang w:eastAsia="zh-CN"/>
        </w:rPr>
        <w:t>、</w:t>
      </w:r>
      <w:r>
        <w:rPr>
          <w:rFonts w:hint="eastAsia"/>
          <w:color w:val="auto"/>
          <w:highlight w:val="none"/>
        </w:rPr>
        <w:t>西藏白朗沟白唇鹿自然保护区），风景名胜区</w:t>
      </w:r>
      <w:r>
        <w:rPr>
          <w:rFonts w:hint="eastAsia"/>
          <w:color w:val="auto"/>
          <w:highlight w:val="none"/>
          <w:lang w:val="en-US" w:eastAsia="zh-CN"/>
        </w:rPr>
        <w:t>1</w:t>
      </w:r>
      <w:r>
        <w:rPr>
          <w:rFonts w:hint="eastAsia"/>
          <w:color w:val="auto"/>
          <w:highlight w:val="none"/>
        </w:rPr>
        <w:t>个（察隅县梅里雪山西坡风景名胜区丽）生态旅游的开展，在为保护区筹集资金、增加当地居民收入，同时也给保护区的生物多样性带来了不利影响，导致生物多样性减小，生态系统退化。开展生态旅游是实现保护区可持续发展的方式之一，但由于缺少科学管理经验和认识不足等原因，一些保护区的生态系统和生物多样性因此受到严重影响。</w:t>
      </w:r>
      <w:r>
        <w:rPr>
          <w:color w:val="auto"/>
          <w:highlight w:val="none"/>
        </w:rPr>
        <w:t xml:space="preserve"> </w:t>
      </w:r>
    </w:p>
    <w:p>
      <w:pPr>
        <w:pStyle w:val="6"/>
        <w:bidi w:val="0"/>
        <w:rPr>
          <w:b/>
          <w:bCs/>
          <w:color w:val="auto"/>
          <w:highlight w:val="none"/>
        </w:rPr>
      </w:pPr>
      <w:r>
        <w:rPr>
          <w:rFonts w:hint="eastAsia"/>
          <w:b/>
          <w:bCs/>
          <w:color w:val="auto"/>
          <w:highlight w:val="none"/>
          <w:lang w:val="en-US" w:eastAsia="zh-CN"/>
        </w:rPr>
        <w:t>1、</w:t>
      </w:r>
      <w:r>
        <w:rPr>
          <w:rFonts w:hint="eastAsia"/>
          <w:b/>
          <w:bCs/>
          <w:color w:val="auto"/>
          <w:highlight w:val="none"/>
        </w:rPr>
        <w:t>旅游活动通过以下途径影响生物多样性：</w:t>
      </w:r>
      <w:r>
        <w:rPr>
          <w:b/>
          <w:bCs/>
          <w:color w:val="auto"/>
          <w:highlight w:val="none"/>
        </w:rPr>
        <w:t xml:space="preserve"> </w:t>
      </w:r>
    </w:p>
    <w:p>
      <w:pPr>
        <w:pStyle w:val="6"/>
        <w:bidi w:val="0"/>
        <w:rPr>
          <w:color w:val="auto"/>
          <w:highlight w:val="none"/>
        </w:rPr>
      </w:pPr>
      <w:r>
        <w:rPr>
          <w:rFonts w:hint="eastAsia"/>
          <w:color w:val="auto"/>
          <w:highlight w:val="none"/>
        </w:rPr>
        <w:t>（</w:t>
      </w:r>
      <w:r>
        <w:rPr>
          <w:color w:val="auto"/>
          <w:highlight w:val="none"/>
        </w:rPr>
        <w:t>1</w:t>
      </w:r>
      <w:r>
        <w:rPr>
          <w:rFonts w:hint="eastAsia"/>
          <w:color w:val="auto"/>
          <w:highlight w:val="none"/>
        </w:rPr>
        <w:t>）改变保护区的景观生态。旅游业的发展导致旅游景点和旅游服务设施的开发和建设，而旅游景点和旅游服务设施的开发和建设，提高了保护区中人文景观要素的面积比例，促使纯自然景观向自然</w:t>
      </w:r>
      <w:r>
        <w:rPr>
          <w:color w:val="auto"/>
          <w:highlight w:val="none"/>
        </w:rPr>
        <w:t>-</w:t>
      </w:r>
      <w:r>
        <w:rPr>
          <w:rFonts w:hint="eastAsia"/>
          <w:color w:val="auto"/>
          <w:highlight w:val="none"/>
        </w:rPr>
        <w:t>人工复合景观面貌改变。伴随着旅游开发，道路等线状人工景观要素的建设，形成较道路本身宽得多的干扰廊道，纵横交错的道路网络，分割了保护区内许多自然生物群落，降低了自然景观的连通性，提高了其破碎度，破坏了生物群落中内部种的生存环境。</w:t>
      </w:r>
      <w:r>
        <w:rPr>
          <w:color w:val="auto"/>
          <w:highlight w:val="none"/>
        </w:rPr>
        <w:t xml:space="preserve"> </w:t>
      </w:r>
    </w:p>
    <w:p>
      <w:pPr>
        <w:pStyle w:val="6"/>
        <w:bidi w:val="0"/>
        <w:rPr>
          <w:color w:val="auto"/>
          <w:highlight w:val="none"/>
        </w:rPr>
      </w:pPr>
      <w:r>
        <w:rPr>
          <w:rFonts w:hint="eastAsia"/>
          <w:color w:val="auto"/>
          <w:highlight w:val="none"/>
        </w:rPr>
        <w:t>（</w:t>
      </w:r>
      <w:r>
        <w:rPr>
          <w:color w:val="auto"/>
          <w:highlight w:val="none"/>
        </w:rPr>
        <w:t>2</w:t>
      </w:r>
      <w:r>
        <w:rPr>
          <w:rFonts w:hint="eastAsia"/>
          <w:color w:val="auto"/>
          <w:highlight w:val="none"/>
        </w:rPr>
        <w:t>）改变动植物的种群结构。旅游活动通过以下途径影响动植物的种群结构：①破坏动植物繁殖习性；②猎杀动物；③猎杀动物以供纪念品交易；④动物的迁移；⑤植物因采集薪柴而遭破坏；⑥因伐除植物建设旅游设施而改变植被覆盖率或植被性质等。他们对保护区生态系统中动植物带来很大甚至是致命的影响，尤其是珍稀濒危物种和某些大、中型动物，往往会因此受损或迁移。由于物种之间捕食、竞争、传粉等复杂的生态关系，这些成分对系统结构及环境的变化都十分敏感，而由于他们在保护区生态系统食物网中的重要地位，其数量、质量和行为的改变也可能引起整个生态系统结构和功能出现较大的改变，从而导致生物多样性的减少。</w:t>
      </w:r>
    </w:p>
    <w:p>
      <w:pPr>
        <w:pStyle w:val="6"/>
        <w:bidi w:val="0"/>
        <w:rPr>
          <w:color w:val="auto"/>
          <w:highlight w:val="none"/>
        </w:rPr>
      </w:pPr>
      <w:r>
        <w:rPr>
          <w:rFonts w:hint="eastAsia"/>
          <w:color w:val="auto"/>
          <w:highlight w:val="none"/>
        </w:rPr>
        <w:t>（</w:t>
      </w:r>
      <w:r>
        <w:rPr>
          <w:color w:val="auto"/>
          <w:highlight w:val="none"/>
        </w:rPr>
        <w:t>3</w:t>
      </w:r>
      <w:r>
        <w:rPr>
          <w:rFonts w:hint="eastAsia"/>
          <w:color w:val="auto"/>
          <w:highlight w:val="none"/>
        </w:rPr>
        <w:t>）降低保护区环境质量。旅游活动对保护区环境质量的影响主要表现为：污水、废气、垃圾对水、土、大气等的污染、噪音污染等。</w:t>
      </w:r>
      <w:r>
        <w:rPr>
          <w:color w:val="auto"/>
          <w:highlight w:val="none"/>
        </w:rPr>
        <w:t xml:space="preserve"> </w:t>
      </w:r>
    </w:p>
    <w:p>
      <w:pPr>
        <w:pStyle w:val="6"/>
        <w:bidi w:val="0"/>
        <w:rPr>
          <w:color w:val="auto"/>
          <w:highlight w:val="none"/>
        </w:rPr>
      </w:pPr>
      <w:r>
        <w:rPr>
          <w:rFonts w:hint="eastAsia"/>
          <w:color w:val="auto"/>
          <w:highlight w:val="none"/>
        </w:rPr>
        <w:t>旅游垃圾是保护区最为严重的环境问题。由于对环境保护认识不足及管理不力等问题，旅游者随意丢放垃圾，特别是一些不易腐烂的塑料袋、易拉罐、玻璃瓶、金属垃圾等，这些垃圾不仅损害自然景观，而且对水、土等产生污染甚至对野生动物造成危害。</w:t>
      </w:r>
      <w:r>
        <w:rPr>
          <w:color w:val="auto"/>
          <w:highlight w:val="none"/>
        </w:rPr>
        <w:t xml:space="preserve"> </w:t>
      </w:r>
    </w:p>
    <w:p>
      <w:pPr>
        <w:pStyle w:val="6"/>
        <w:bidi w:val="0"/>
        <w:rPr>
          <w:color w:val="auto"/>
          <w:highlight w:val="none"/>
        </w:rPr>
      </w:pPr>
      <w:r>
        <w:rPr>
          <w:rFonts w:hint="eastAsia"/>
          <w:color w:val="auto"/>
          <w:highlight w:val="none"/>
        </w:rPr>
        <w:t>保护区大气污染主要是汽车排放尾气所致，游人到寺庙烧香产生的烟尘也是其中的污染源。虽然森林有自净作用，污染较城市轻，但仍对空气质量产生一定影响。在相同的旅游点，旅游旺季的污染物含量明显高于旅游淡季，大气中总悬浮微粒大大超过国家总悬浮粒一级标准。</w:t>
      </w:r>
      <w:r>
        <w:rPr>
          <w:color w:val="auto"/>
          <w:highlight w:val="none"/>
        </w:rPr>
        <w:t xml:space="preserve"> </w:t>
      </w:r>
    </w:p>
    <w:p>
      <w:pPr>
        <w:pStyle w:val="6"/>
        <w:bidi w:val="0"/>
        <w:rPr>
          <w:color w:val="auto"/>
          <w:highlight w:val="none"/>
        </w:rPr>
      </w:pPr>
      <w:r>
        <w:rPr>
          <w:rFonts w:hint="eastAsia"/>
          <w:color w:val="auto"/>
          <w:highlight w:val="none"/>
        </w:rPr>
        <w:t>旅游服务设施及游人活动产生的污水未经处理直接排放，导致水中病原体增加加快了水体的富营养化过程，使水环境质量有所下降。</w:t>
      </w:r>
      <w:r>
        <w:rPr>
          <w:color w:val="auto"/>
          <w:highlight w:val="none"/>
        </w:rPr>
        <w:t xml:space="preserve"> </w:t>
      </w:r>
    </w:p>
    <w:p>
      <w:pPr>
        <w:pStyle w:val="6"/>
        <w:bidi w:val="0"/>
        <w:rPr>
          <w:color w:val="auto"/>
          <w:highlight w:val="none"/>
        </w:rPr>
      </w:pPr>
      <w:r>
        <w:rPr>
          <w:rFonts w:hint="eastAsia"/>
          <w:color w:val="auto"/>
          <w:highlight w:val="none"/>
        </w:rPr>
        <w:t>交通工具、旅游人流产生的噪音，尤其在旅游旺季，喧嚣的人群破坏了保护区原有的宁静，对动物的生存和繁殖均产生一定影响。此外，不适当的旅游活动还会加重水土流失，诱发滑坡、泥石流等地质灾害，破环生物的生存环境，甚至直接威胁生物的生命。</w:t>
      </w:r>
      <w:r>
        <w:rPr>
          <w:color w:val="auto"/>
          <w:highlight w:val="none"/>
        </w:rPr>
        <w:t xml:space="preserve"> </w:t>
      </w:r>
    </w:p>
    <w:p>
      <w:pPr>
        <w:pStyle w:val="6"/>
        <w:bidi w:val="0"/>
        <w:rPr>
          <w:color w:val="auto"/>
          <w:highlight w:val="none"/>
        </w:rPr>
      </w:pPr>
      <w:r>
        <w:rPr>
          <w:rFonts w:hint="eastAsia"/>
          <w:color w:val="auto"/>
          <w:highlight w:val="none"/>
        </w:rPr>
        <w:t>针对以上旅游活动对生物多样性的影响，主要提出以下对策措施：</w:t>
      </w:r>
      <w:r>
        <w:rPr>
          <w:color w:val="auto"/>
          <w:highlight w:val="none"/>
        </w:rPr>
        <w:t xml:space="preserve"> </w:t>
      </w:r>
    </w:p>
    <w:p>
      <w:pPr>
        <w:pStyle w:val="6"/>
        <w:bidi w:val="0"/>
        <w:rPr>
          <w:highlight w:val="none"/>
        </w:rPr>
      </w:pPr>
      <w:r>
        <w:rPr>
          <w:rFonts w:hint="eastAsia"/>
          <w:highlight w:val="none"/>
        </w:rPr>
        <w:t>（</w:t>
      </w:r>
      <w:r>
        <w:rPr>
          <w:highlight w:val="none"/>
        </w:rPr>
        <w:t>1</w:t>
      </w:r>
      <w:r>
        <w:rPr>
          <w:rFonts w:hint="eastAsia"/>
          <w:highlight w:val="none"/>
        </w:rPr>
        <w:t>）严格控制生态旅游的空间范围。</w:t>
      </w:r>
      <w:r>
        <w:rPr>
          <w:highlight w:val="none"/>
        </w:rPr>
        <w:t xml:space="preserve"> </w:t>
      </w:r>
    </w:p>
    <w:p>
      <w:pPr>
        <w:pStyle w:val="6"/>
        <w:bidi w:val="0"/>
        <w:rPr>
          <w:color w:val="auto"/>
          <w:highlight w:val="none"/>
        </w:rPr>
      </w:pPr>
      <w:r>
        <w:rPr>
          <w:rFonts w:hint="eastAsia"/>
          <w:highlight w:val="none"/>
        </w:rPr>
        <w:t>①根据保护的需要，我国自然保护区一般分为核心区、缓冲区和实验区。核心区是保存完好的天然状态的生态系统和珍稀、濒危动植物的集中分布地，禁止任何单位和个人进入，因科学研究的需要，必须进入核心区从事科学研究观测、调查活动的除外，这个区域严禁开展任何形式的旅游活动。缓冲区是核心区与实验区的过渡地带，主要作用是保护核心区，使</w:t>
      </w:r>
      <w:r>
        <w:rPr>
          <w:rFonts w:hint="eastAsia"/>
          <w:color w:val="auto"/>
          <w:highlight w:val="none"/>
        </w:rPr>
        <w:t>其免遭外界的影响和破坏，起到一定的缓冲作用，只准进入从事科学研究观测活动，但不得破坏其生物群落及其生境；因教学科研的目的，也可以进入自然保护区的缓冲区从事非破坏性的科学研究、教学实习和标本采集活动，一般也不开展旅游活动。实验区主要用作发展本地特有的生物资源，建立人们所需要的人工生态系统，是综合利用自然资源的地段，在此可以进入从事科学试验、教学实习、参观考察、旅游以及驯化、繁殖珍稀、濒危野生动植物等活动。在实验区允许的范围内，划出若干开放旅游的区域，在生态学思想指导下，不同区域采取不同的经营管理方针，发展成以保护为主的旅游基地。在一些面积小，难以严格划分缓冲区和实验区，没有专门实验区的保护区，其旅游活动应在缓冲区指定区域内进行。</w:t>
      </w:r>
    </w:p>
    <w:p>
      <w:pPr>
        <w:pStyle w:val="6"/>
        <w:bidi w:val="0"/>
        <w:rPr>
          <w:color w:val="auto"/>
          <w:highlight w:val="none"/>
        </w:rPr>
      </w:pPr>
      <w:r>
        <w:rPr>
          <w:rFonts w:hint="eastAsia"/>
          <w:color w:val="auto"/>
          <w:highlight w:val="none"/>
        </w:rPr>
        <w:t>②风景名胜区内的建设项目应当符合风景名胜区规划，并与景观相协调，不得破坏景观、污染环境、妨碍游览。禁止超过允许容量接纳游客和在没有安全保障的区域开展游览活动。</w:t>
      </w:r>
      <w:r>
        <w:rPr>
          <w:color w:val="auto"/>
          <w:highlight w:val="none"/>
        </w:rPr>
        <w:t xml:space="preserve"> </w:t>
      </w:r>
    </w:p>
    <w:p>
      <w:pPr>
        <w:pStyle w:val="6"/>
        <w:bidi w:val="0"/>
        <w:rPr>
          <w:color w:val="auto"/>
          <w:highlight w:val="none"/>
        </w:rPr>
      </w:pPr>
      <w:r>
        <w:rPr>
          <w:rFonts w:hint="eastAsia"/>
          <w:color w:val="auto"/>
          <w:highlight w:val="none"/>
        </w:rPr>
        <w:t>③严格控制旅游项目和旅游时间。在保护区开展生态旅游，应严格控制旅游项目，坚持</w:t>
      </w:r>
      <w:r>
        <w:rPr>
          <w:color w:val="auto"/>
          <w:highlight w:val="none"/>
        </w:rPr>
        <w:t>“</w:t>
      </w:r>
      <w:r>
        <w:rPr>
          <w:rFonts w:hint="eastAsia"/>
          <w:color w:val="auto"/>
          <w:highlight w:val="none"/>
        </w:rPr>
        <w:t>五不</w:t>
      </w:r>
      <w:r>
        <w:rPr>
          <w:color w:val="auto"/>
          <w:highlight w:val="none"/>
        </w:rPr>
        <w:t>”</w:t>
      </w:r>
      <w:r>
        <w:rPr>
          <w:rFonts w:hint="eastAsia"/>
          <w:color w:val="auto"/>
          <w:highlight w:val="none"/>
        </w:rPr>
        <w:t>，即不上破坏保护对象的项目，不上有碍保护管理的项目，不上破环生态环境的项目，不上与自然景观不协调的项目，不大兴土木、广建人文景观。此外，还应控制旅游时间，旅游活动的安排应避开生态敏感期，如植物的发芽期、野生动物的繁殖期等。</w:t>
      </w:r>
      <w:r>
        <w:rPr>
          <w:color w:val="auto"/>
          <w:highlight w:val="none"/>
        </w:rPr>
        <w:t xml:space="preserve"> </w:t>
      </w:r>
    </w:p>
    <w:p>
      <w:pPr>
        <w:pStyle w:val="6"/>
        <w:bidi w:val="0"/>
        <w:rPr>
          <w:color w:val="auto"/>
          <w:highlight w:val="none"/>
        </w:rPr>
      </w:pPr>
      <w:r>
        <w:rPr>
          <w:rFonts w:hint="eastAsia"/>
          <w:color w:val="auto"/>
          <w:highlight w:val="none"/>
        </w:rPr>
        <w:t>（</w:t>
      </w:r>
      <w:r>
        <w:rPr>
          <w:color w:val="auto"/>
          <w:highlight w:val="none"/>
        </w:rPr>
        <w:t>3</w:t>
      </w:r>
      <w:r>
        <w:rPr>
          <w:rFonts w:hint="eastAsia"/>
          <w:color w:val="auto"/>
          <w:highlight w:val="none"/>
        </w:rPr>
        <w:t>）严格控制游客容量和开发强度。按照生态学观点，一个生态系统的自我恢复能力是有限的。当其遭到的破坏程度超过其自我恢复能力时，该生态系统的平衡就会被破坏。保护区生态系统同样如此，在这个系统中，游客的进入带来许多污染物，对生态系统产生不利影响。当其量少时，系统依靠自身的恢复能力，仍能促进生态平衡，保持系统稳定，但如果超过了这个极限，生态系统的平衡就会破坏，导致生态系统恶化，生物多样性减少。因此，保护区开展生态旅游时，应采取切实措施，将各景点的游客数量控制在其生态容量内，一般情况下，不超过其生态容量的</w:t>
      </w:r>
      <w:r>
        <w:rPr>
          <w:color w:val="auto"/>
          <w:highlight w:val="none"/>
        </w:rPr>
        <w:t>30</w:t>
      </w:r>
      <w:r>
        <w:rPr>
          <w:rFonts w:hint="eastAsia"/>
          <w:color w:val="auto"/>
          <w:highlight w:val="none"/>
        </w:rPr>
        <w:t>～</w:t>
      </w:r>
      <w:r>
        <w:rPr>
          <w:color w:val="auto"/>
          <w:highlight w:val="none"/>
        </w:rPr>
        <w:t>50%</w:t>
      </w:r>
      <w:r>
        <w:rPr>
          <w:rFonts w:hint="eastAsia"/>
          <w:color w:val="auto"/>
          <w:highlight w:val="none"/>
        </w:rPr>
        <w:t>。控制旅游容量可选择以下措施：①限额售票和提高门票价格，减少游览人口；②在旅游区内分散名胜景点，提高客流容量，降低名胜景点的客流；③合理安排旅游路线，提高游览速度，降低滞留时间，杜绝回流现象；④选择若干同类区域轮流开放。开展生态旅游，还必须严格自然资源的开发强度。随着旅游业的发展，旅游需求不断增加，势必需要增加旅游设施，开发新的旅游产品。同时，景区内的奇花异草、中草药材、土特产品、野生动物等，都会成为旅游商品，旅游主管部门可根据资源状况，合理开发，但开发强度必须严格限制在生态承载力允许的范围。</w:t>
      </w:r>
      <w:r>
        <w:rPr>
          <w:color w:val="auto"/>
          <w:highlight w:val="none"/>
        </w:rPr>
        <w:t xml:space="preserve"> </w:t>
      </w:r>
    </w:p>
    <w:p>
      <w:pPr>
        <w:pStyle w:val="6"/>
        <w:bidi w:val="0"/>
        <w:rPr>
          <w:color w:val="auto"/>
          <w:highlight w:val="none"/>
        </w:rPr>
      </w:pPr>
      <w:r>
        <w:rPr>
          <w:rFonts w:hint="eastAsia"/>
          <w:color w:val="auto"/>
          <w:highlight w:val="none"/>
        </w:rPr>
        <w:t>（</w:t>
      </w:r>
      <w:r>
        <w:rPr>
          <w:color w:val="auto"/>
          <w:highlight w:val="none"/>
        </w:rPr>
        <w:t>4</w:t>
      </w:r>
      <w:r>
        <w:rPr>
          <w:rFonts w:hint="eastAsia"/>
          <w:color w:val="auto"/>
          <w:highlight w:val="none"/>
        </w:rPr>
        <w:t>）进行环境影响评价和环境监测。环境影响评价即识别某一项活动对自然环境、人体健康和社会环境的影响，并制定出减轻不利影响的对策和措施，从而达到经济发展与环境间的协调。自然保护区开展生态旅游时，还应对旅游资源及旅游区环境进行动态监测，尤其是旅游活动对不同局域生态环境影响的监测和适时评价，为合理调节保护区游客数量，保证整体环境质量持续稳定提供依据。监测内容包括大气环境质量监测、水环境监测、土壤环境监测、噪声监测等。</w:t>
      </w:r>
      <w:r>
        <w:rPr>
          <w:color w:val="auto"/>
          <w:highlight w:val="none"/>
        </w:rPr>
        <w:t xml:space="preserve"> </w:t>
      </w:r>
    </w:p>
    <w:p>
      <w:pPr>
        <w:pStyle w:val="2"/>
        <w:bidi w:val="0"/>
      </w:pPr>
      <w:bookmarkStart w:id="149" w:name="_Toc93156026"/>
      <w:bookmarkStart w:id="150" w:name="_Toc32469"/>
      <w:r>
        <w:t>5.</w:t>
      </w:r>
      <w:r>
        <w:rPr>
          <w:rFonts w:hint="eastAsia"/>
          <w:lang w:val="en-US" w:eastAsia="zh-CN"/>
        </w:rPr>
        <w:t>2.4</w:t>
      </w:r>
      <w:r>
        <w:rPr>
          <w:rFonts w:hint="eastAsia"/>
        </w:rPr>
        <w:t>.2对国家森林公园的影响分析</w:t>
      </w:r>
      <w:bookmarkEnd w:id="149"/>
      <w:bookmarkEnd w:id="150"/>
      <w:r>
        <w:t xml:space="preserve"> </w:t>
      </w:r>
    </w:p>
    <w:p>
      <w:pPr>
        <w:pStyle w:val="6"/>
        <w:ind w:firstLine="480"/>
        <w:rPr>
          <w:rFonts w:hint="eastAsia"/>
          <w:color w:val="2A26F7"/>
        </w:rPr>
      </w:pPr>
      <w:r>
        <w:rPr>
          <w:rFonts w:hint="eastAsia"/>
          <w:color w:val="2A26F7"/>
        </w:rPr>
        <w:t>本次规划涉及国家森林公园3个，分别为西藏色季拉国家森林公园、西藏巴松湖国家森林公园、西藏比日神山国家森林公园。</w:t>
      </w:r>
    </w:p>
    <w:p>
      <w:pPr>
        <w:pStyle w:val="6"/>
        <w:bidi w:val="0"/>
        <w:rPr>
          <w:color w:val="auto"/>
          <w:highlight w:val="none"/>
        </w:rPr>
      </w:pPr>
      <w:r>
        <w:rPr>
          <w:rFonts w:hint="eastAsia"/>
          <w:color w:val="auto"/>
          <w:highlight w:val="none"/>
        </w:rPr>
        <w:t>随着游客及旅游接待设施的大量增加，旅游地环境问题也日益严重。旅游活动对森林环境所造成的干扰也日益严重。随着森林公园内旅游者人数增多，特别是在节假日期间，园内人满为患，公园内的土壤、植被将会受到更加严重的破坏，且旅游者随处乱扔垃圾、随意采摘、肆意践踏草坪等；同时兴建更多的旅游设施，破坏了公园内原有的自然风貌，导致树木数量逐年下降，景区内动物群大幅度减少。</w:t>
      </w:r>
      <w:r>
        <w:rPr>
          <w:color w:val="auto"/>
          <w:highlight w:val="none"/>
        </w:rPr>
        <w:t xml:space="preserve"> </w:t>
      </w:r>
    </w:p>
    <w:p>
      <w:pPr>
        <w:pStyle w:val="6"/>
        <w:bidi w:val="0"/>
        <w:rPr>
          <w:color w:val="auto"/>
          <w:highlight w:val="none"/>
        </w:rPr>
      </w:pPr>
      <w:r>
        <w:rPr>
          <w:rFonts w:hint="eastAsia"/>
          <w:color w:val="auto"/>
          <w:highlight w:val="none"/>
        </w:rPr>
        <w:t>在对森林公园进行开发旅游资源的同时，应尽量避免盲目的开发，做好开发前的规划工作。应在保护环境和生物多样性的前提下开展旅游规划工作，正确利用旅游资源。在国家级森林公园内的建设项目应当符合总体规划的要求，其选址、规模、风格和色彩等应当与周边景观与环境相协调，相应的废水、废物处理和防火设施应当同时设计、同时施工、同时使用。在国家级森林公园内进行建设活动的，应当采取措施保护景观和环境；施工结束后，应当及时整理场地，美化绿化环境。严格控制建设项目使用国家级森林公园林地，但是因保护森林及其他风景资源、建设森林防火设施和林业生态文化示范基地、保障游客安全等直接为林业生产服务的工程设施除外。</w:t>
      </w:r>
      <w:r>
        <w:rPr>
          <w:color w:val="auto"/>
          <w:highlight w:val="none"/>
        </w:rPr>
        <w:t xml:space="preserve"> </w:t>
      </w:r>
    </w:p>
    <w:p>
      <w:pPr>
        <w:pStyle w:val="6"/>
        <w:bidi w:val="0"/>
        <w:rPr>
          <w:color w:val="auto"/>
          <w:highlight w:val="none"/>
        </w:rPr>
      </w:pPr>
      <w:r>
        <w:rPr>
          <w:rFonts w:hint="eastAsia"/>
          <w:color w:val="auto"/>
          <w:highlight w:val="none"/>
        </w:rPr>
        <w:t>国家级森林公园经营管理机构应当监督承办单位按照备案的活动计划开展影视拍摄或者大型文艺演出等活动；对所搭建的临时设施，承办单位应当在国家级森林公园经营管理机构规定的期限内拆除，并恢复原状。</w:t>
      </w:r>
      <w:r>
        <w:rPr>
          <w:color w:val="auto"/>
          <w:highlight w:val="none"/>
        </w:rPr>
        <w:t xml:space="preserve"> </w:t>
      </w:r>
    </w:p>
    <w:p>
      <w:pPr>
        <w:pStyle w:val="2"/>
        <w:bidi w:val="0"/>
      </w:pPr>
      <w:bookmarkStart w:id="151" w:name="_Toc20792"/>
      <w:bookmarkStart w:id="152" w:name="_Toc93156027"/>
      <w:r>
        <w:rPr>
          <w:rFonts w:hint="eastAsia"/>
        </w:rPr>
        <w:t>5.</w:t>
      </w:r>
      <w:r>
        <w:rPr>
          <w:rFonts w:hint="eastAsia"/>
          <w:lang w:val="en-US" w:eastAsia="zh-CN"/>
        </w:rPr>
        <w:t>2.4</w:t>
      </w:r>
      <w:r>
        <w:rPr>
          <w:rFonts w:hint="eastAsia"/>
        </w:rPr>
        <w:t>.3对国家地质公园的影响分析</w:t>
      </w:r>
      <w:bookmarkEnd w:id="151"/>
      <w:bookmarkEnd w:id="152"/>
      <w:r>
        <w:t xml:space="preserve"> </w:t>
      </w:r>
    </w:p>
    <w:p>
      <w:pPr>
        <w:pStyle w:val="6"/>
        <w:bidi w:val="0"/>
        <w:rPr>
          <w:color w:val="auto"/>
          <w:highlight w:val="none"/>
        </w:rPr>
      </w:pPr>
      <w:r>
        <w:rPr>
          <w:rFonts w:hint="eastAsia"/>
        </w:rPr>
        <w:t>随着游客量的增加</w:t>
      </w:r>
      <w:r>
        <w:rPr>
          <w:rFonts w:hint="eastAsia"/>
          <w:color w:val="2A26F7"/>
        </w:rPr>
        <w:t>，对易贡国家地质公园的生态</w:t>
      </w:r>
      <w:r>
        <w:rPr>
          <w:rFonts w:hint="eastAsia"/>
        </w:rPr>
        <w:t>环境产生一定的影响</w:t>
      </w:r>
      <w:r>
        <w:rPr>
          <w:rFonts w:hint="eastAsia"/>
          <w:lang w:eastAsia="zh-CN"/>
        </w:rPr>
        <w:t>。</w:t>
      </w:r>
      <w:r>
        <w:rPr>
          <w:rFonts w:hint="eastAsia"/>
          <w:color w:val="auto"/>
          <w:highlight w:val="none"/>
        </w:rPr>
        <w:t>地质遗迹资源是不可再生资源，一旦遭到破坏，便不再修复，地质公园也会因此失去发展的条件，严格保护珍贵的地质遗迹资源是地质公园开发建设的首要问题。对地质公园的生态旅游开发必须坚持</w:t>
      </w:r>
      <w:r>
        <w:rPr>
          <w:rFonts w:hint="eastAsia"/>
          <w:color w:val="auto"/>
          <w:highlight w:val="none"/>
          <w:lang w:eastAsia="zh-CN"/>
        </w:rPr>
        <w:t>“</w:t>
      </w:r>
      <w:r>
        <w:rPr>
          <w:rFonts w:hint="eastAsia"/>
          <w:color w:val="auto"/>
          <w:highlight w:val="none"/>
        </w:rPr>
        <w:t>在开发中保护，在保护中开发</w:t>
      </w:r>
      <w:r>
        <w:rPr>
          <w:rFonts w:hint="eastAsia"/>
          <w:color w:val="auto"/>
          <w:highlight w:val="none"/>
          <w:lang w:eastAsia="zh-CN"/>
        </w:rPr>
        <w:t>”</w:t>
      </w:r>
      <w:r>
        <w:rPr>
          <w:rFonts w:hint="eastAsia"/>
          <w:color w:val="auto"/>
          <w:highlight w:val="none"/>
        </w:rPr>
        <w:t>的原则，以保护为主，同时在保护区范围内严格禁止滥采滥开或任何改变地质遗迹景观形态的开发建设行为；控制各种旅游设施的扩建，调整旅游旺季的游客流量。</w:t>
      </w:r>
    </w:p>
    <w:p>
      <w:pPr>
        <w:pStyle w:val="6"/>
        <w:bidi w:val="0"/>
        <w:rPr>
          <w:color w:val="auto"/>
          <w:highlight w:val="none"/>
        </w:rPr>
      </w:pPr>
      <w:r>
        <w:rPr>
          <w:rFonts w:hint="eastAsia"/>
          <w:color w:val="auto"/>
          <w:highlight w:val="none"/>
        </w:rPr>
        <w:t>对地质遗迹进行详细调查，在地质遗迹保护地点设置指示牌、解说牌、警示牌，对游客的破坏行为要及时制止和提醒，进行日常巡逻检查，查处一切影响并破坏遗迹资源的现象，如采矿、挖化石等；恢复被破坏的景观。对古树名木和珍稀植物要登记在册，实行分级保护，禁止乱砍滥伐，实行封山育林，涵养水源；对于野生动物，在了解他们的繁衍迁移规律后，划出一定区域进行保护，再进行旅游设施建设，避免动植物生境破碎化。</w:t>
      </w:r>
      <w:r>
        <w:rPr>
          <w:color w:val="auto"/>
          <w:highlight w:val="none"/>
        </w:rPr>
        <w:t xml:space="preserve"> </w:t>
      </w:r>
    </w:p>
    <w:p>
      <w:pPr>
        <w:pStyle w:val="6"/>
        <w:bidi w:val="0"/>
        <w:rPr>
          <w:color w:val="auto"/>
          <w:highlight w:val="none"/>
        </w:rPr>
      </w:pPr>
      <w:r>
        <w:rPr>
          <w:rFonts w:hint="eastAsia"/>
          <w:color w:val="auto"/>
          <w:highlight w:val="none"/>
        </w:rPr>
        <w:t>涉及一级保护区的禁止进行任何未经批准的其他除参观、科研或国际间交往以外的活动。涉及二级保护区的经相关部门批准，可有组织地进行科研、教学、学术交流及适当的旅游活动。规划中涉及的旅游项目，需按照保护区主管部门的要求控制参观人数、参观区域范围。涉及三级保护区的经设立该级地质遗迹保护区的人民政府地质矿产行政主管部门批准，可组织开展旅游活动。任何单位和个人不得在保护区内及可能对地质遗迹造成影响的一定范围内进行采石、取土、开矿、放牧、砍伐以及其它对保护对象有损害的活动。未经管理机构批准，不得在保护区范围内采集标本和化石。不得在保护区内修建与地质遗迹保护无关的厂房或其他建筑设施。</w:t>
      </w:r>
      <w:r>
        <w:rPr>
          <w:color w:val="auto"/>
          <w:highlight w:val="none"/>
        </w:rPr>
        <w:t xml:space="preserve"> </w:t>
      </w:r>
    </w:p>
    <w:p>
      <w:pPr>
        <w:pStyle w:val="2"/>
        <w:bidi w:val="0"/>
      </w:pPr>
      <w:bookmarkStart w:id="153" w:name="_Toc93156028"/>
      <w:bookmarkStart w:id="154" w:name="_Toc1317"/>
      <w:r>
        <w:t>5.</w:t>
      </w:r>
      <w:r>
        <w:rPr>
          <w:rFonts w:hint="eastAsia"/>
          <w:lang w:val="en-US" w:eastAsia="zh-CN"/>
        </w:rPr>
        <w:t>2.4</w:t>
      </w:r>
      <w:r>
        <w:rPr>
          <w:rFonts w:hint="eastAsia"/>
        </w:rPr>
        <w:t>.4对饮用水源保护区的影响分析</w:t>
      </w:r>
      <w:bookmarkEnd w:id="153"/>
      <w:bookmarkEnd w:id="154"/>
      <w:r>
        <w:t xml:space="preserve"> </w:t>
      </w:r>
    </w:p>
    <w:p>
      <w:pPr>
        <w:pStyle w:val="6"/>
        <w:bidi w:val="0"/>
        <w:rPr>
          <w:color w:val="auto"/>
          <w:highlight w:val="none"/>
        </w:rPr>
      </w:pPr>
      <w:r>
        <w:rPr>
          <w:rFonts w:hint="eastAsia"/>
          <w:color w:val="auto"/>
          <w:highlight w:val="none"/>
        </w:rPr>
        <w:t>游客在游览活动中，活动行为除受到旅游经营者的规范限制外，还具有较大程度的自主性和灵活性。游客在进行旅游的时候的一些不文明行为可能对库区水体造成一定的污染。例如，随手往水里乱丢废弃物（食品袋、果皮、烟头等）和随意排泄都会给水体造成一定污染；在库区上游的河道里戏水、洗涮会给水体造成潜在威胁；在水源涵养区的山坡随意丢弃垃圾、野炊、露营灯行为，会在一定程度上影响生态环境，给水源涵养造成潜在威胁。</w:t>
      </w:r>
      <w:r>
        <w:rPr>
          <w:color w:val="auto"/>
          <w:highlight w:val="none"/>
        </w:rPr>
        <w:t xml:space="preserve"> </w:t>
      </w:r>
    </w:p>
    <w:p>
      <w:pPr>
        <w:pStyle w:val="6"/>
        <w:bidi w:val="0"/>
        <w:rPr>
          <w:color w:val="auto"/>
          <w:highlight w:val="none"/>
        </w:rPr>
      </w:pPr>
      <w:r>
        <w:rPr>
          <w:rFonts w:hint="eastAsia"/>
          <w:color w:val="auto"/>
          <w:highlight w:val="none"/>
        </w:rPr>
        <w:t>规范水源保护区内居民的生产和旅游经营活动，有计划地建设居民与旅游经营场所污水集中处理设施，制定水源地保护区污水排放标准，防治环境污染，保证水质良好。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已建成的排放污染物的建设项目，由县级以上人民政府责令拆除或者关闭，本规划项目如涉及需停止续建，当关闭并恢复原貌。禁止在饮用水水源准保护区内新建、扩建对水体污染严重的建设项目。所有景区内废水均通过收集处理后达标排放，尾水经过深度处理后尽量回用。</w:t>
      </w:r>
      <w:r>
        <w:rPr>
          <w:color w:val="auto"/>
          <w:highlight w:val="none"/>
        </w:rPr>
        <w:t xml:space="preserve"> </w:t>
      </w:r>
    </w:p>
    <w:p>
      <w:pPr>
        <w:pStyle w:val="2"/>
        <w:bidi w:val="0"/>
      </w:pPr>
      <w:bookmarkStart w:id="155" w:name="_Toc93156029"/>
      <w:bookmarkStart w:id="156" w:name="_Toc1680"/>
      <w:r>
        <w:rPr>
          <w:rFonts w:hint="eastAsia"/>
        </w:rPr>
        <w:t>5.</w:t>
      </w:r>
      <w:r>
        <w:rPr>
          <w:rFonts w:hint="eastAsia"/>
          <w:lang w:val="en-US" w:eastAsia="zh-CN"/>
        </w:rPr>
        <w:t>2.4</w:t>
      </w:r>
      <w:r>
        <w:rPr>
          <w:rFonts w:hint="eastAsia"/>
        </w:rPr>
        <w:t>.5对湿地公园的影响分析</w:t>
      </w:r>
      <w:bookmarkEnd w:id="155"/>
      <w:bookmarkEnd w:id="156"/>
      <w:r>
        <w:t xml:space="preserve"> </w:t>
      </w:r>
    </w:p>
    <w:p>
      <w:pPr>
        <w:pStyle w:val="6"/>
        <w:bidi w:val="0"/>
        <w:rPr>
          <w:color w:val="auto"/>
          <w:highlight w:val="none"/>
        </w:rPr>
      </w:pPr>
      <w:r>
        <w:rPr>
          <w:rFonts w:hint="eastAsia"/>
          <w:color w:val="auto"/>
          <w:highlight w:val="none"/>
        </w:rPr>
        <w:t>本次</w:t>
      </w:r>
      <w:r>
        <w:rPr>
          <w:rFonts w:hint="eastAsia"/>
          <w:color w:val="auto"/>
          <w:highlight w:val="none"/>
          <w:lang w:val="en-US" w:eastAsia="zh-CN"/>
        </w:rPr>
        <w:t>规划</w:t>
      </w:r>
      <w:r>
        <w:rPr>
          <w:rFonts w:hint="eastAsia"/>
          <w:color w:val="auto"/>
          <w:highlight w:val="none"/>
        </w:rPr>
        <w:t>涉及</w:t>
      </w:r>
      <w:r>
        <w:rPr>
          <w:rFonts w:hint="eastAsia"/>
          <w:color w:val="auto"/>
          <w:highlight w:val="none"/>
          <w:lang w:val="en-US" w:eastAsia="zh-CN"/>
        </w:rPr>
        <w:t>3</w:t>
      </w:r>
      <w:r>
        <w:rPr>
          <w:rFonts w:hint="eastAsia"/>
          <w:color w:val="auto"/>
          <w:highlight w:val="none"/>
        </w:rPr>
        <w:t>个</w:t>
      </w:r>
      <w:r>
        <w:rPr>
          <w:rFonts w:hint="eastAsia"/>
          <w:color w:val="auto"/>
          <w:highlight w:val="none"/>
          <w:lang w:val="en-US" w:eastAsia="zh-CN"/>
        </w:rPr>
        <w:t>湿地公园</w:t>
      </w:r>
      <w:r>
        <w:rPr>
          <w:rFonts w:hint="eastAsia"/>
          <w:color w:val="auto"/>
          <w:highlight w:val="none"/>
        </w:rPr>
        <w:t>（</w:t>
      </w:r>
      <w:r>
        <w:rPr>
          <w:rFonts w:hint="eastAsia"/>
          <w:color w:val="auto"/>
          <w:highlight w:val="none"/>
          <w:lang w:val="en-US" w:eastAsia="zh-CN"/>
        </w:rPr>
        <w:t>西藏</w:t>
      </w:r>
      <w:r>
        <w:rPr>
          <w:rFonts w:hint="eastAsia"/>
          <w:color w:val="auto"/>
          <w:highlight w:val="none"/>
        </w:rPr>
        <w:t>雅尼国家湿地公园</w:t>
      </w:r>
      <w:r>
        <w:rPr>
          <w:rFonts w:hint="eastAsia"/>
          <w:color w:val="auto"/>
          <w:highlight w:val="none"/>
          <w:lang w:eastAsia="zh-CN"/>
        </w:rPr>
        <w:t>、</w:t>
      </w:r>
      <w:r>
        <w:rPr>
          <w:rFonts w:hint="eastAsia"/>
          <w:color w:val="auto"/>
          <w:highlight w:val="none"/>
          <w:lang w:val="en-US" w:eastAsia="zh-CN"/>
        </w:rPr>
        <w:t>西藏</w:t>
      </w:r>
      <w:r>
        <w:rPr>
          <w:rFonts w:hint="eastAsia"/>
          <w:color w:val="auto"/>
          <w:highlight w:val="none"/>
        </w:rPr>
        <w:t>嘎朗国家湿地公园</w:t>
      </w:r>
      <w:r>
        <w:rPr>
          <w:rFonts w:hint="eastAsia"/>
          <w:color w:val="auto"/>
          <w:highlight w:val="none"/>
          <w:lang w:eastAsia="zh-CN"/>
        </w:rPr>
        <w:t>、</w:t>
      </w:r>
      <w:r>
        <w:rPr>
          <w:rFonts w:hint="eastAsia"/>
          <w:color w:val="auto"/>
          <w:highlight w:val="none"/>
          <w:lang w:val="en-US" w:eastAsia="zh-CN"/>
        </w:rPr>
        <w:t>西藏</w:t>
      </w:r>
      <w:r>
        <w:rPr>
          <w:rFonts w:hint="eastAsia"/>
          <w:color w:val="auto"/>
          <w:highlight w:val="none"/>
        </w:rPr>
        <w:t>朱拉河国家湿地公园），随着人民生活质量的提高，到湿地公园休闲度假的游客增多。旅游业的发展，产生的大量污水和垃圾对湿地生态环境造成了一定的影响，主要是湿地水质变化及水生动植物影响，水中浮游生物增多，水变浑浊。由于旅游业的大力开发影响，原有湿地自然生态结构受到破坏，湖滨带植被减少，使得栖息、产卵于湖滨浅水区的鱼类和其他生物不断减少，生物多样性减弱，生态功能下降。</w:t>
      </w:r>
    </w:p>
    <w:p>
      <w:pPr>
        <w:pStyle w:val="6"/>
        <w:bidi w:val="0"/>
        <w:rPr>
          <w:rFonts w:hint="eastAsia"/>
          <w:color w:val="auto"/>
          <w:highlight w:val="none"/>
        </w:rPr>
      </w:pPr>
      <w:r>
        <w:rPr>
          <w:rFonts w:hint="eastAsia"/>
          <w:color w:val="auto"/>
          <w:highlight w:val="none"/>
        </w:rPr>
        <w:t>旅游规划实施过程中，加强湿地的生态保护，旅游旺季控制游客量，加强物种和动植物的保护，对于濒危的动植物要进行重点管理，采取一定的干预和运用一定的技术手段，对其进行保护，对于已经遭到破坏的植物，采取人工办法进行恢复，受到影响的动物进行人工孵化。时刻关注湿地的环境承载能力，适时的根据情况对湿地公园的门票、旅游路线等进行适当的调整，对游客进行一定的引导，尽量不对湿地生态系统造成破坏。</w:t>
      </w:r>
    </w:p>
    <w:p>
      <w:pPr>
        <w:pStyle w:val="2"/>
        <w:bidi w:val="0"/>
        <w:rPr>
          <w:rFonts w:hint="eastAsia"/>
        </w:rPr>
      </w:pPr>
      <w:r>
        <w:rPr>
          <w:rFonts w:hint="eastAsia"/>
        </w:rPr>
        <w:t>5.2.</w:t>
      </w:r>
      <w:r>
        <w:rPr>
          <w:rFonts w:hint="eastAsia"/>
          <w:lang w:val="en-US" w:eastAsia="zh-CN"/>
        </w:rPr>
        <w:t>4</w:t>
      </w:r>
      <w:r>
        <w:rPr>
          <w:rFonts w:hint="eastAsia"/>
        </w:rPr>
        <w:t>.6对文物古迹保护单位的影响分析</w:t>
      </w:r>
    </w:p>
    <w:p>
      <w:pPr>
        <w:pStyle w:val="6"/>
        <w:bidi w:val="0"/>
        <w:rPr>
          <w:rFonts w:hint="eastAsia"/>
          <w:color w:val="auto"/>
          <w:highlight w:val="none"/>
        </w:rPr>
      </w:pPr>
      <w:r>
        <w:rPr>
          <w:rFonts w:hint="eastAsia"/>
          <w:color w:val="auto"/>
          <w:highlight w:val="none"/>
        </w:rPr>
        <w:t>本次旅游规划的实施，需要对一些历史文物古迹需保护，规划项目不大兴土木，尽可能保护文物古迹的原状，不进行大拆大改或者将附近环境大加改变，同时注意规划相关的文物陈列馆、展示馆、国防教育基地等选址在文物保护区范围外。因此，待规划实施后，一定程度上将纪念建筑物、古建筑等恢复原状，同时得到加固，有利于历史文物古迹得到更好的保护和发掘。</w:t>
      </w:r>
    </w:p>
    <w:p>
      <w:pPr>
        <w:pStyle w:val="5"/>
        <w:bidi w:val="0"/>
        <w:rPr>
          <w:rFonts w:hint="eastAsia"/>
        </w:rPr>
      </w:pPr>
      <w:bookmarkStart w:id="157" w:name="_Toc7866"/>
      <w:r>
        <w:rPr>
          <w:rFonts w:hint="eastAsia"/>
          <w:lang w:val="en-US" w:eastAsia="zh-CN"/>
        </w:rPr>
        <w:t>5.2.5</w:t>
      </w:r>
      <w:r>
        <w:rPr>
          <w:rFonts w:hint="eastAsia"/>
        </w:rPr>
        <w:t>环境风险分析</w:t>
      </w:r>
      <w:bookmarkEnd w:id="157"/>
    </w:p>
    <w:p>
      <w:pPr>
        <w:pStyle w:val="6"/>
        <w:bidi w:val="0"/>
        <w:rPr>
          <w:rFonts w:hint="eastAsia"/>
          <w:b/>
          <w:bCs/>
        </w:rPr>
      </w:pPr>
      <w:r>
        <w:rPr>
          <w:rFonts w:hint="eastAsia"/>
          <w:b/>
          <w:bCs/>
          <w:lang w:val="en-US" w:eastAsia="zh-CN"/>
        </w:rPr>
        <w:t>1、</w:t>
      </w:r>
      <w:r>
        <w:rPr>
          <w:rFonts w:hint="eastAsia"/>
          <w:b/>
          <w:bCs/>
        </w:rPr>
        <w:t>环境风险源</w:t>
      </w:r>
    </w:p>
    <w:p>
      <w:pPr>
        <w:pStyle w:val="6"/>
        <w:bidi w:val="0"/>
        <w:rPr>
          <w:rFonts w:hint="eastAsia"/>
          <w:color w:val="auto"/>
          <w:highlight w:val="none"/>
        </w:rPr>
      </w:pPr>
      <w:r>
        <w:rPr>
          <w:rFonts w:hint="eastAsia"/>
          <w:color w:val="auto"/>
          <w:highlight w:val="none"/>
        </w:rPr>
        <w:t>随着规划的实施，宣传力度的增大，规划各景区内旅游人数的不断增加，环境风险出现概率及风险发生的破坏程度也随之不断增大。通过对规划实施后存在的潜在风险因素进行初步识别和分析可知，可能引发环境风险的因子主要有以下几类：</w:t>
      </w:r>
    </w:p>
    <w:p>
      <w:pPr>
        <w:pStyle w:val="6"/>
        <w:bidi w:val="0"/>
        <w:rPr>
          <w:rFonts w:hint="eastAsia"/>
          <w:color w:val="auto"/>
          <w:highlight w:val="none"/>
        </w:rPr>
      </w:pPr>
      <w:r>
        <w:rPr>
          <w:rFonts w:hint="eastAsia"/>
          <w:color w:val="auto"/>
          <w:highlight w:val="none"/>
        </w:rPr>
        <w:t>（1）旅游人数超过环境容量</w:t>
      </w:r>
    </w:p>
    <w:p>
      <w:pPr>
        <w:pStyle w:val="6"/>
        <w:bidi w:val="0"/>
        <w:rPr>
          <w:rFonts w:hint="eastAsia"/>
          <w:color w:val="auto"/>
          <w:highlight w:val="none"/>
        </w:rPr>
      </w:pPr>
      <w:r>
        <w:rPr>
          <w:rFonts w:hint="eastAsia"/>
          <w:color w:val="auto"/>
          <w:highlight w:val="none"/>
        </w:rPr>
        <w:t>当旅游人数超过规划区环境所能承受的临界量时将会对生态环境造成不利影响和危害，构成威胁</w:t>
      </w:r>
      <w:r>
        <w:rPr>
          <w:rFonts w:hint="eastAsia"/>
          <w:color w:val="auto"/>
          <w:highlight w:val="none"/>
          <w:lang w:val="en-US" w:eastAsia="zh-CN"/>
        </w:rPr>
        <w:t>规划</w:t>
      </w:r>
      <w:r>
        <w:rPr>
          <w:rFonts w:hint="eastAsia"/>
          <w:color w:val="auto"/>
          <w:highlight w:val="none"/>
        </w:rPr>
        <w:t>区自身发展的重要风险源。同时会导致一系列的诸如踩踏、接待资源、污染物产生等增加问题，该风险源通过严格的管理手段可得到纠正和改善。</w:t>
      </w:r>
    </w:p>
    <w:p>
      <w:pPr>
        <w:pStyle w:val="6"/>
        <w:bidi w:val="0"/>
        <w:rPr>
          <w:rFonts w:hint="eastAsia"/>
          <w:color w:val="auto"/>
          <w:highlight w:val="none"/>
        </w:rPr>
      </w:pPr>
      <w:r>
        <w:rPr>
          <w:rFonts w:hint="eastAsia"/>
          <w:color w:val="auto"/>
          <w:highlight w:val="none"/>
        </w:rPr>
        <w:t>（2）旅游资源开发破坏</w:t>
      </w:r>
    </w:p>
    <w:p>
      <w:pPr>
        <w:pStyle w:val="6"/>
        <w:bidi w:val="0"/>
        <w:rPr>
          <w:rFonts w:hint="eastAsia"/>
          <w:color w:val="auto"/>
          <w:highlight w:val="none"/>
        </w:rPr>
      </w:pPr>
      <w:r>
        <w:rPr>
          <w:rFonts w:hint="eastAsia"/>
          <w:color w:val="auto"/>
          <w:highlight w:val="none"/>
        </w:rPr>
        <w:t>旅游资源开发建设引起的生态破坏是规划内各景区生态风险源之一，将旅游资源转化成旅游产品需要经过人工的开发和建设，会造成一定程度的破坏。同时在旅游产品建设过程中直接或者间接的引进外来物种，对规划区生态系统造成一定的危害。通过采取各种保护措施，尽量减小盲目粗暴开发所引起的负面生态环境效应。</w:t>
      </w:r>
    </w:p>
    <w:p>
      <w:pPr>
        <w:pStyle w:val="6"/>
        <w:bidi w:val="0"/>
        <w:rPr>
          <w:rFonts w:hint="eastAsia"/>
          <w:color w:val="auto"/>
          <w:highlight w:val="none"/>
        </w:rPr>
      </w:pPr>
      <w:r>
        <w:rPr>
          <w:rFonts w:hint="eastAsia"/>
          <w:color w:val="auto"/>
          <w:highlight w:val="none"/>
        </w:rPr>
        <w:t>（3）游客活动不当行为</w:t>
      </w:r>
    </w:p>
    <w:p>
      <w:pPr>
        <w:pStyle w:val="6"/>
        <w:bidi w:val="0"/>
        <w:rPr>
          <w:rFonts w:hint="eastAsia"/>
          <w:color w:val="auto"/>
          <w:highlight w:val="none"/>
        </w:rPr>
      </w:pPr>
      <w:r>
        <w:rPr>
          <w:rFonts w:hint="eastAsia"/>
          <w:color w:val="auto"/>
          <w:highlight w:val="none"/>
        </w:rPr>
        <w:t>在旅游活动进行过程中，游客自身以及各景区管理过程中各种不当的行为对景区生态环境同样会造成一定风险，各种不当的行为源于生态环境意识的淡薄，是主观行为造成的生态风险。旅游者的不当行为包括：随手丢弃废弃物、攀折景区植被等，同时经营者则可能因缺乏环保意识、度假区生活垃圾及废水收集处理系统不够完善或故障，导致旅游接待产生的污染物直接排入景区。</w:t>
      </w:r>
    </w:p>
    <w:p>
      <w:pPr>
        <w:pStyle w:val="6"/>
        <w:bidi w:val="0"/>
        <w:rPr>
          <w:rFonts w:hint="eastAsia"/>
          <w:b/>
          <w:bCs/>
        </w:rPr>
      </w:pPr>
      <w:r>
        <w:rPr>
          <w:rFonts w:hint="eastAsia"/>
          <w:b/>
          <w:bCs/>
          <w:lang w:val="en-US" w:eastAsia="zh-CN"/>
        </w:rPr>
        <w:t>2、</w:t>
      </w:r>
      <w:r>
        <w:rPr>
          <w:rFonts w:hint="eastAsia"/>
          <w:b/>
          <w:bCs/>
        </w:rPr>
        <w:t>环境风险分析</w:t>
      </w:r>
    </w:p>
    <w:p>
      <w:pPr>
        <w:pStyle w:val="6"/>
        <w:bidi w:val="0"/>
        <w:rPr>
          <w:rFonts w:hint="eastAsia"/>
          <w:color w:val="auto"/>
          <w:highlight w:val="none"/>
        </w:rPr>
      </w:pPr>
      <w:r>
        <w:rPr>
          <w:rFonts w:hint="eastAsia"/>
          <w:b w:val="0"/>
          <w:bCs w:val="0"/>
          <w:color w:val="1A15F1"/>
          <w:lang w:val="en-US" w:eastAsia="zh-CN"/>
        </w:rPr>
        <w:t>林芝市全域旅游发展规划（2018~2025年）</w:t>
      </w:r>
      <w:r>
        <w:rPr>
          <w:rFonts w:hint="eastAsia"/>
          <w:color w:val="auto"/>
          <w:highlight w:val="none"/>
        </w:rPr>
        <w:t>环境风险最大可信事故为：外来物种入侵、生活污废水事故排放。</w:t>
      </w:r>
    </w:p>
    <w:p>
      <w:pPr>
        <w:pStyle w:val="6"/>
        <w:bidi w:val="0"/>
        <w:rPr>
          <w:rFonts w:hint="eastAsia"/>
          <w:b w:val="0"/>
          <w:bCs w:val="0"/>
          <w:color w:val="auto"/>
          <w:highlight w:val="none"/>
        </w:rPr>
      </w:pPr>
      <w:r>
        <w:rPr>
          <w:rFonts w:hint="eastAsia"/>
          <w:b w:val="0"/>
          <w:bCs w:val="0"/>
          <w:color w:val="auto"/>
          <w:highlight w:val="none"/>
          <w:lang w:val="en-US" w:eastAsia="zh-CN"/>
        </w:rPr>
        <w:t>（1）</w:t>
      </w:r>
      <w:r>
        <w:rPr>
          <w:rFonts w:hint="eastAsia"/>
          <w:b w:val="0"/>
          <w:bCs w:val="0"/>
          <w:color w:val="auto"/>
          <w:highlight w:val="none"/>
        </w:rPr>
        <w:t>生物入侵</w:t>
      </w:r>
    </w:p>
    <w:p>
      <w:pPr>
        <w:pStyle w:val="6"/>
        <w:bidi w:val="0"/>
        <w:rPr>
          <w:rFonts w:hint="eastAsia"/>
          <w:color w:val="auto"/>
          <w:highlight w:val="none"/>
        </w:rPr>
      </w:pPr>
      <w:r>
        <w:rPr>
          <w:rFonts w:hint="eastAsia"/>
          <w:color w:val="auto"/>
          <w:highlight w:val="none"/>
        </w:rPr>
        <w:t>引起生物入侵的途径主要包括：在规划区域建设过程中，外来绿地草种的引种，可能造成与本地草种的生态位重叠，从而导致外来物种入侵，同时伴随着土壤、草皮等其他媒介引入有害的昆虫等动物，对本地植物物种造成危害。因此，若在规划实施过程中选种不当、监管不当，会造成生物物种入侵危害，主要表现如下：</w:t>
      </w:r>
    </w:p>
    <w:p>
      <w:pPr>
        <w:pStyle w:val="6"/>
        <w:bidi w:val="0"/>
        <w:rPr>
          <w:rFonts w:hint="eastAsia"/>
          <w:color w:val="auto"/>
          <w:highlight w:val="none"/>
        </w:rPr>
      </w:pPr>
      <w:r>
        <w:rPr>
          <w:rFonts w:hint="eastAsia"/>
          <w:color w:val="auto"/>
          <w:highlight w:val="none"/>
          <w:lang w:eastAsia="zh-CN"/>
        </w:rPr>
        <w:t>①</w:t>
      </w:r>
      <w:r>
        <w:rPr>
          <w:rFonts w:hint="eastAsia"/>
          <w:color w:val="auto"/>
          <w:highlight w:val="none"/>
        </w:rPr>
        <w:t>生态破坏和生物污染。大部分外来物种成功入侵后大爆发，生长难以控制，造成严重的生物污染，对生态系统造成不可逆转的破坏。</w:t>
      </w:r>
    </w:p>
    <w:p>
      <w:pPr>
        <w:pStyle w:val="6"/>
        <w:bidi w:val="0"/>
        <w:rPr>
          <w:rFonts w:hint="eastAsia"/>
          <w:color w:val="auto"/>
          <w:highlight w:val="none"/>
        </w:rPr>
      </w:pPr>
      <w:r>
        <w:rPr>
          <w:rFonts w:hint="eastAsia"/>
          <w:color w:val="auto"/>
          <w:highlight w:val="none"/>
          <w:lang w:eastAsia="zh-CN"/>
        </w:rPr>
        <w:t>②</w:t>
      </w:r>
      <w:r>
        <w:rPr>
          <w:rFonts w:hint="eastAsia"/>
          <w:color w:val="auto"/>
          <w:highlight w:val="none"/>
        </w:rPr>
        <w:t>外来入侵物种形成单优势种，导致生物多样性的丧失。</w:t>
      </w:r>
    </w:p>
    <w:p>
      <w:pPr>
        <w:pStyle w:val="6"/>
        <w:bidi w:val="0"/>
        <w:rPr>
          <w:rFonts w:hint="eastAsia"/>
          <w:color w:val="auto"/>
          <w:highlight w:val="none"/>
        </w:rPr>
      </w:pPr>
      <w:r>
        <w:rPr>
          <w:rFonts w:hint="eastAsia"/>
          <w:color w:val="auto"/>
          <w:highlight w:val="none"/>
          <w:lang w:eastAsia="zh-CN"/>
        </w:rPr>
        <w:t>③</w:t>
      </w:r>
      <w:r>
        <w:rPr>
          <w:rFonts w:hint="eastAsia"/>
          <w:color w:val="auto"/>
          <w:highlight w:val="none"/>
        </w:rPr>
        <w:t>生态系统灾害频繁爆发，对农林生产造成严重损害。</w:t>
      </w:r>
    </w:p>
    <w:p>
      <w:pPr>
        <w:pStyle w:val="6"/>
        <w:bidi w:val="0"/>
        <w:rPr>
          <w:rFonts w:hint="eastAsia"/>
          <w:b w:val="0"/>
          <w:bCs w:val="0"/>
          <w:color w:val="auto"/>
          <w:highlight w:val="none"/>
        </w:rPr>
      </w:pPr>
      <w:r>
        <w:rPr>
          <w:rFonts w:hint="eastAsia"/>
          <w:b w:val="0"/>
          <w:bCs w:val="0"/>
          <w:color w:val="auto"/>
          <w:highlight w:val="none"/>
          <w:lang w:val="en-US" w:eastAsia="zh-CN"/>
        </w:rPr>
        <w:t>（2）</w:t>
      </w:r>
      <w:r>
        <w:rPr>
          <w:rFonts w:hint="eastAsia"/>
          <w:b w:val="0"/>
          <w:bCs w:val="0"/>
          <w:color w:val="auto"/>
          <w:highlight w:val="none"/>
        </w:rPr>
        <w:t>生活污水事故排放对水环境的影响</w:t>
      </w:r>
    </w:p>
    <w:p>
      <w:pPr>
        <w:pStyle w:val="6"/>
        <w:bidi w:val="0"/>
        <w:rPr>
          <w:rFonts w:hint="eastAsia"/>
          <w:b/>
          <w:bCs/>
          <w:color w:val="auto"/>
          <w:highlight w:val="none"/>
        </w:rPr>
      </w:pPr>
      <w:r>
        <w:rPr>
          <w:rFonts w:hint="eastAsia"/>
          <w:color w:val="auto"/>
          <w:highlight w:val="none"/>
        </w:rPr>
        <w:t>在规划区运营期间，生活污水收集和输送过程中发生管线破裂，导致生活污水乱排；设备、管线老化损坏，管道腐蚀、堵塞等使未处理好的生活污水从设备管道中泄漏出来，直接造成污水处理管线沿线地面污染，间接对附近地下水及土壤产生影响；生活污水处理设施和污水管网破损等故障，生活污水处理不达标用于规划区绿化及农肥，导致土壤、地下水、植被及农作物受到污染。以上情况均</w:t>
      </w:r>
      <w:r>
        <w:rPr>
          <w:rFonts w:hint="eastAsia"/>
          <w:b/>
          <w:bCs/>
          <w:color w:val="auto"/>
          <w:highlight w:val="none"/>
        </w:rPr>
        <w:t>会对景区环境造成不良影响。</w:t>
      </w:r>
    </w:p>
    <w:p>
      <w:pPr>
        <w:pStyle w:val="6"/>
        <w:bidi w:val="0"/>
        <w:rPr>
          <w:rFonts w:hint="eastAsia"/>
          <w:b/>
          <w:bCs/>
        </w:rPr>
      </w:pPr>
      <w:r>
        <w:rPr>
          <w:rFonts w:hint="eastAsia"/>
          <w:b/>
          <w:bCs/>
          <w:lang w:val="en-US" w:eastAsia="zh-CN"/>
        </w:rPr>
        <w:t>3、</w:t>
      </w:r>
      <w:r>
        <w:rPr>
          <w:rFonts w:hint="eastAsia"/>
          <w:b/>
          <w:bCs/>
        </w:rPr>
        <w:t>风险防范措施</w:t>
      </w:r>
    </w:p>
    <w:p>
      <w:pPr>
        <w:pStyle w:val="6"/>
        <w:bidi w:val="0"/>
        <w:rPr>
          <w:rFonts w:hint="eastAsia"/>
          <w:b w:val="0"/>
          <w:bCs w:val="0"/>
          <w:color w:val="auto"/>
          <w:highlight w:val="none"/>
        </w:rPr>
      </w:pPr>
      <w:r>
        <w:rPr>
          <w:rFonts w:hint="eastAsia"/>
          <w:b w:val="0"/>
          <w:bCs w:val="0"/>
          <w:color w:val="auto"/>
          <w:highlight w:val="none"/>
          <w:lang w:val="en-US" w:eastAsia="zh-CN"/>
        </w:rPr>
        <w:t>（1）</w:t>
      </w:r>
      <w:r>
        <w:rPr>
          <w:rFonts w:hint="eastAsia"/>
          <w:b w:val="0"/>
          <w:bCs w:val="0"/>
          <w:color w:val="auto"/>
          <w:highlight w:val="none"/>
        </w:rPr>
        <w:t>生态风险防范措施</w:t>
      </w:r>
    </w:p>
    <w:p>
      <w:pPr>
        <w:pStyle w:val="6"/>
        <w:bidi w:val="0"/>
        <w:rPr>
          <w:rFonts w:hint="eastAsia"/>
          <w:color w:val="auto"/>
          <w:highlight w:val="none"/>
        </w:rPr>
      </w:pPr>
      <w:r>
        <w:rPr>
          <w:rFonts w:hint="eastAsia"/>
          <w:color w:val="auto"/>
          <w:highlight w:val="none"/>
          <w:lang w:eastAsia="zh-CN"/>
        </w:rPr>
        <w:t>①</w:t>
      </w:r>
      <w:r>
        <w:rPr>
          <w:rFonts w:hint="eastAsia"/>
          <w:color w:val="auto"/>
          <w:highlight w:val="none"/>
        </w:rPr>
        <w:t>统筹考虑环境风险要素，构建生态环境风险防范体系。以生态安全、环境质量、资源消耗为重点，建立</w:t>
      </w:r>
      <w:r>
        <w:rPr>
          <w:rFonts w:hint="eastAsia"/>
          <w:color w:val="auto"/>
          <w:highlight w:val="none"/>
          <w:lang w:val="en-US" w:eastAsia="zh-CN"/>
        </w:rPr>
        <w:t>林芝</w:t>
      </w:r>
      <w:r>
        <w:rPr>
          <w:rFonts w:hint="eastAsia"/>
          <w:color w:val="auto"/>
          <w:highlight w:val="none"/>
        </w:rPr>
        <w:t>市生态环境风险防范体系。通过划定生态保护红线，对生态功能重要区域和生态环境敏感脆弱区域进行有效的生态安全风险防范。</w:t>
      </w:r>
    </w:p>
    <w:p>
      <w:pPr>
        <w:pStyle w:val="6"/>
        <w:bidi w:val="0"/>
        <w:rPr>
          <w:rFonts w:hint="eastAsia"/>
          <w:color w:val="auto"/>
          <w:highlight w:val="none"/>
        </w:rPr>
      </w:pPr>
      <w:r>
        <w:rPr>
          <w:rFonts w:hint="eastAsia"/>
          <w:color w:val="auto"/>
          <w:highlight w:val="none"/>
          <w:lang w:eastAsia="zh-CN"/>
        </w:rPr>
        <w:t>②</w:t>
      </w:r>
      <w:r>
        <w:rPr>
          <w:rFonts w:hint="eastAsia"/>
          <w:color w:val="auto"/>
          <w:highlight w:val="none"/>
        </w:rPr>
        <w:t>建立全过程、多层级风险防范制度。建立事前严防、事中严管、事后处置的全过程风险防范制度，对“建设项目—发展规划—产业政策”全决策过程进行风险防范。</w:t>
      </w:r>
    </w:p>
    <w:p>
      <w:pPr>
        <w:pStyle w:val="6"/>
        <w:bidi w:val="0"/>
        <w:rPr>
          <w:rFonts w:hint="eastAsia"/>
          <w:color w:val="auto"/>
          <w:highlight w:val="none"/>
        </w:rPr>
      </w:pPr>
      <w:r>
        <w:rPr>
          <w:rFonts w:hint="eastAsia"/>
          <w:color w:val="auto"/>
          <w:highlight w:val="none"/>
          <w:lang w:eastAsia="zh-CN"/>
        </w:rPr>
        <w:t>③</w:t>
      </w:r>
      <w:r>
        <w:rPr>
          <w:rFonts w:hint="eastAsia"/>
          <w:color w:val="auto"/>
          <w:highlight w:val="none"/>
        </w:rPr>
        <w:t>夯实生态环境监测和预警体系，将风险防范纳入常态化管理。充分利用大数据和空间信息技术，根据不同层次的组织管理特征和环境风险评估预警的业务化需求，建立生态环境风险评估与预警技术。通过生态环境风险智能识别，建立满足实际管理部门需求的风险监测和预警体系，将生态环境风险纳入常态化管理。</w:t>
      </w:r>
    </w:p>
    <w:p>
      <w:pPr>
        <w:pStyle w:val="6"/>
        <w:bidi w:val="0"/>
        <w:rPr>
          <w:rFonts w:hint="eastAsia"/>
          <w:color w:val="auto"/>
          <w:highlight w:val="none"/>
        </w:rPr>
      </w:pPr>
      <w:r>
        <w:rPr>
          <w:rFonts w:hint="eastAsia"/>
          <w:color w:val="auto"/>
          <w:highlight w:val="none"/>
          <w:lang w:eastAsia="zh-CN"/>
        </w:rPr>
        <w:t>④</w:t>
      </w:r>
      <w:r>
        <w:rPr>
          <w:rFonts w:hint="eastAsia"/>
          <w:color w:val="auto"/>
          <w:highlight w:val="none"/>
        </w:rPr>
        <w:t>提高旅游者的环境保护意识，在景区设置环境保护手册；在旅游旺季限额售票和提高门票价格，减少游览人口，在旅游区内分散名胜景点，提高客流容量，降低名胜景点的客流，合理安排旅游路线，提高游览速度，降低滞留时间，杜绝回流现象，选择若干同类区域轮流开放。</w:t>
      </w:r>
    </w:p>
    <w:p>
      <w:pPr>
        <w:pStyle w:val="6"/>
        <w:bidi w:val="0"/>
        <w:rPr>
          <w:rFonts w:hint="eastAsia"/>
          <w:b w:val="0"/>
          <w:bCs w:val="0"/>
          <w:color w:val="auto"/>
          <w:highlight w:val="none"/>
        </w:rPr>
      </w:pPr>
      <w:r>
        <w:rPr>
          <w:rFonts w:hint="eastAsia"/>
          <w:b w:val="0"/>
          <w:bCs w:val="0"/>
          <w:color w:val="auto"/>
          <w:highlight w:val="none"/>
          <w:lang w:val="en-US" w:eastAsia="zh-CN"/>
        </w:rPr>
        <w:t>（2）</w:t>
      </w:r>
      <w:r>
        <w:rPr>
          <w:rFonts w:hint="eastAsia"/>
          <w:b w:val="0"/>
          <w:bCs w:val="0"/>
          <w:color w:val="auto"/>
          <w:highlight w:val="none"/>
        </w:rPr>
        <w:t>污水事故排放防护措施</w:t>
      </w:r>
    </w:p>
    <w:p>
      <w:pPr>
        <w:pStyle w:val="6"/>
        <w:bidi w:val="0"/>
        <w:rPr>
          <w:rFonts w:hint="eastAsia"/>
          <w:color w:val="auto"/>
          <w:highlight w:val="none"/>
        </w:rPr>
      </w:pPr>
      <w:r>
        <w:rPr>
          <w:rFonts w:hint="eastAsia"/>
          <w:color w:val="auto"/>
          <w:highlight w:val="none"/>
        </w:rPr>
        <w:t>定期和不定期巡查污水管线，注意避免污水管线堵塞和破裂，如果出现事故要及时向环保行政主管部门报告，避免污染水体。</w:t>
      </w:r>
    </w:p>
    <w:p>
      <w:pPr>
        <w:pStyle w:val="5"/>
      </w:pPr>
      <w:bookmarkStart w:id="158" w:name="_Toc17201"/>
      <w:bookmarkStart w:id="159" w:name="_Toc22706"/>
      <w:r>
        <w:rPr>
          <w:rFonts w:hint="eastAsia"/>
        </w:rPr>
        <w:t>5.2.</w:t>
      </w:r>
      <w:r>
        <w:rPr>
          <w:rFonts w:hint="eastAsia"/>
          <w:lang w:val="en-US" w:eastAsia="zh-CN"/>
        </w:rPr>
        <w:t>5</w:t>
      </w:r>
      <w:r>
        <w:rPr>
          <w:rFonts w:hint="eastAsia"/>
        </w:rPr>
        <w:t>人群健康影响分析</w:t>
      </w:r>
      <w:bookmarkEnd w:id="158"/>
      <w:bookmarkEnd w:id="159"/>
    </w:p>
    <w:p>
      <w:pPr>
        <w:pStyle w:val="6"/>
        <w:ind w:firstLine="480"/>
        <w:rPr>
          <w:rFonts w:hint="eastAsia"/>
        </w:rPr>
      </w:pPr>
      <w:r>
        <w:rPr>
          <w:rFonts w:hint="eastAsia"/>
        </w:rPr>
        <w:t>规划的建设对人群健康的不利影响主要是因为人口的流动造成一些传染性疾病的传播。人口流动包括施工期施工人员及运营期的外来投资者、就业者及游客。</w:t>
      </w:r>
    </w:p>
    <w:p>
      <w:pPr>
        <w:pStyle w:val="6"/>
        <w:ind w:firstLine="480"/>
        <w:rPr>
          <w:rFonts w:hint="eastAsia"/>
        </w:rPr>
      </w:pPr>
      <w:r>
        <w:rPr>
          <w:rFonts w:hint="eastAsia"/>
        </w:rPr>
        <w:t>在施工期，施工人员的饮用水供应、吃饭、住宿等条件较简陋，施工人群流动性较大，人群健康状况对疾病的抵抗力不一样，易导致一些消化道传染病、呼吸道传染病在工地上流行，也容易导致当地地方病发生携带感染。</w:t>
      </w:r>
    </w:p>
    <w:p>
      <w:pPr>
        <w:pStyle w:val="6"/>
        <w:ind w:firstLine="480"/>
        <w:rPr>
          <w:rFonts w:hint="eastAsia"/>
        </w:rPr>
      </w:pPr>
      <w:r>
        <w:rPr>
          <w:rFonts w:hint="eastAsia"/>
        </w:rPr>
        <w:t>在运营期，外来投资者、就业者及游客来自区外，流动性大，病原种类多样性，这些人群的病原体携带状况与食宿条件密切相关，同时，病原体在环境中传播途径很多，一旦抵抗力下降，使人群患病的可能性偏高。</w:t>
      </w:r>
    </w:p>
    <w:p>
      <w:pPr>
        <w:pStyle w:val="6"/>
        <w:ind w:firstLine="480"/>
        <w:rPr>
          <w:rFonts w:hint="eastAsia"/>
        </w:rPr>
      </w:pPr>
      <w:r>
        <w:rPr>
          <w:rFonts w:hint="eastAsia"/>
        </w:rPr>
        <w:t>施工期对施工人员定期进行身体检查，保持施工场地的卫生，施工营地的通风，保证饮水安全；运营期做好规划区内的清洁工作，做好突发疾病的预防等工作。</w:t>
      </w:r>
    </w:p>
    <w:p>
      <w:pPr>
        <w:pStyle w:val="6"/>
        <w:ind w:firstLine="480"/>
        <w:rPr>
          <w:rFonts w:hint="eastAsia"/>
        </w:rPr>
      </w:pPr>
      <w:r>
        <w:rPr>
          <w:rFonts w:hint="eastAsia"/>
        </w:rPr>
        <w:t>因此，在做好相应的防范措施条件下，规划实施不会对人群健康造成明显的不利影响；规划项目建成后，在带动地区经济发展的同时，将会提高当地居民的生活、文化水平，改善并增加人们预防和治疗疾病的意识和物质条件，对人群健康的保护是有利的。</w:t>
      </w:r>
    </w:p>
    <w:p>
      <w:pPr>
        <w:pStyle w:val="5"/>
        <w:bidi w:val="0"/>
      </w:pPr>
      <w:bookmarkStart w:id="160" w:name="_Toc93156035"/>
      <w:bookmarkStart w:id="161" w:name="_Toc25519"/>
      <w:bookmarkStart w:id="162" w:name="_Toc26753"/>
      <w:r>
        <w:rPr>
          <w:rFonts w:hint="eastAsia"/>
          <w:lang w:val="en-US" w:eastAsia="zh-CN"/>
        </w:rPr>
        <w:t>5.2.6</w:t>
      </w:r>
      <w:r>
        <w:rPr>
          <w:rFonts w:hint="eastAsia"/>
        </w:rPr>
        <w:t>规划对当地经济文化的影响分析</w:t>
      </w:r>
      <w:bookmarkEnd w:id="160"/>
      <w:bookmarkEnd w:id="161"/>
      <w:bookmarkEnd w:id="162"/>
      <w:r>
        <w:t xml:space="preserve"> </w:t>
      </w:r>
    </w:p>
    <w:p>
      <w:pPr>
        <w:pStyle w:val="6"/>
        <w:bidi w:val="0"/>
        <w:rPr>
          <w:b/>
          <w:bCs/>
        </w:rPr>
      </w:pPr>
      <w:bookmarkStart w:id="163" w:name="_Toc24327"/>
      <w:bookmarkStart w:id="164" w:name="_Toc93156036"/>
      <w:r>
        <w:rPr>
          <w:rFonts w:hint="eastAsia"/>
          <w:b/>
          <w:bCs/>
          <w:lang w:val="en-US" w:eastAsia="zh-CN"/>
        </w:rPr>
        <w:t>1、</w:t>
      </w:r>
      <w:r>
        <w:rPr>
          <w:rFonts w:hint="eastAsia"/>
          <w:b/>
          <w:bCs/>
        </w:rPr>
        <w:t>旅游业对国民经济的贡献分析</w:t>
      </w:r>
      <w:bookmarkEnd w:id="163"/>
      <w:bookmarkEnd w:id="164"/>
      <w:r>
        <w:rPr>
          <w:b/>
          <w:bCs/>
        </w:rPr>
        <w:t xml:space="preserve"> </w:t>
      </w:r>
    </w:p>
    <w:p>
      <w:pPr>
        <w:pStyle w:val="6"/>
        <w:ind w:firstLine="480"/>
        <w:rPr>
          <w:rFonts w:hint="eastAsia"/>
        </w:rPr>
      </w:pPr>
      <w:r>
        <w:rPr>
          <w:rFonts w:hint="eastAsia"/>
        </w:rPr>
        <w:t>旅游业是以旅游资源为基础，以行、游、住、食、购、娱等一系列相关产业为依托发展起来的产业。发展旅游的资金、劳动、技术等生产要素向资源地流动，且最根本的是旅游消费必须在当地发生，因而必然推动当地旅馆业、游览业、参餐饮业、交通运输业、通讯信息等相关产业的发展，提高旅游地经济水平。</w:t>
      </w:r>
    </w:p>
    <w:p>
      <w:pPr>
        <w:pStyle w:val="6"/>
        <w:ind w:firstLine="480"/>
        <w:rPr>
          <w:rFonts w:hint="eastAsia"/>
        </w:rPr>
      </w:pPr>
      <w:r>
        <w:rPr>
          <w:rFonts w:hint="eastAsia"/>
        </w:rPr>
        <w:t>旅游作为劳动密集型服务行业，需要大量服务人员和管理人员，促进社区居民就业，引起周边社区产业结构的调整，从而促进社区其他经济活动的开展，提升社区经济效益。</w:t>
      </w:r>
    </w:p>
    <w:p>
      <w:pPr>
        <w:pStyle w:val="6"/>
        <w:ind w:firstLine="480"/>
        <w:rPr>
          <w:rFonts w:hint="eastAsia"/>
          <w:color w:val="1A15F1"/>
          <w:highlight w:val="yellow"/>
        </w:rPr>
      </w:pPr>
      <w:r>
        <w:rPr>
          <w:rFonts w:hint="eastAsia"/>
          <w:color w:val="1A15F1"/>
          <w:highlight w:val="none"/>
        </w:rPr>
        <w:t>在</w:t>
      </w:r>
      <w:r>
        <w:rPr>
          <w:color w:val="1A15F1"/>
          <w:highlight w:val="none"/>
        </w:rPr>
        <w:t>规划期内</w:t>
      </w:r>
      <w:r>
        <w:rPr>
          <w:rFonts w:hint="eastAsia"/>
          <w:color w:val="1A15F1"/>
          <w:highlight w:val="none"/>
        </w:rPr>
        <w:t>，</w:t>
      </w:r>
      <w:r>
        <w:rPr>
          <w:rFonts w:hint="eastAsia"/>
          <w:color w:val="1A15F1"/>
          <w:highlight w:val="none"/>
          <w:lang w:val="en-US" w:eastAsia="zh-CN"/>
        </w:rPr>
        <w:t>林芝市全域</w:t>
      </w:r>
      <w:r>
        <w:rPr>
          <w:rFonts w:hint="eastAsia"/>
          <w:color w:val="1A15F1"/>
          <w:highlight w:val="none"/>
        </w:rPr>
        <w:t>旅游规划将坚持生态旅游发展路径，参照国际相关生态标准体系，重点开发生态旅游精品，强调品质与品牌的核心价值与作用。融合创新、全域拓展，实现旅游基础及服务设施全域覆盖，旅游产业竞争力稳步提升。</w:t>
      </w:r>
      <w:r>
        <w:rPr>
          <w:rFonts w:hint="eastAsia"/>
          <w:color w:val="1A15F1"/>
          <w:highlight w:val="none"/>
          <w:lang w:val="en-US" w:eastAsia="zh-CN"/>
        </w:rPr>
        <w:t>使林芝市</w:t>
      </w:r>
      <w:r>
        <w:rPr>
          <w:rFonts w:hint="eastAsia"/>
          <w:color w:val="1A15F1"/>
          <w:highlight w:val="none"/>
        </w:rPr>
        <w:t>晋身世界级高原生态旅游度假目的地和世界级公路旅游目的地。</w:t>
      </w:r>
    </w:p>
    <w:p>
      <w:pPr>
        <w:pStyle w:val="6"/>
        <w:bidi w:val="0"/>
        <w:rPr>
          <w:b/>
          <w:bCs/>
        </w:rPr>
      </w:pPr>
      <w:bookmarkStart w:id="165" w:name="_Toc93156037"/>
      <w:bookmarkStart w:id="166" w:name="_Toc27894"/>
      <w:r>
        <w:rPr>
          <w:rFonts w:hint="eastAsia"/>
          <w:b/>
          <w:bCs/>
          <w:lang w:val="en-US" w:eastAsia="zh-CN"/>
        </w:rPr>
        <w:t>2、</w:t>
      </w:r>
      <w:r>
        <w:rPr>
          <w:rFonts w:hint="eastAsia"/>
          <w:b/>
          <w:bCs/>
        </w:rPr>
        <w:t>旅游发展规划的社会效益分析</w:t>
      </w:r>
      <w:bookmarkEnd w:id="165"/>
      <w:bookmarkEnd w:id="166"/>
      <w:r>
        <w:rPr>
          <w:b/>
          <w:bCs/>
        </w:rPr>
        <w:t xml:space="preserve"> </w:t>
      </w:r>
    </w:p>
    <w:p>
      <w:pPr>
        <w:pStyle w:val="6"/>
        <w:ind w:firstLine="480"/>
        <w:rPr>
          <w:rFonts w:hint="eastAsia"/>
        </w:rPr>
      </w:pPr>
      <w:r>
        <w:rPr>
          <w:rFonts w:hint="eastAsia"/>
        </w:rPr>
        <w:t>林芝市通过发展旅游产业，促进各乡镇的城镇化发展、强化城市的品牌形象、培育城市的支柱产业，将旅游元素融入城市建设，完善城市公共服务体系，全面带动城市发展，提升市民幸福指数，驱动城市空间优化和土地价值的提升。</w:t>
      </w:r>
    </w:p>
    <w:p>
      <w:pPr>
        <w:pStyle w:val="6"/>
        <w:ind w:firstLine="480"/>
        <w:rPr>
          <w:rFonts w:hint="eastAsia"/>
        </w:rPr>
      </w:pPr>
      <w:r>
        <w:rPr>
          <w:rFonts w:hint="eastAsia"/>
        </w:rPr>
        <w:t>林芝市</w:t>
      </w:r>
      <w:r>
        <w:rPr>
          <w:rFonts w:hint="eastAsia"/>
          <w:lang w:val="en-US" w:eastAsia="zh-CN"/>
        </w:rPr>
        <w:t>全域</w:t>
      </w:r>
      <w:r>
        <w:rPr>
          <w:rFonts w:hint="eastAsia"/>
        </w:rPr>
        <w:t>旅游把长远的可持续旅游作为自己的发展目标。生态旅游对各种旅游资源的开发是在保护为前提条件下进行的，在开发中做到严格保护，合理开发，永续利用，实现可持续发展。充分发挥旅游业在建设资源节约和环境友好型社会中的独特作用，通过发展旅游业，促进湖泊、河流、水资源的恢复，森林植被的恢复、培植和保育，自然环境的改善和提升，保持旅游业发展与生态建设、城镇建设、环境保护、资源保护、文物保护之间的良性循环，将旅游资源开发与自然环境保护、再生资源永续利用紧密结合，追求社会、经济、环境效益的统一协调发展。</w:t>
      </w:r>
    </w:p>
    <w:p>
      <w:pPr>
        <w:pStyle w:val="6"/>
        <w:bidi w:val="0"/>
        <w:rPr>
          <w:b/>
          <w:bCs/>
        </w:rPr>
      </w:pPr>
      <w:bookmarkStart w:id="167" w:name="_Toc93156038"/>
      <w:bookmarkStart w:id="168" w:name="_Toc1618"/>
      <w:r>
        <w:rPr>
          <w:rFonts w:hint="eastAsia"/>
          <w:b/>
          <w:bCs/>
          <w:lang w:val="en-US" w:eastAsia="zh-CN"/>
        </w:rPr>
        <w:t>3、</w:t>
      </w:r>
      <w:r>
        <w:rPr>
          <w:rFonts w:hint="eastAsia"/>
          <w:b/>
          <w:bCs/>
        </w:rPr>
        <w:t>对社会文化的影响</w:t>
      </w:r>
      <w:bookmarkEnd w:id="167"/>
      <w:bookmarkEnd w:id="168"/>
      <w:r>
        <w:rPr>
          <w:b/>
          <w:bCs/>
        </w:rPr>
        <w:t xml:space="preserve"> </w:t>
      </w:r>
    </w:p>
    <w:p>
      <w:pPr>
        <w:pStyle w:val="6"/>
        <w:bidi w:val="0"/>
        <w:rPr>
          <w:b/>
          <w:bCs/>
        </w:rPr>
      </w:pPr>
      <w:r>
        <w:rPr>
          <w:rFonts w:hint="eastAsia"/>
          <w:b/>
          <w:bCs/>
          <w:lang w:val="en-US" w:eastAsia="zh-CN"/>
        </w:rPr>
        <w:t>（1）</w:t>
      </w:r>
      <w:r>
        <w:rPr>
          <w:rFonts w:hint="eastAsia"/>
          <w:b/>
          <w:bCs/>
        </w:rPr>
        <w:t>正面影响</w:t>
      </w:r>
      <w:r>
        <w:rPr>
          <w:b/>
          <w:bCs/>
        </w:rPr>
        <w:t xml:space="preserve"> </w:t>
      </w:r>
    </w:p>
    <w:p>
      <w:pPr>
        <w:pStyle w:val="6"/>
        <w:ind w:firstLine="480"/>
      </w:pPr>
      <w:r>
        <w:t>1</w:t>
      </w:r>
      <w:r>
        <w:rPr>
          <w:rFonts w:hint="eastAsia"/>
        </w:rPr>
        <w:t>）地方文化的再构建地方（历史、民族）文化是一个地方或社区重要的旅游资源。随着旅游业的发展和接待外来旅游者的需要，当地一些原先几乎被人们遗忘了的传统习俗和文化活动又重新得到了开发和恢复，特别是历史文化、民族地区的旅游，通过人文旅游景观以多种形式的重组和再现，推动了民族或历史传统文化的复兴与再建构，以及民族认同、民族精神的再造。借助旅游兴起的契机获得一定程度地重视、恢复与传承。</w:t>
      </w:r>
      <w:r>
        <w:t xml:space="preserve"> </w:t>
      </w:r>
    </w:p>
    <w:p>
      <w:pPr>
        <w:pStyle w:val="6"/>
        <w:ind w:firstLine="480"/>
      </w:pPr>
      <w:r>
        <w:t>2</w:t>
      </w:r>
      <w:r>
        <w:rPr>
          <w:rFonts w:hint="eastAsia"/>
        </w:rPr>
        <w:t>）对外开放与新文化的融合不同职业、身份、阶层、民族、宗教信仰以及年龄性别的旅游者们，通过旅游活动相聚相知，极大地促进了不同地域人们之间的友好往来和相互了解，从而推动了文化的相互间的交融，为地方文化的发展作出了贡献。</w:t>
      </w:r>
      <w:r>
        <w:t xml:space="preserve"> </w:t>
      </w:r>
    </w:p>
    <w:p>
      <w:pPr>
        <w:pStyle w:val="6"/>
        <w:ind w:firstLine="480"/>
      </w:pPr>
      <w:r>
        <w:t>3</w:t>
      </w:r>
      <w:r>
        <w:rPr>
          <w:rFonts w:hint="eastAsia"/>
        </w:rPr>
        <w:t>）促进族群认同，就是人们依据各自的语言、文化、血缘、出生地、种族和宗教等来寻求自己属于某一个民族共同体的意识，正是基于这样一种认同，才唤起了人们对本族群的生存发展、荣辱兴衰等方面的认识、关切与维护。旅游地的居民通过与各种各样的国内外游客交往，往往会唤起他们对自身归属的认识，强化族群认同。</w:t>
      </w:r>
      <w:r>
        <w:t xml:space="preserve"> </w:t>
      </w:r>
    </w:p>
    <w:p>
      <w:pPr>
        <w:pStyle w:val="6"/>
        <w:ind w:firstLine="480"/>
      </w:pPr>
      <w:r>
        <w:t>4</w:t>
      </w:r>
      <w:r>
        <w:rPr>
          <w:rFonts w:hint="eastAsia"/>
        </w:rPr>
        <w:t>）居民生活方式的改变在很大程度上，受旅游业的影响而导致社会文化的变化表现在传统生活方式和生产方式的变革以及物质生活上的改变上。为了适应旅游业的发展需要，以往日出而作日落而息的农业劳动者现在变成了导游人员、民族歌舞表演者、旅游公司员工、</w:t>
      </w:r>
      <w:r>
        <w:t>“</w:t>
      </w:r>
      <w:r>
        <w:rPr>
          <w:rFonts w:hint="eastAsia"/>
        </w:rPr>
        <w:t>农家乐</w:t>
      </w:r>
      <w:r>
        <w:t>”</w:t>
      </w:r>
      <w:r>
        <w:rPr>
          <w:rFonts w:hint="eastAsia"/>
        </w:rPr>
        <w:t>的经营者或帮工者等，社区的基础设施、生活服务设施和其它方便旅游者的设施也会有所增加。这些都在客观上改善了社区居民的生活环境，方便社区居民的生活，从而在一定程度上使居民生活方式发生改变。</w:t>
      </w:r>
      <w:r>
        <w:t xml:space="preserve"> </w:t>
      </w:r>
    </w:p>
    <w:p>
      <w:pPr>
        <w:pStyle w:val="6"/>
        <w:ind w:firstLine="480"/>
      </w:pPr>
      <w:r>
        <w:t>5</w:t>
      </w:r>
      <w:r>
        <w:rPr>
          <w:rFonts w:hint="eastAsia"/>
        </w:rPr>
        <w:t>）居民价值观念的改变来自世界各国的旅游者，各自具有不同的政治信仰、道德观念和生活方式，有可能表现出良好的道德品质和友好的态度。</w:t>
      </w:r>
    </w:p>
    <w:p>
      <w:pPr>
        <w:pStyle w:val="6"/>
        <w:bidi w:val="0"/>
        <w:rPr>
          <w:b/>
          <w:bCs/>
        </w:rPr>
      </w:pPr>
      <w:r>
        <w:rPr>
          <w:rFonts w:hint="eastAsia"/>
          <w:b/>
          <w:bCs/>
          <w:lang w:val="en-US" w:eastAsia="zh-CN"/>
        </w:rPr>
        <w:t>（2）</w:t>
      </w:r>
      <w:r>
        <w:rPr>
          <w:rFonts w:hint="eastAsia"/>
          <w:b/>
          <w:bCs/>
        </w:rPr>
        <w:t>负面影响</w:t>
      </w:r>
      <w:r>
        <w:rPr>
          <w:b/>
          <w:bCs/>
        </w:rPr>
        <w:t xml:space="preserve"> </w:t>
      </w:r>
    </w:p>
    <w:p>
      <w:pPr>
        <w:pStyle w:val="6"/>
        <w:ind w:firstLine="480"/>
      </w:pPr>
      <w:r>
        <w:t>1</w:t>
      </w:r>
      <w:r>
        <w:rPr>
          <w:rFonts w:hint="eastAsia"/>
        </w:rPr>
        <w:t>）旅游开发中有时会因为盲目追求短期经济效益数量，对宝贵的旅游资源低水平的过量开发，从而造成资源的极大破坏。</w:t>
      </w:r>
      <w:r>
        <w:t xml:space="preserve"> </w:t>
      </w:r>
    </w:p>
    <w:p>
      <w:pPr>
        <w:pStyle w:val="6"/>
        <w:ind w:firstLine="480"/>
      </w:pPr>
      <w:r>
        <w:t>2</w:t>
      </w:r>
      <w:r>
        <w:rPr>
          <w:rFonts w:hint="eastAsia"/>
        </w:rPr>
        <w:t>）缺乏保存文化遗产所需的技术、资金及相关的培训，不能有效地可持续地利用和保护旅游资源。在一些已经或正在进行民族文化旅游开发的地区，当地社区人民获得专业培训的机会极少，在这些地区，人们对区域的文化价值认知不足，盲目开发，盲目追求“现代化”，常常造成建设性的破坏。</w:t>
      </w:r>
      <w:r>
        <w:t xml:space="preserve"> </w:t>
      </w:r>
    </w:p>
    <w:p>
      <w:pPr>
        <w:pStyle w:val="6"/>
        <w:ind w:firstLine="480"/>
      </w:pPr>
      <w:r>
        <w:t>3</w:t>
      </w:r>
      <w:r>
        <w:rPr>
          <w:rFonts w:hint="eastAsia"/>
        </w:rPr>
        <w:t>）许多自然与文化遗产地，未指定科学的旅游开发规划，不能切实建立保护性措施，随着大量游客的涌入，人为的破坏以及产生的大量的旅游垃圾废物对自然遗产地造成很大影响和损害。一些游客也由于缺乏道德修养、不尊重当地文化传统和其他不文明的、缺乏文化敏感性的行为而造成对文化遗产的破坏。</w:t>
      </w:r>
      <w:r>
        <w:t xml:space="preserve"> </w:t>
      </w:r>
    </w:p>
    <w:p>
      <w:pPr>
        <w:pStyle w:val="6"/>
        <w:ind w:firstLine="480"/>
      </w:pPr>
      <w:r>
        <w:t>4</w:t>
      </w:r>
      <w:r>
        <w:rPr>
          <w:rFonts w:hint="eastAsia"/>
        </w:rPr>
        <w:t>）游客数量增多，对区域居民日常生活也产生干扰，侵入和破坏了居民长期以来习惯的正常生活，游客的现代的价值观念、习俗标准和生活方式，也对村民的传统生活方式和道德伦理产生冲击，使村民产生厌恶恼怒情绪，甚至敌对情绪。</w:t>
      </w:r>
    </w:p>
    <w:p>
      <w:pPr>
        <w:pStyle w:val="6"/>
        <w:ind w:firstLine="480"/>
        <w:rPr>
          <w:rFonts w:hint="eastAsia"/>
          <w:color w:val="auto"/>
          <w:highlight w:val="none"/>
        </w:rPr>
      </w:pPr>
      <w:r>
        <w:t>5</w:t>
      </w:r>
      <w:r>
        <w:rPr>
          <w:rFonts w:hint="eastAsia"/>
        </w:rPr>
        <w:t>）商业化和民族文化真实性的矛盾：不真实的、劣质的简单复制或伪造；乡村旅游中的商业行为对传统文化真实性的破坏，比如为了迎合游客需要设计的节庆节事活动等，脱离了它们原本的时间和场所，丧失了文化内涵，完全成为一种设计的商业性活动</w:t>
      </w:r>
    </w:p>
    <w:p>
      <w:pPr>
        <w:pStyle w:val="4"/>
        <w:bidi w:val="0"/>
        <w:rPr>
          <w:rFonts w:hint="eastAsia"/>
        </w:rPr>
      </w:pPr>
      <w:bookmarkStart w:id="169" w:name="_Toc19641"/>
      <w:bookmarkStart w:id="170" w:name="_Toc17232"/>
      <w:bookmarkStart w:id="171" w:name="_Toc93156045"/>
      <w:r>
        <w:rPr>
          <w:rFonts w:hint="eastAsia"/>
          <w:lang w:val="en-US" w:eastAsia="zh-CN"/>
        </w:rPr>
        <w:t>5.3</w:t>
      </w:r>
      <w:r>
        <w:rPr>
          <w:rFonts w:hint="eastAsia"/>
        </w:rPr>
        <w:t>资源与环境承载力评估</w:t>
      </w:r>
      <w:bookmarkEnd w:id="169"/>
      <w:bookmarkEnd w:id="170"/>
      <w:bookmarkEnd w:id="171"/>
    </w:p>
    <w:p>
      <w:pPr>
        <w:pStyle w:val="5"/>
        <w:rPr>
          <w:rFonts w:hint="eastAsia"/>
        </w:rPr>
      </w:pPr>
      <w:bookmarkStart w:id="172" w:name="_Toc23216"/>
      <w:bookmarkStart w:id="173" w:name="_Toc5516"/>
      <w:r>
        <w:rPr>
          <w:rFonts w:hint="eastAsia"/>
        </w:rPr>
        <w:t>5.3.1资源承载力状态评估</w:t>
      </w:r>
      <w:bookmarkEnd w:id="172"/>
      <w:bookmarkEnd w:id="173"/>
    </w:p>
    <w:p>
      <w:pPr>
        <w:pStyle w:val="2"/>
      </w:pPr>
      <w:r>
        <w:rPr>
          <w:rFonts w:hint="eastAsia"/>
        </w:rPr>
        <w:t>5.3.1.1水资源承载状态评估</w:t>
      </w:r>
    </w:p>
    <w:p>
      <w:pPr>
        <w:pStyle w:val="6"/>
        <w:ind w:firstLine="480"/>
        <w:rPr>
          <w:rFonts w:hint="eastAsia"/>
        </w:rPr>
      </w:pPr>
      <w:r>
        <w:rPr>
          <w:rFonts w:hint="eastAsia"/>
        </w:rPr>
        <w:t>林芝市河流水系主要包括雅鲁藏布江、怒江和察隅曲流域。林芝市年降水总量400-2200毫米，年平均降雨量650毫米左右。受印度洋暖湿气流的影响，林芝市降水丰沛，水系发育，河网稠密，河网密度是西藏最大的地区之一。林芝主要分布有雅鲁藏布江及其支流尼洋河、帕隆藏布，怒江，察隅河等河流水系，都为外流河及属印度洋水系。</w:t>
      </w:r>
    </w:p>
    <w:p>
      <w:pPr>
        <w:pStyle w:val="6"/>
        <w:ind w:firstLine="480"/>
        <w:rPr>
          <w:rFonts w:hint="eastAsia"/>
        </w:rPr>
      </w:pPr>
      <w:r>
        <w:rPr>
          <w:rFonts w:hint="eastAsia"/>
        </w:rPr>
        <w:t>林芝市多年平均水资源量2328.61亿m</w:t>
      </w:r>
      <w:r>
        <w:rPr>
          <w:rFonts w:hint="eastAsia"/>
          <w:vertAlign w:val="superscript"/>
        </w:rPr>
        <w:t>3</w:t>
      </w:r>
      <w:r>
        <w:rPr>
          <w:rFonts w:hint="eastAsia"/>
        </w:rPr>
        <w:t>，占西藏自治区水资源总量4393.95亿m</w:t>
      </w:r>
      <w:r>
        <w:rPr>
          <w:rFonts w:hint="eastAsia"/>
          <w:vertAlign w:val="superscript"/>
        </w:rPr>
        <w:t>3</w:t>
      </w:r>
      <w:r>
        <w:rPr>
          <w:rFonts w:hint="eastAsia"/>
        </w:rPr>
        <w:t>的53%，占全国水资源总量的8.4%。人均水资源量122万立方米，居全国第一。境内河流湖泊众多，河网密度大，流域面积50平方公里以上的河流（河段）651条（段），50平方公里以下的河流1000多条，1平方公里以上湖泊25座。林芝市多年平均径流深1530.6mm，地下水资源量约为388.3亿m</w:t>
      </w:r>
      <w:r>
        <w:rPr>
          <w:rFonts w:hint="eastAsia"/>
          <w:vertAlign w:val="superscript"/>
        </w:rPr>
        <w:t>3</w:t>
      </w:r>
      <w:r>
        <w:rPr>
          <w:rFonts w:hint="eastAsia"/>
        </w:rPr>
        <w:t>，地下水资源模数在21.5～2.4万m</w:t>
      </w:r>
      <w:r>
        <w:rPr>
          <w:rFonts w:hint="eastAsia"/>
          <w:vertAlign w:val="superscript"/>
        </w:rPr>
        <w:t>3</w:t>
      </w:r>
      <w:r>
        <w:rPr>
          <w:rFonts w:hint="eastAsia"/>
        </w:rPr>
        <w:t>/km</w:t>
      </w:r>
      <w:r>
        <w:rPr>
          <w:rFonts w:hint="eastAsia"/>
          <w:vertAlign w:val="superscript"/>
        </w:rPr>
        <w:t>2</w:t>
      </w:r>
      <w:r>
        <w:rPr>
          <w:rFonts w:hint="eastAsia"/>
        </w:rPr>
        <w:t>之间，产水模数在128.7～5.1万m</w:t>
      </w:r>
      <w:r>
        <w:rPr>
          <w:rFonts w:hint="eastAsia"/>
          <w:vertAlign w:val="superscript"/>
        </w:rPr>
        <w:t>3</w:t>
      </w:r>
      <w:r>
        <w:rPr>
          <w:rFonts w:hint="eastAsia"/>
        </w:rPr>
        <w:t>/km</w:t>
      </w:r>
      <w:r>
        <w:rPr>
          <w:rFonts w:hint="eastAsia"/>
          <w:vertAlign w:val="superscript"/>
        </w:rPr>
        <w:t>2</w:t>
      </w:r>
      <w:r>
        <w:rPr>
          <w:rFonts w:hint="eastAsia"/>
        </w:rPr>
        <w:t>之间，降水分布南部米林县多年平均降水量大，向西北方向逐渐减小，工布江达县最小。</w:t>
      </w:r>
    </w:p>
    <w:p>
      <w:r>
        <w:rPr>
          <w:rFonts w:hint="eastAsia"/>
        </w:rPr>
        <w:t>林芝市水资源多年平均状况见下表：</w:t>
      </w:r>
    </w:p>
    <w:p>
      <w:pPr>
        <w:pStyle w:val="27"/>
      </w:pPr>
      <w:r>
        <w:rPr>
          <w:rFonts w:hint="eastAsia"/>
        </w:rPr>
        <w:t>表5.3-1  林芝市多年平均水资源量</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1"/>
        <w:gridCol w:w="1712"/>
        <w:gridCol w:w="1715"/>
        <w:gridCol w:w="1710"/>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行政区</w:t>
            </w:r>
          </w:p>
        </w:tc>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计算面积/km</w:t>
            </w:r>
            <w:r>
              <w:rPr>
                <w:rFonts w:hint="default"/>
                <w:kern w:val="0"/>
                <w:sz w:val="21"/>
                <w:szCs w:val="21"/>
                <w:vertAlign w:val="superscript"/>
              </w:rPr>
              <w:t>2</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径流量/亿m</w:t>
            </w:r>
            <w:r>
              <w:rPr>
                <w:rFonts w:hint="default"/>
                <w:kern w:val="0"/>
                <w:sz w:val="21"/>
                <w:szCs w:val="21"/>
                <w:vertAlign w:val="superscript"/>
              </w:rPr>
              <w:t>3</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径流深/</w:t>
            </w:r>
            <w:r>
              <w:rPr>
                <w:rFonts w:hint="default"/>
                <w:kern w:val="0"/>
                <w:sz w:val="21"/>
                <w:szCs w:val="21"/>
              </w:rPr>
              <w:t>mm</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径流系数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巴宜区</w:t>
            </w:r>
          </w:p>
        </w:tc>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8</w:t>
            </w:r>
            <w:r>
              <w:rPr>
                <w:rFonts w:hint="default"/>
                <w:kern w:val="0"/>
                <w:sz w:val="21"/>
                <w:szCs w:val="21"/>
              </w:rPr>
              <w:t>587</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1</w:t>
            </w:r>
            <w:r>
              <w:rPr>
                <w:rFonts w:hint="default"/>
                <w:kern w:val="0"/>
                <w:sz w:val="21"/>
                <w:szCs w:val="21"/>
              </w:rPr>
              <w:t>01.84</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1</w:t>
            </w:r>
            <w:r>
              <w:rPr>
                <w:rFonts w:hint="default"/>
                <w:kern w:val="0"/>
                <w:sz w:val="21"/>
                <w:szCs w:val="21"/>
              </w:rPr>
              <w:t>186.0</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0</w:t>
            </w:r>
            <w:r>
              <w:rPr>
                <w:rFonts w:hint="default"/>
                <w:kern w:val="0"/>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工布江达县</w:t>
            </w:r>
          </w:p>
        </w:tc>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1</w:t>
            </w:r>
            <w:r>
              <w:rPr>
                <w:rFonts w:hint="default"/>
                <w:kern w:val="0"/>
                <w:sz w:val="21"/>
                <w:szCs w:val="21"/>
              </w:rPr>
              <w:t>2886</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1</w:t>
            </w:r>
            <w:r>
              <w:rPr>
                <w:rFonts w:hint="default"/>
                <w:kern w:val="0"/>
                <w:sz w:val="21"/>
                <w:szCs w:val="21"/>
              </w:rPr>
              <w:t>21.76</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9</w:t>
            </w:r>
            <w:r>
              <w:rPr>
                <w:rFonts w:hint="default"/>
                <w:kern w:val="0"/>
                <w:sz w:val="21"/>
                <w:szCs w:val="21"/>
              </w:rPr>
              <w:t>44.9</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0</w:t>
            </w:r>
            <w:r>
              <w:rPr>
                <w:rFonts w:hint="default"/>
                <w:kern w:val="0"/>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米林县</w:t>
            </w:r>
          </w:p>
        </w:tc>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9</w:t>
            </w:r>
            <w:r>
              <w:rPr>
                <w:rFonts w:hint="default"/>
                <w:kern w:val="0"/>
                <w:sz w:val="21"/>
                <w:szCs w:val="21"/>
              </w:rPr>
              <w:t>471</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9</w:t>
            </w:r>
            <w:r>
              <w:rPr>
                <w:rFonts w:hint="default"/>
                <w:kern w:val="0"/>
                <w:sz w:val="21"/>
                <w:szCs w:val="21"/>
              </w:rPr>
              <w:t>2.54</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9</w:t>
            </w:r>
            <w:r>
              <w:rPr>
                <w:rFonts w:hint="default"/>
                <w:kern w:val="0"/>
                <w:sz w:val="21"/>
                <w:szCs w:val="21"/>
              </w:rPr>
              <w:t>77.1</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0</w:t>
            </w:r>
            <w:r>
              <w:rPr>
                <w:rFonts w:hint="default"/>
                <w:kern w:val="0"/>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墨脱县</w:t>
            </w:r>
          </w:p>
        </w:tc>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3</w:t>
            </w:r>
            <w:r>
              <w:rPr>
                <w:rFonts w:hint="default"/>
                <w:kern w:val="0"/>
                <w:sz w:val="21"/>
                <w:szCs w:val="21"/>
              </w:rPr>
              <w:t>1413</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1</w:t>
            </w:r>
            <w:r>
              <w:rPr>
                <w:rFonts w:hint="default"/>
                <w:kern w:val="0"/>
                <w:sz w:val="21"/>
                <w:szCs w:val="21"/>
              </w:rPr>
              <w:t>098.80</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3</w:t>
            </w:r>
            <w:r>
              <w:rPr>
                <w:rFonts w:hint="default"/>
                <w:kern w:val="0"/>
                <w:sz w:val="21"/>
                <w:szCs w:val="21"/>
              </w:rPr>
              <w:t>497.9</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0</w:t>
            </w:r>
            <w:r>
              <w:rPr>
                <w:rFonts w:hint="default"/>
                <w:kern w:val="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波密县</w:t>
            </w:r>
          </w:p>
        </w:tc>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1</w:t>
            </w:r>
            <w:r>
              <w:rPr>
                <w:rFonts w:hint="default"/>
                <w:kern w:val="0"/>
                <w:sz w:val="21"/>
                <w:szCs w:val="21"/>
              </w:rPr>
              <w:t>6522</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2</w:t>
            </w:r>
            <w:r>
              <w:rPr>
                <w:rFonts w:hint="default"/>
                <w:kern w:val="0"/>
                <w:sz w:val="21"/>
                <w:szCs w:val="21"/>
              </w:rPr>
              <w:t>44.18</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1</w:t>
            </w:r>
            <w:r>
              <w:rPr>
                <w:rFonts w:hint="default"/>
                <w:kern w:val="0"/>
                <w:sz w:val="21"/>
                <w:szCs w:val="21"/>
              </w:rPr>
              <w:t>477.9</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0</w:t>
            </w:r>
            <w:r>
              <w:rPr>
                <w:rFonts w:hint="default"/>
                <w:kern w:val="0"/>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察隅县</w:t>
            </w:r>
          </w:p>
        </w:tc>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3</w:t>
            </w:r>
            <w:r>
              <w:rPr>
                <w:rFonts w:hint="default"/>
                <w:kern w:val="0"/>
                <w:sz w:val="21"/>
                <w:szCs w:val="21"/>
              </w:rPr>
              <w:t>1097</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6</w:t>
            </w:r>
            <w:r>
              <w:rPr>
                <w:rFonts w:hint="default"/>
                <w:kern w:val="0"/>
                <w:sz w:val="21"/>
                <w:szCs w:val="21"/>
              </w:rPr>
              <w:t>47.67</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2</w:t>
            </w:r>
            <w:r>
              <w:rPr>
                <w:rFonts w:hint="default"/>
                <w:kern w:val="0"/>
                <w:sz w:val="21"/>
                <w:szCs w:val="21"/>
              </w:rPr>
              <w:t>082.7</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0</w:t>
            </w:r>
            <w:r>
              <w:rPr>
                <w:rFonts w:hint="default"/>
                <w:kern w:val="0"/>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朗县</w:t>
            </w:r>
          </w:p>
        </w:tc>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3</w:t>
            </w:r>
            <w:r>
              <w:rPr>
                <w:rFonts w:hint="default"/>
                <w:kern w:val="0"/>
                <w:sz w:val="21"/>
                <w:szCs w:val="21"/>
              </w:rPr>
              <w:t>981</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2</w:t>
            </w:r>
            <w:r>
              <w:rPr>
                <w:rFonts w:hint="default"/>
                <w:kern w:val="0"/>
                <w:sz w:val="21"/>
                <w:szCs w:val="21"/>
              </w:rPr>
              <w:t>1.82</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5</w:t>
            </w:r>
            <w:r>
              <w:rPr>
                <w:rFonts w:hint="default"/>
                <w:kern w:val="0"/>
                <w:sz w:val="21"/>
                <w:szCs w:val="21"/>
              </w:rPr>
              <w:t>48.1</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0</w:t>
            </w:r>
            <w:r>
              <w:rPr>
                <w:rFonts w:hint="default"/>
                <w:kern w:val="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合计</w:t>
            </w:r>
          </w:p>
        </w:tc>
        <w:tc>
          <w:tcPr>
            <w:tcW w:w="1755"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1</w:t>
            </w:r>
            <w:r>
              <w:rPr>
                <w:rFonts w:hint="default"/>
                <w:kern w:val="0"/>
                <w:sz w:val="21"/>
                <w:szCs w:val="21"/>
              </w:rPr>
              <w:t>13957</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2</w:t>
            </w:r>
            <w:r>
              <w:rPr>
                <w:rFonts w:hint="default"/>
                <w:kern w:val="0"/>
                <w:sz w:val="21"/>
                <w:szCs w:val="21"/>
              </w:rPr>
              <w:t>328.61</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平均1</w:t>
            </w:r>
            <w:r>
              <w:rPr>
                <w:rFonts w:hint="default"/>
                <w:kern w:val="0"/>
                <w:sz w:val="21"/>
                <w:szCs w:val="21"/>
              </w:rPr>
              <w:t>530.6</w:t>
            </w:r>
          </w:p>
        </w:tc>
        <w:tc>
          <w:tcPr>
            <w:tcW w:w="1756" w:type="dxa"/>
            <w:noWrap w:val="0"/>
            <w:vAlign w:val="center"/>
          </w:tcPr>
          <w:p>
            <w:pPr>
              <w:keepNext w:val="0"/>
              <w:keepLines w:val="0"/>
              <w:suppressLineNumbers w:val="0"/>
              <w:spacing w:before="0" w:beforeAutospacing="0" w:after="0" w:afterAutospacing="0"/>
              <w:ind w:left="0" w:right="0"/>
              <w:jc w:val="center"/>
              <w:rPr>
                <w:rFonts w:hint="eastAsia"/>
                <w:kern w:val="0"/>
                <w:sz w:val="21"/>
                <w:szCs w:val="21"/>
              </w:rPr>
            </w:pPr>
            <w:r>
              <w:rPr>
                <w:rFonts w:hint="eastAsia"/>
                <w:kern w:val="0"/>
                <w:sz w:val="21"/>
                <w:szCs w:val="21"/>
              </w:rPr>
              <w:t>平均0</w:t>
            </w:r>
            <w:r>
              <w:rPr>
                <w:rFonts w:hint="default"/>
                <w:kern w:val="0"/>
                <w:sz w:val="21"/>
                <w:szCs w:val="21"/>
              </w:rPr>
              <w:t>.81</w:t>
            </w:r>
          </w:p>
        </w:tc>
      </w:tr>
    </w:tbl>
    <w:p>
      <w:pPr>
        <w:pStyle w:val="6"/>
        <w:ind w:firstLine="480"/>
        <w:rPr>
          <w:rFonts w:hint="eastAsia"/>
          <w:color w:val="1A15F1"/>
        </w:rPr>
      </w:pPr>
      <w:r>
        <w:rPr>
          <w:rFonts w:hint="eastAsia"/>
          <w:color w:val="1A15F1"/>
        </w:rPr>
        <w:t>本次规划中未给出各区县在规划期间旅游人数，按照统计的2016</w:t>
      </w:r>
      <w:r>
        <w:rPr>
          <w:rFonts w:hint="eastAsia"/>
          <w:color w:val="1A15F1"/>
          <w:lang w:val="en-US" w:eastAsia="zh-CN"/>
        </w:rPr>
        <w:t>~</w:t>
      </w:r>
      <w:r>
        <w:rPr>
          <w:rFonts w:hint="eastAsia"/>
          <w:color w:val="1A15F1"/>
        </w:rPr>
        <w:t>2020年旅游人数的比例，推测在规划末年</w:t>
      </w:r>
      <w:r>
        <w:rPr>
          <w:rFonts w:hint="eastAsia"/>
          <w:color w:val="1A15F1"/>
          <w:lang w:val="en-US" w:eastAsia="zh-CN"/>
        </w:rPr>
        <w:t>2025</w:t>
      </w:r>
      <w:r>
        <w:rPr>
          <w:rFonts w:hint="eastAsia"/>
          <w:color w:val="1A15F1"/>
        </w:rPr>
        <w:t>年，各区县旅游人数，进而推测各区县用水量情况。</w:t>
      </w:r>
    </w:p>
    <w:p>
      <w:pPr>
        <w:pStyle w:val="6"/>
        <w:ind w:firstLine="480"/>
        <w:rPr>
          <w:rFonts w:hint="eastAsia"/>
          <w:color w:val="1A15F1"/>
        </w:rPr>
      </w:pPr>
    </w:p>
    <w:p>
      <w:pPr>
        <w:pStyle w:val="6"/>
        <w:ind w:firstLine="480"/>
        <w:rPr>
          <w:rFonts w:hint="eastAsia"/>
          <w:color w:val="1A15F1"/>
        </w:rPr>
      </w:pPr>
    </w:p>
    <w:p>
      <w:pPr>
        <w:pStyle w:val="6"/>
        <w:ind w:firstLine="480"/>
        <w:rPr>
          <w:rFonts w:hint="eastAsia"/>
          <w:color w:val="1A15F1"/>
        </w:rPr>
      </w:pPr>
    </w:p>
    <w:p>
      <w:pPr>
        <w:pStyle w:val="27"/>
        <w:rPr>
          <w:color w:val="1A15F1"/>
        </w:rPr>
      </w:pPr>
      <w:r>
        <w:rPr>
          <w:rFonts w:hint="eastAsia"/>
          <w:color w:val="1A15F1"/>
        </w:rPr>
        <w:t>表5.3-2  20</w:t>
      </w:r>
      <w:r>
        <w:rPr>
          <w:rFonts w:hint="eastAsia"/>
          <w:color w:val="1A15F1"/>
          <w:lang w:val="en-US" w:eastAsia="zh-CN"/>
        </w:rPr>
        <w:t>25</w:t>
      </w:r>
      <w:r>
        <w:rPr>
          <w:rFonts w:hint="eastAsia"/>
          <w:color w:val="1A15F1"/>
        </w:rPr>
        <w:t xml:space="preserve">年林芝市各县市旅游耗水量情况表   </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1446"/>
        <w:gridCol w:w="1155"/>
        <w:gridCol w:w="1591"/>
        <w:gridCol w:w="1590"/>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行政分区</w:t>
            </w:r>
          </w:p>
        </w:tc>
        <w:tc>
          <w:tcPr>
            <w:tcW w:w="848"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2016-2020年旅游人数（万人次）</w:t>
            </w:r>
          </w:p>
        </w:tc>
        <w:tc>
          <w:tcPr>
            <w:tcW w:w="677"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占比</w:t>
            </w:r>
          </w:p>
          <w:p>
            <w:pPr>
              <w:pStyle w:val="29"/>
              <w:keepNext w:val="0"/>
              <w:keepLines w:val="0"/>
              <w:suppressLineNumbers w:val="0"/>
              <w:spacing w:before="0" w:beforeAutospacing="0" w:after="0" w:afterAutospacing="0"/>
              <w:ind w:left="0" w:right="0"/>
              <w:rPr>
                <w:rFonts w:hint="default"/>
                <w:color w:val="1A15F1"/>
              </w:rPr>
            </w:pPr>
            <w:r>
              <w:rPr>
                <w:rFonts w:hint="eastAsia"/>
                <w:color w:val="1A15F1"/>
              </w:rPr>
              <w:t>（%）</w:t>
            </w:r>
          </w:p>
        </w:tc>
        <w:tc>
          <w:tcPr>
            <w:tcW w:w="933"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20</w:t>
            </w:r>
            <w:r>
              <w:rPr>
                <w:rFonts w:hint="eastAsia"/>
                <w:color w:val="1A15F1"/>
                <w:lang w:val="en-US" w:eastAsia="zh-CN"/>
              </w:rPr>
              <w:t>25</w:t>
            </w:r>
            <w:r>
              <w:rPr>
                <w:rFonts w:hint="eastAsia"/>
                <w:color w:val="1A15F1"/>
              </w:rPr>
              <w:t>年期间旅游人数（万人次）</w:t>
            </w:r>
          </w:p>
        </w:tc>
        <w:tc>
          <w:tcPr>
            <w:tcW w:w="932"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旅游耗水量（万m</w:t>
            </w:r>
            <w:r>
              <w:rPr>
                <w:rFonts w:hint="eastAsia"/>
                <w:color w:val="1A15F1"/>
                <w:vertAlign w:val="superscript"/>
              </w:rPr>
              <w:t>3</w:t>
            </w:r>
            <w:r>
              <w:rPr>
                <w:rFonts w:hint="eastAsia"/>
                <w:color w:val="1A15F1"/>
              </w:rPr>
              <w:t>/a）</w:t>
            </w:r>
          </w:p>
        </w:tc>
        <w:tc>
          <w:tcPr>
            <w:tcW w:w="848"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占水资源总量的比例（%）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noWrap w:val="0"/>
            <w:vAlign w:val="top"/>
          </w:tcPr>
          <w:p>
            <w:pPr>
              <w:keepNext w:val="0"/>
              <w:keepLines w:val="0"/>
              <w:widowControl/>
              <w:suppressLineNumbers w:val="0"/>
              <w:spacing w:before="0" w:beforeAutospacing="0" w:after="0" w:afterAutospacing="0" w:line="276" w:lineRule="auto"/>
              <w:ind w:left="0" w:right="0"/>
              <w:textAlignment w:val="top"/>
              <w:rPr>
                <w:rFonts w:hint="default"/>
                <w:color w:val="1A15F1"/>
              </w:rPr>
            </w:pPr>
            <w:r>
              <w:rPr>
                <w:rFonts w:hint="eastAsia" w:ascii="宋体" w:hAnsi="宋体" w:cs="宋体"/>
                <w:color w:val="1A15F1"/>
                <w:kern w:val="0"/>
                <w:sz w:val="21"/>
                <w:szCs w:val="21"/>
                <w:lang w:bidi="ar"/>
              </w:rPr>
              <w:t>巴宜区</w:t>
            </w:r>
          </w:p>
        </w:tc>
        <w:tc>
          <w:tcPr>
            <w:tcW w:w="848"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990.21</w:t>
            </w:r>
          </w:p>
        </w:tc>
        <w:tc>
          <w:tcPr>
            <w:tcW w:w="677" w:type="pct"/>
            <w:noWrap w:val="0"/>
            <w:vAlign w:val="center"/>
          </w:tcPr>
          <w:p>
            <w:pPr>
              <w:pStyle w:val="28"/>
              <w:keepNext w:val="0"/>
              <w:keepLines w:val="0"/>
              <w:suppressLineNumbers w:val="0"/>
              <w:spacing w:beforeAutospacing="0" w:afterAutospacing="0" w:line="276" w:lineRule="auto"/>
              <w:ind w:left="0" w:right="0"/>
              <w:rPr>
                <w:rFonts w:hint="default"/>
                <w:color w:val="1A15F1"/>
              </w:rPr>
            </w:pPr>
            <w:r>
              <w:rPr>
                <w:rFonts w:hint="eastAsia"/>
                <w:color w:val="1A15F1"/>
              </w:rPr>
              <w:t>32.24</w:t>
            </w:r>
          </w:p>
        </w:tc>
        <w:tc>
          <w:tcPr>
            <w:tcW w:w="1590" w:type="dxa"/>
            <w:noWrap w:val="0"/>
            <w:vAlign w:val="center"/>
          </w:tcPr>
          <w:p>
            <w:pPr>
              <w:pStyle w:val="28"/>
              <w:keepNext w:val="0"/>
              <w:keepLines w:val="0"/>
              <w:suppressLineNumbers w:val="0"/>
              <w:bidi w:val="0"/>
              <w:spacing w:beforeAutospacing="0" w:afterAutospacing="0"/>
              <w:ind w:left="0" w:right="0"/>
              <w:rPr>
                <w:rFonts w:hint="default"/>
                <w:color w:val="1A15F1"/>
              </w:rPr>
            </w:pPr>
            <w:r>
              <w:rPr>
                <w:rFonts w:hint="eastAsia"/>
                <w:color w:val="1A15F1"/>
                <w:lang w:val="en-US" w:eastAsia="zh-CN"/>
              </w:rPr>
              <w:t>592.26</w:t>
            </w:r>
          </w:p>
        </w:tc>
        <w:tc>
          <w:tcPr>
            <w:tcW w:w="1589" w:type="dxa"/>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73.51</w:t>
            </w:r>
          </w:p>
        </w:tc>
        <w:tc>
          <w:tcPr>
            <w:tcW w:w="1446" w:type="dxa"/>
            <w:noWrap w:val="0"/>
            <w:vAlign w:val="center"/>
          </w:tcPr>
          <w:p>
            <w:pPr>
              <w:pStyle w:val="28"/>
              <w:keepNext w:val="0"/>
              <w:keepLines w:val="0"/>
              <w:suppressLineNumbers w:val="0"/>
              <w:bidi w:val="0"/>
              <w:spacing w:beforeAutospacing="0" w:afterAutospacing="0"/>
              <w:ind w:left="0" w:right="0"/>
              <w:rPr>
                <w:rFonts w:hint="default"/>
                <w:color w:val="1A15F1"/>
                <w:lang w:val="en-US"/>
              </w:rPr>
            </w:pPr>
            <w:r>
              <w:rPr>
                <w:rFonts w:hint="eastAsia"/>
                <w:color w:val="1A15F1"/>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noWrap w:val="0"/>
            <w:vAlign w:val="top"/>
          </w:tcPr>
          <w:p>
            <w:pPr>
              <w:keepNext w:val="0"/>
              <w:keepLines w:val="0"/>
              <w:widowControl/>
              <w:suppressLineNumbers w:val="0"/>
              <w:spacing w:before="0" w:beforeAutospacing="0" w:after="0" w:afterAutospacing="0" w:line="276" w:lineRule="auto"/>
              <w:ind w:left="0" w:right="0"/>
              <w:textAlignment w:val="top"/>
              <w:rPr>
                <w:rFonts w:hint="default"/>
                <w:color w:val="1A15F1"/>
              </w:rPr>
            </w:pPr>
            <w:r>
              <w:rPr>
                <w:rFonts w:hint="eastAsia" w:ascii="宋体" w:hAnsi="宋体" w:cs="宋体"/>
                <w:color w:val="1A15F1"/>
                <w:kern w:val="0"/>
                <w:sz w:val="21"/>
                <w:szCs w:val="21"/>
                <w:lang w:bidi="ar"/>
              </w:rPr>
              <w:t>波密县</w:t>
            </w:r>
          </w:p>
        </w:tc>
        <w:tc>
          <w:tcPr>
            <w:tcW w:w="848"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562.8</w:t>
            </w:r>
          </w:p>
        </w:tc>
        <w:tc>
          <w:tcPr>
            <w:tcW w:w="677" w:type="pct"/>
            <w:noWrap w:val="0"/>
            <w:vAlign w:val="center"/>
          </w:tcPr>
          <w:p>
            <w:pPr>
              <w:pStyle w:val="28"/>
              <w:keepNext w:val="0"/>
              <w:keepLines w:val="0"/>
              <w:suppressLineNumbers w:val="0"/>
              <w:spacing w:beforeAutospacing="0" w:afterAutospacing="0" w:line="276" w:lineRule="auto"/>
              <w:ind w:left="0" w:right="0"/>
              <w:rPr>
                <w:rFonts w:hint="default"/>
                <w:color w:val="1A15F1"/>
              </w:rPr>
            </w:pPr>
            <w:r>
              <w:rPr>
                <w:rFonts w:hint="eastAsia"/>
                <w:color w:val="1A15F1"/>
              </w:rPr>
              <w:t>18.32</w:t>
            </w:r>
          </w:p>
        </w:tc>
        <w:tc>
          <w:tcPr>
            <w:tcW w:w="1590" w:type="dxa"/>
            <w:noWrap w:val="0"/>
            <w:vAlign w:val="center"/>
          </w:tcPr>
          <w:p>
            <w:pPr>
              <w:pStyle w:val="28"/>
              <w:keepNext w:val="0"/>
              <w:keepLines w:val="0"/>
              <w:suppressLineNumbers w:val="0"/>
              <w:bidi w:val="0"/>
              <w:spacing w:beforeAutospacing="0" w:afterAutospacing="0"/>
              <w:ind w:left="0" w:right="0"/>
              <w:rPr>
                <w:rFonts w:hint="default"/>
                <w:color w:val="1A15F1"/>
              </w:rPr>
            </w:pPr>
            <w:r>
              <w:rPr>
                <w:rFonts w:hint="eastAsia"/>
                <w:color w:val="1A15F1"/>
                <w:lang w:val="en-US" w:eastAsia="zh-CN"/>
              </w:rPr>
              <w:t>336.62</w:t>
            </w:r>
          </w:p>
        </w:tc>
        <w:tc>
          <w:tcPr>
            <w:tcW w:w="1589" w:type="dxa"/>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41.78</w:t>
            </w:r>
          </w:p>
        </w:tc>
        <w:tc>
          <w:tcPr>
            <w:tcW w:w="1446" w:type="dxa"/>
            <w:noWrap w:val="0"/>
            <w:vAlign w:val="center"/>
          </w:tcPr>
          <w:p>
            <w:pPr>
              <w:pStyle w:val="28"/>
              <w:keepNext w:val="0"/>
              <w:keepLines w:val="0"/>
              <w:suppressLineNumbers w:val="0"/>
              <w:bidi w:val="0"/>
              <w:spacing w:beforeAutospacing="0" w:afterAutospacing="0"/>
              <w:ind w:left="0" w:right="0"/>
              <w:rPr>
                <w:rFonts w:hint="default"/>
                <w:color w:val="1A15F1"/>
                <w:lang w:val="en-US"/>
              </w:rPr>
            </w:pPr>
            <w:r>
              <w:rPr>
                <w:rFonts w:hint="eastAsia"/>
                <w:color w:val="1A15F1"/>
                <w:lang w:val="en-US" w:eastAsia="zh-CN"/>
              </w:rPr>
              <w:t>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noWrap w:val="0"/>
            <w:vAlign w:val="top"/>
          </w:tcPr>
          <w:p>
            <w:pPr>
              <w:keepNext w:val="0"/>
              <w:keepLines w:val="0"/>
              <w:widowControl/>
              <w:suppressLineNumbers w:val="0"/>
              <w:spacing w:before="0" w:beforeAutospacing="0" w:after="0" w:afterAutospacing="0" w:line="276" w:lineRule="auto"/>
              <w:ind w:left="0" w:right="0"/>
              <w:textAlignment w:val="top"/>
              <w:rPr>
                <w:rFonts w:hint="default"/>
                <w:color w:val="1A15F1"/>
              </w:rPr>
            </w:pPr>
            <w:r>
              <w:rPr>
                <w:rFonts w:hint="eastAsia" w:ascii="宋体" w:hAnsi="宋体" w:cs="宋体"/>
                <w:color w:val="1A15F1"/>
                <w:kern w:val="0"/>
                <w:sz w:val="21"/>
                <w:szCs w:val="21"/>
                <w:lang w:bidi="ar"/>
              </w:rPr>
              <w:t>米林县</w:t>
            </w:r>
          </w:p>
        </w:tc>
        <w:tc>
          <w:tcPr>
            <w:tcW w:w="848"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572.51</w:t>
            </w:r>
          </w:p>
        </w:tc>
        <w:tc>
          <w:tcPr>
            <w:tcW w:w="677" w:type="pct"/>
            <w:noWrap w:val="0"/>
            <w:vAlign w:val="center"/>
          </w:tcPr>
          <w:p>
            <w:pPr>
              <w:pStyle w:val="28"/>
              <w:keepNext w:val="0"/>
              <w:keepLines w:val="0"/>
              <w:suppressLineNumbers w:val="0"/>
              <w:spacing w:beforeAutospacing="0" w:afterAutospacing="0" w:line="276" w:lineRule="auto"/>
              <w:ind w:left="0" w:right="0"/>
              <w:rPr>
                <w:rFonts w:hint="default"/>
                <w:color w:val="1A15F1"/>
              </w:rPr>
            </w:pPr>
            <w:r>
              <w:rPr>
                <w:rFonts w:hint="eastAsia"/>
                <w:color w:val="1A15F1"/>
              </w:rPr>
              <w:t>18.64</w:t>
            </w:r>
          </w:p>
        </w:tc>
        <w:tc>
          <w:tcPr>
            <w:tcW w:w="1590" w:type="dxa"/>
            <w:noWrap w:val="0"/>
            <w:vAlign w:val="center"/>
          </w:tcPr>
          <w:p>
            <w:pPr>
              <w:pStyle w:val="28"/>
              <w:keepNext w:val="0"/>
              <w:keepLines w:val="0"/>
              <w:suppressLineNumbers w:val="0"/>
              <w:bidi w:val="0"/>
              <w:spacing w:beforeAutospacing="0" w:afterAutospacing="0"/>
              <w:ind w:left="0" w:right="0"/>
              <w:rPr>
                <w:rFonts w:hint="default"/>
                <w:color w:val="1A15F1"/>
                <w:lang w:val="en-US"/>
              </w:rPr>
            </w:pPr>
            <w:r>
              <w:rPr>
                <w:rFonts w:hint="eastAsia"/>
                <w:color w:val="1A15F1"/>
                <w:lang w:val="en-US" w:eastAsia="zh-CN"/>
              </w:rPr>
              <w:t>342.43</w:t>
            </w:r>
          </w:p>
        </w:tc>
        <w:tc>
          <w:tcPr>
            <w:tcW w:w="1589" w:type="dxa"/>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42.50</w:t>
            </w:r>
          </w:p>
        </w:tc>
        <w:tc>
          <w:tcPr>
            <w:tcW w:w="1446" w:type="dxa"/>
            <w:noWrap w:val="0"/>
            <w:vAlign w:val="center"/>
          </w:tcPr>
          <w:p>
            <w:pPr>
              <w:pStyle w:val="28"/>
              <w:keepNext w:val="0"/>
              <w:keepLines w:val="0"/>
              <w:suppressLineNumbers w:val="0"/>
              <w:bidi w:val="0"/>
              <w:spacing w:beforeAutospacing="0" w:afterAutospacing="0"/>
              <w:ind w:left="0" w:right="0"/>
              <w:rPr>
                <w:rFonts w:hint="default"/>
                <w:color w:val="1A15F1"/>
              </w:rPr>
            </w:pPr>
            <w:r>
              <w:rPr>
                <w:rFonts w:hint="eastAsia"/>
                <w:color w:val="1A15F1"/>
                <w:lang w:val="en-US" w:eastAsia="zh-CN"/>
              </w:rPr>
              <w:t>0.0046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noWrap w:val="0"/>
            <w:vAlign w:val="top"/>
          </w:tcPr>
          <w:p>
            <w:pPr>
              <w:keepNext w:val="0"/>
              <w:keepLines w:val="0"/>
              <w:widowControl/>
              <w:suppressLineNumbers w:val="0"/>
              <w:spacing w:before="0" w:beforeAutospacing="0" w:after="0" w:afterAutospacing="0" w:line="276" w:lineRule="auto"/>
              <w:ind w:left="0" w:right="0"/>
              <w:textAlignment w:val="top"/>
              <w:rPr>
                <w:rFonts w:hint="default"/>
                <w:color w:val="1A15F1"/>
              </w:rPr>
            </w:pPr>
            <w:r>
              <w:rPr>
                <w:rFonts w:hint="eastAsia" w:ascii="宋体" w:hAnsi="宋体" w:cs="宋体"/>
                <w:color w:val="1A15F1"/>
                <w:kern w:val="0"/>
                <w:sz w:val="21"/>
                <w:szCs w:val="21"/>
                <w:lang w:bidi="ar"/>
              </w:rPr>
              <w:t>察隅县</w:t>
            </w:r>
          </w:p>
        </w:tc>
        <w:tc>
          <w:tcPr>
            <w:tcW w:w="848"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107.14</w:t>
            </w:r>
          </w:p>
        </w:tc>
        <w:tc>
          <w:tcPr>
            <w:tcW w:w="677" w:type="pct"/>
            <w:noWrap w:val="0"/>
            <w:vAlign w:val="center"/>
          </w:tcPr>
          <w:p>
            <w:pPr>
              <w:pStyle w:val="28"/>
              <w:keepNext w:val="0"/>
              <w:keepLines w:val="0"/>
              <w:suppressLineNumbers w:val="0"/>
              <w:spacing w:beforeAutospacing="0" w:afterAutospacing="0" w:line="276" w:lineRule="auto"/>
              <w:ind w:left="0" w:right="0"/>
              <w:rPr>
                <w:rFonts w:hint="default"/>
                <w:color w:val="1A15F1"/>
              </w:rPr>
            </w:pPr>
            <w:r>
              <w:rPr>
                <w:rFonts w:hint="eastAsia"/>
                <w:color w:val="1A15F1"/>
              </w:rPr>
              <w:t>3.48</w:t>
            </w:r>
          </w:p>
        </w:tc>
        <w:tc>
          <w:tcPr>
            <w:tcW w:w="1590" w:type="dxa"/>
            <w:noWrap w:val="0"/>
            <w:vAlign w:val="center"/>
          </w:tcPr>
          <w:p>
            <w:pPr>
              <w:pStyle w:val="28"/>
              <w:keepNext w:val="0"/>
              <w:keepLines w:val="0"/>
              <w:suppressLineNumbers w:val="0"/>
              <w:bidi w:val="0"/>
              <w:spacing w:beforeAutospacing="0" w:afterAutospacing="0"/>
              <w:ind w:left="0" w:right="0"/>
              <w:rPr>
                <w:rFonts w:hint="default"/>
                <w:color w:val="1A15F1"/>
              </w:rPr>
            </w:pPr>
            <w:r>
              <w:rPr>
                <w:rFonts w:hint="eastAsia"/>
                <w:color w:val="1A15F1"/>
                <w:lang w:val="en-US" w:eastAsia="zh-CN"/>
              </w:rPr>
              <w:t>64.082</w:t>
            </w:r>
          </w:p>
        </w:tc>
        <w:tc>
          <w:tcPr>
            <w:tcW w:w="1589" w:type="dxa"/>
            <w:noWrap w:val="0"/>
            <w:vAlign w:val="center"/>
          </w:tcPr>
          <w:p>
            <w:pPr>
              <w:pStyle w:val="28"/>
              <w:keepNext w:val="0"/>
              <w:keepLines w:val="0"/>
              <w:suppressLineNumbers w:val="0"/>
              <w:bidi w:val="0"/>
              <w:spacing w:beforeAutospacing="0" w:afterAutospacing="0"/>
              <w:ind w:left="0" w:right="0"/>
              <w:rPr>
                <w:rFonts w:hint="default"/>
                <w:lang w:val="en-US"/>
              </w:rPr>
            </w:pPr>
            <w:r>
              <w:rPr>
                <w:rFonts w:hint="eastAsia"/>
                <w:lang w:val="en-US" w:eastAsia="zh-CN"/>
              </w:rPr>
              <w:t>7.95</w:t>
            </w:r>
          </w:p>
        </w:tc>
        <w:tc>
          <w:tcPr>
            <w:tcW w:w="1446" w:type="dxa"/>
            <w:noWrap w:val="0"/>
            <w:vAlign w:val="center"/>
          </w:tcPr>
          <w:p>
            <w:pPr>
              <w:pStyle w:val="28"/>
              <w:keepNext w:val="0"/>
              <w:keepLines w:val="0"/>
              <w:suppressLineNumbers w:val="0"/>
              <w:bidi w:val="0"/>
              <w:spacing w:beforeAutospacing="0" w:afterAutospacing="0"/>
              <w:ind w:left="0" w:right="0"/>
              <w:rPr>
                <w:rFonts w:hint="default"/>
                <w:color w:val="1A15F1"/>
                <w:lang w:val="en-US"/>
              </w:rPr>
            </w:pPr>
            <w:r>
              <w:rPr>
                <w:rFonts w:hint="eastAsia"/>
                <w:color w:val="1A15F1"/>
                <w:lang w:val="en-US" w:eastAsia="zh-CN"/>
              </w:rPr>
              <w:t>0.00012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noWrap w:val="0"/>
            <w:vAlign w:val="top"/>
          </w:tcPr>
          <w:p>
            <w:pPr>
              <w:keepNext w:val="0"/>
              <w:keepLines w:val="0"/>
              <w:widowControl/>
              <w:suppressLineNumbers w:val="0"/>
              <w:spacing w:before="0" w:beforeAutospacing="0" w:after="0" w:afterAutospacing="0" w:line="276" w:lineRule="auto"/>
              <w:ind w:left="0" w:right="0"/>
              <w:textAlignment w:val="top"/>
              <w:rPr>
                <w:rFonts w:hint="default"/>
                <w:color w:val="1A15F1"/>
              </w:rPr>
            </w:pPr>
            <w:r>
              <w:rPr>
                <w:rFonts w:hint="eastAsia" w:ascii="宋体" w:hAnsi="宋体" w:cs="宋体"/>
                <w:color w:val="1A15F1"/>
                <w:kern w:val="0"/>
                <w:sz w:val="21"/>
                <w:szCs w:val="21"/>
                <w:lang w:bidi="ar"/>
              </w:rPr>
              <w:t>墨脱县</w:t>
            </w:r>
          </w:p>
        </w:tc>
        <w:tc>
          <w:tcPr>
            <w:tcW w:w="848"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60.29</w:t>
            </w:r>
          </w:p>
        </w:tc>
        <w:tc>
          <w:tcPr>
            <w:tcW w:w="677" w:type="pct"/>
            <w:noWrap w:val="0"/>
            <w:vAlign w:val="center"/>
          </w:tcPr>
          <w:p>
            <w:pPr>
              <w:pStyle w:val="28"/>
              <w:keepNext w:val="0"/>
              <w:keepLines w:val="0"/>
              <w:suppressLineNumbers w:val="0"/>
              <w:spacing w:beforeAutospacing="0" w:afterAutospacing="0" w:line="276" w:lineRule="auto"/>
              <w:ind w:left="0" w:right="0"/>
              <w:rPr>
                <w:rFonts w:hint="default"/>
                <w:color w:val="1A15F1"/>
              </w:rPr>
            </w:pPr>
            <w:r>
              <w:rPr>
                <w:rFonts w:hint="eastAsia"/>
                <w:color w:val="1A15F1"/>
              </w:rPr>
              <w:t>1.96</w:t>
            </w:r>
          </w:p>
        </w:tc>
        <w:tc>
          <w:tcPr>
            <w:tcW w:w="1590" w:type="dxa"/>
            <w:noWrap w:val="0"/>
            <w:vAlign w:val="center"/>
          </w:tcPr>
          <w:p>
            <w:pPr>
              <w:pStyle w:val="28"/>
              <w:keepNext w:val="0"/>
              <w:keepLines w:val="0"/>
              <w:suppressLineNumbers w:val="0"/>
              <w:bidi w:val="0"/>
              <w:spacing w:beforeAutospacing="0" w:afterAutospacing="0"/>
              <w:ind w:left="0" w:right="0"/>
              <w:rPr>
                <w:rFonts w:hint="default"/>
                <w:color w:val="1A15F1"/>
              </w:rPr>
            </w:pPr>
            <w:r>
              <w:rPr>
                <w:rFonts w:hint="eastAsia"/>
                <w:color w:val="1A15F1"/>
                <w:lang w:val="en-US" w:eastAsia="zh-CN"/>
              </w:rPr>
              <w:t>36.06</w:t>
            </w:r>
          </w:p>
        </w:tc>
        <w:tc>
          <w:tcPr>
            <w:tcW w:w="1589" w:type="dxa"/>
            <w:noWrap w:val="0"/>
            <w:vAlign w:val="center"/>
          </w:tcPr>
          <w:p>
            <w:pPr>
              <w:pStyle w:val="28"/>
              <w:keepNext w:val="0"/>
              <w:keepLines w:val="0"/>
              <w:suppressLineNumbers w:val="0"/>
              <w:bidi w:val="0"/>
              <w:spacing w:beforeAutospacing="0" w:afterAutospacing="0"/>
              <w:ind w:left="0" w:right="0"/>
              <w:rPr>
                <w:rFonts w:hint="default"/>
                <w:lang w:val="en-US"/>
              </w:rPr>
            </w:pPr>
            <w:r>
              <w:rPr>
                <w:rFonts w:hint="eastAsia"/>
                <w:lang w:val="en-US" w:eastAsia="zh-CN"/>
              </w:rPr>
              <w:t>4.48</w:t>
            </w:r>
          </w:p>
        </w:tc>
        <w:tc>
          <w:tcPr>
            <w:tcW w:w="1446" w:type="dxa"/>
            <w:noWrap w:val="0"/>
            <w:vAlign w:val="center"/>
          </w:tcPr>
          <w:p>
            <w:pPr>
              <w:pStyle w:val="28"/>
              <w:keepNext w:val="0"/>
              <w:keepLines w:val="0"/>
              <w:suppressLineNumbers w:val="0"/>
              <w:bidi w:val="0"/>
              <w:spacing w:beforeAutospacing="0" w:afterAutospacing="0"/>
              <w:ind w:left="0" w:right="0"/>
              <w:rPr>
                <w:rFonts w:hint="default"/>
                <w:color w:val="1A15F1"/>
              </w:rPr>
            </w:pPr>
            <w:r>
              <w:rPr>
                <w:rFonts w:hint="eastAsia"/>
                <w:color w:val="1A15F1"/>
                <w:lang w:val="en-US" w:eastAsia="zh-CN"/>
              </w:rPr>
              <w:t>4.07E-05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noWrap w:val="0"/>
            <w:vAlign w:val="top"/>
          </w:tcPr>
          <w:p>
            <w:pPr>
              <w:keepNext w:val="0"/>
              <w:keepLines w:val="0"/>
              <w:widowControl/>
              <w:suppressLineNumbers w:val="0"/>
              <w:spacing w:before="0" w:beforeAutospacing="0" w:after="0" w:afterAutospacing="0" w:line="276" w:lineRule="auto"/>
              <w:ind w:left="0" w:right="0"/>
              <w:textAlignment w:val="top"/>
              <w:rPr>
                <w:rFonts w:hint="default"/>
                <w:color w:val="1A15F1"/>
              </w:rPr>
            </w:pPr>
            <w:r>
              <w:rPr>
                <w:rFonts w:hint="eastAsia" w:ascii="宋体" w:hAnsi="宋体" w:cs="宋体"/>
                <w:color w:val="1A15F1"/>
                <w:kern w:val="0"/>
                <w:sz w:val="21"/>
                <w:szCs w:val="21"/>
                <w:lang w:bidi="ar"/>
              </w:rPr>
              <w:t>工布江达县</w:t>
            </w:r>
          </w:p>
        </w:tc>
        <w:tc>
          <w:tcPr>
            <w:tcW w:w="848"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669.75</w:t>
            </w:r>
          </w:p>
        </w:tc>
        <w:tc>
          <w:tcPr>
            <w:tcW w:w="677" w:type="pct"/>
            <w:noWrap w:val="0"/>
            <w:vAlign w:val="center"/>
          </w:tcPr>
          <w:p>
            <w:pPr>
              <w:pStyle w:val="28"/>
              <w:keepNext w:val="0"/>
              <w:keepLines w:val="0"/>
              <w:suppressLineNumbers w:val="0"/>
              <w:spacing w:beforeAutospacing="0" w:afterAutospacing="0" w:line="276" w:lineRule="auto"/>
              <w:ind w:left="0" w:right="0"/>
              <w:rPr>
                <w:rFonts w:hint="default"/>
                <w:color w:val="1A15F1"/>
              </w:rPr>
            </w:pPr>
            <w:r>
              <w:rPr>
                <w:rFonts w:hint="eastAsia"/>
                <w:color w:val="1A15F1"/>
              </w:rPr>
              <w:t>21.80</w:t>
            </w:r>
          </w:p>
        </w:tc>
        <w:tc>
          <w:tcPr>
            <w:tcW w:w="1590" w:type="dxa"/>
            <w:noWrap w:val="0"/>
            <w:vAlign w:val="center"/>
          </w:tcPr>
          <w:p>
            <w:pPr>
              <w:pStyle w:val="28"/>
              <w:keepNext w:val="0"/>
              <w:keepLines w:val="0"/>
              <w:suppressLineNumbers w:val="0"/>
              <w:bidi w:val="0"/>
              <w:spacing w:beforeAutospacing="0" w:afterAutospacing="0"/>
              <w:ind w:left="0" w:right="0"/>
              <w:rPr>
                <w:rFonts w:hint="default"/>
                <w:color w:val="1A15F1"/>
                <w:lang w:val="en-US"/>
              </w:rPr>
            </w:pPr>
            <w:r>
              <w:rPr>
                <w:rFonts w:hint="eastAsia"/>
                <w:color w:val="1A15F1"/>
                <w:lang w:val="en-US" w:eastAsia="zh-CN"/>
              </w:rPr>
              <w:t>400.59</w:t>
            </w:r>
          </w:p>
        </w:tc>
        <w:tc>
          <w:tcPr>
            <w:tcW w:w="1589" w:type="dxa"/>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49.72</w:t>
            </w:r>
          </w:p>
        </w:tc>
        <w:tc>
          <w:tcPr>
            <w:tcW w:w="1446" w:type="dxa"/>
            <w:noWrap w:val="0"/>
            <w:vAlign w:val="center"/>
          </w:tcPr>
          <w:p>
            <w:pPr>
              <w:pStyle w:val="28"/>
              <w:keepNext w:val="0"/>
              <w:keepLines w:val="0"/>
              <w:suppressLineNumbers w:val="0"/>
              <w:bidi w:val="0"/>
              <w:spacing w:beforeAutospacing="0" w:afterAutospacing="0"/>
              <w:ind w:left="0" w:right="0"/>
              <w:rPr>
                <w:rFonts w:hint="default"/>
                <w:color w:val="1A15F1"/>
              </w:rPr>
            </w:pPr>
            <w:r>
              <w:rPr>
                <w:rFonts w:hint="eastAsia"/>
                <w:color w:val="1A15F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noWrap w:val="0"/>
            <w:vAlign w:val="top"/>
          </w:tcPr>
          <w:p>
            <w:pPr>
              <w:keepNext w:val="0"/>
              <w:keepLines w:val="0"/>
              <w:widowControl/>
              <w:suppressLineNumbers w:val="0"/>
              <w:spacing w:before="0" w:beforeAutospacing="0" w:after="0" w:afterAutospacing="0" w:line="276" w:lineRule="auto"/>
              <w:ind w:left="0" w:right="0"/>
              <w:textAlignment w:val="top"/>
              <w:rPr>
                <w:rFonts w:hint="default"/>
                <w:color w:val="1A15F1"/>
              </w:rPr>
            </w:pPr>
            <w:r>
              <w:rPr>
                <w:rFonts w:hint="eastAsia" w:ascii="宋体" w:hAnsi="宋体" w:cs="宋体"/>
                <w:color w:val="1A15F1"/>
                <w:kern w:val="0"/>
                <w:sz w:val="21"/>
                <w:szCs w:val="21"/>
                <w:lang w:bidi="ar"/>
              </w:rPr>
              <w:t>朗县</w:t>
            </w:r>
          </w:p>
        </w:tc>
        <w:tc>
          <w:tcPr>
            <w:tcW w:w="848"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108.61</w:t>
            </w:r>
          </w:p>
        </w:tc>
        <w:tc>
          <w:tcPr>
            <w:tcW w:w="677" w:type="pct"/>
            <w:noWrap w:val="0"/>
            <w:vAlign w:val="center"/>
          </w:tcPr>
          <w:p>
            <w:pPr>
              <w:pStyle w:val="28"/>
              <w:keepNext w:val="0"/>
              <w:keepLines w:val="0"/>
              <w:suppressLineNumbers w:val="0"/>
              <w:spacing w:beforeAutospacing="0" w:afterAutospacing="0" w:line="276" w:lineRule="auto"/>
              <w:ind w:left="0" w:right="0"/>
              <w:rPr>
                <w:rFonts w:hint="default"/>
                <w:color w:val="1A15F1"/>
              </w:rPr>
            </w:pPr>
            <w:r>
              <w:rPr>
                <w:rFonts w:hint="eastAsia"/>
                <w:color w:val="1A15F1"/>
              </w:rPr>
              <w:t>3.53</w:t>
            </w:r>
          </w:p>
        </w:tc>
        <w:tc>
          <w:tcPr>
            <w:tcW w:w="1590" w:type="dxa"/>
            <w:noWrap w:val="0"/>
            <w:vAlign w:val="center"/>
          </w:tcPr>
          <w:p>
            <w:pPr>
              <w:pStyle w:val="28"/>
              <w:keepNext w:val="0"/>
              <w:keepLines w:val="0"/>
              <w:suppressLineNumbers w:val="0"/>
              <w:bidi w:val="0"/>
              <w:spacing w:beforeAutospacing="0" w:afterAutospacing="0"/>
              <w:ind w:left="0" w:right="0"/>
              <w:rPr>
                <w:rFonts w:hint="default"/>
                <w:color w:val="1A15F1"/>
              </w:rPr>
            </w:pPr>
            <w:r>
              <w:rPr>
                <w:rFonts w:hint="eastAsia"/>
                <w:color w:val="1A15F1"/>
                <w:lang w:val="en-US" w:eastAsia="zh-CN"/>
              </w:rPr>
              <w:t>64.96</w:t>
            </w:r>
          </w:p>
        </w:tc>
        <w:tc>
          <w:tcPr>
            <w:tcW w:w="1589" w:type="dxa"/>
            <w:noWrap w:val="0"/>
            <w:vAlign w:val="center"/>
          </w:tcPr>
          <w:p>
            <w:pPr>
              <w:pStyle w:val="28"/>
              <w:keepNext w:val="0"/>
              <w:keepLines w:val="0"/>
              <w:suppressLineNumbers w:val="0"/>
              <w:bidi w:val="0"/>
              <w:spacing w:beforeAutospacing="0" w:afterAutospacing="0"/>
              <w:ind w:left="0" w:right="0"/>
              <w:rPr>
                <w:rFonts w:hint="default"/>
                <w:lang w:val="en-US"/>
              </w:rPr>
            </w:pPr>
            <w:r>
              <w:rPr>
                <w:rFonts w:hint="eastAsia"/>
                <w:lang w:val="en-US" w:eastAsia="zh-CN"/>
              </w:rPr>
              <w:t>8.06</w:t>
            </w:r>
          </w:p>
        </w:tc>
        <w:tc>
          <w:tcPr>
            <w:tcW w:w="1446" w:type="dxa"/>
            <w:noWrap w:val="0"/>
            <w:vAlign w:val="center"/>
          </w:tcPr>
          <w:p>
            <w:pPr>
              <w:pStyle w:val="28"/>
              <w:keepNext w:val="0"/>
              <w:keepLines w:val="0"/>
              <w:suppressLineNumbers w:val="0"/>
              <w:bidi w:val="0"/>
              <w:spacing w:beforeAutospacing="0" w:afterAutospacing="0"/>
              <w:ind w:left="0" w:right="0"/>
              <w:rPr>
                <w:rFonts w:hint="default"/>
                <w:color w:val="1A15F1"/>
                <w:lang w:val="en-US"/>
              </w:rPr>
            </w:pPr>
            <w:r>
              <w:rPr>
                <w:rFonts w:hint="eastAsia"/>
                <w:color w:val="1A15F1"/>
                <w:lang w:val="en-US" w:eastAsia="zh-CN"/>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noWrap w:val="0"/>
            <w:vAlign w:val="top"/>
          </w:tcPr>
          <w:p>
            <w:pPr>
              <w:keepNext w:val="0"/>
              <w:keepLines w:val="0"/>
              <w:widowControl/>
              <w:suppressLineNumbers w:val="0"/>
              <w:spacing w:before="0" w:beforeAutospacing="0" w:after="0" w:afterAutospacing="0" w:line="276" w:lineRule="auto"/>
              <w:ind w:left="0" w:right="0"/>
              <w:textAlignment w:val="top"/>
              <w:rPr>
                <w:rFonts w:hint="default"/>
                <w:color w:val="1A15F1"/>
              </w:rPr>
            </w:pPr>
            <w:r>
              <w:rPr>
                <w:rFonts w:hint="eastAsia" w:ascii="宋体" w:hAnsi="宋体" w:cs="宋体"/>
                <w:color w:val="1A15F1"/>
                <w:kern w:val="0"/>
                <w:sz w:val="21"/>
                <w:szCs w:val="21"/>
                <w:lang w:bidi="ar"/>
              </w:rPr>
              <w:t>林芝市</w:t>
            </w:r>
          </w:p>
        </w:tc>
        <w:tc>
          <w:tcPr>
            <w:tcW w:w="848"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3071.31</w:t>
            </w:r>
          </w:p>
        </w:tc>
        <w:tc>
          <w:tcPr>
            <w:tcW w:w="677" w:type="pct"/>
            <w:noWrap w:val="0"/>
            <w:vAlign w:val="center"/>
          </w:tcPr>
          <w:p>
            <w:pPr>
              <w:pStyle w:val="28"/>
              <w:keepNext w:val="0"/>
              <w:keepLines w:val="0"/>
              <w:suppressLineNumbers w:val="0"/>
              <w:spacing w:beforeAutospacing="0" w:afterAutospacing="0" w:line="276" w:lineRule="auto"/>
              <w:ind w:left="0" w:right="0"/>
              <w:rPr>
                <w:rFonts w:hint="default"/>
                <w:color w:val="1A15F1"/>
              </w:rPr>
            </w:pPr>
            <w:r>
              <w:rPr>
                <w:rFonts w:hint="eastAsia"/>
                <w:color w:val="1A15F1"/>
              </w:rPr>
              <w:t>100</w:t>
            </w:r>
          </w:p>
        </w:tc>
        <w:tc>
          <w:tcPr>
            <w:tcW w:w="933" w:type="pct"/>
            <w:noWrap w:val="0"/>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2500</w:t>
            </w:r>
          </w:p>
        </w:tc>
        <w:tc>
          <w:tcPr>
            <w:tcW w:w="1589" w:type="dxa"/>
            <w:noWrap w:val="0"/>
            <w:vAlign w:val="center"/>
          </w:tcPr>
          <w:p>
            <w:pPr>
              <w:pStyle w:val="28"/>
              <w:keepNext w:val="0"/>
              <w:keepLines w:val="0"/>
              <w:suppressLineNumbers w:val="0"/>
              <w:bidi w:val="0"/>
              <w:spacing w:beforeAutospacing="0" w:afterAutospacing="0"/>
              <w:ind w:left="0" w:right="0"/>
              <w:rPr>
                <w:rFonts w:hint="default"/>
              </w:rPr>
            </w:pPr>
            <w:r>
              <w:rPr>
                <w:rFonts w:hint="eastAsia"/>
                <w:lang w:val="en-US" w:eastAsia="zh-CN"/>
              </w:rPr>
              <w:t>228</w:t>
            </w:r>
          </w:p>
        </w:tc>
        <w:tc>
          <w:tcPr>
            <w:tcW w:w="1446" w:type="dxa"/>
            <w:noWrap w:val="0"/>
            <w:vAlign w:val="center"/>
          </w:tcPr>
          <w:p>
            <w:pPr>
              <w:pStyle w:val="29"/>
              <w:keepNext w:val="0"/>
              <w:keepLines w:val="0"/>
              <w:suppressLineNumbers w:val="0"/>
              <w:spacing w:before="0" w:beforeAutospacing="0" w:after="0" w:afterAutospacing="0"/>
              <w:ind w:left="0" w:right="0"/>
              <w:rPr>
                <w:rFonts w:hint="default" w:eastAsia="宋体"/>
                <w:color w:val="1A15F1"/>
                <w:lang w:val="en-US" w:eastAsia="zh-CN"/>
              </w:rPr>
            </w:pPr>
            <w:r>
              <w:rPr>
                <w:rFonts w:hint="eastAsia"/>
                <w:color w:val="1A15F1"/>
              </w:rPr>
              <w:t>0.00</w:t>
            </w:r>
            <w:r>
              <w:rPr>
                <w:rFonts w:hint="eastAsia"/>
                <w:color w:val="1A15F1"/>
                <w:lang w:val="en-US" w:eastAsia="zh-CN"/>
              </w:rPr>
              <w:t>098</w:t>
            </w:r>
          </w:p>
        </w:tc>
      </w:tr>
    </w:tbl>
    <w:p>
      <w:pPr>
        <w:pStyle w:val="6"/>
        <w:bidi w:val="0"/>
        <w:rPr>
          <w:rFonts w:hint="eastAsia"/>
        </w:rPr>
      </w:pPr>
      <w:r>
        <w:rPr>
          <w:rFonts w:hint="eastAsia"/>
          <w:color w:val="1A15F1"/>
        </w:rPr>
        <w:t>从上表可以看出，根据规划，20</w:t>
      </w:r>
      <w:r>
        <w:rPr>
          <w:rFonts w:hint="eastAsia"/>
          <w:color w:val="1A15F1"/>
          <w:lang w:val="en-US" w:eastAsia="zh-CN"/>
        </w:rPr>
        <w:t>25</w:t>
      </w:r>
      <w:r>
        <w:rPr>
          <w:rFonts w:hint="eastAsia"/>
          <w:color w:val="1A15F1"/>
        </w:rPr>
        <w:t>年预测旅游用水量约</w:t>
      </w:r>
      <w:r>
        <w:rPr>
          <w:rFonts w:hint="eastAsia"/>
          <w:color w:val="1A15F1"/>
          <w:lang w:val="en-US" w:eastAsia="zh-CN"/>
        </w:rPr>
        <w:t>228</w:t>
      </w:r>
      <w:r>
        <w:rPr>
          <w:rFonts w:hint="eastAsia"/>
          <w:color w:val="1A15F1"/>
        </w:rPr>
        <w:t>万m</w:t>
      </w:r>
      <w:r>
        <w:rPr>
          <w:rFonts w:hint="eastAsia"/>
          <w:color w:val="1A15F1"/>
          <w:vertAlign w:val="superscript"/>
        </w:rPr>
        <w:t>3</w:t>
      </w:r>
      <w:r>
        <w:rPr>
          <w:rFonts w:hint="eastAsia"/>
          <w:color w:val="1A15F1"/>
        </w:rPr>
        <w:t>，占水资源总量的</w:t>
      </w:r>
      <w:r>
        <w:rPr>
          <w:rFonts w:hint="eastAsia"/>
          <w:color w:val="1A15F1"/>
          <w:lang w:val="en-US" w:eastAsia="zh-CN"/>
        </w:rPr>
        <w:t>0.00098</w:t>
      </w:r>
      <w:r>
        <w:rPr>
          <w:rFonts w:hint="eastAsia"/>
          <w:color w:val="1A15F1"/>
        </w:rPr>
        <w:t>%；其中用水量最大的是巴宜，20</w:t>
      </w:r>
      <w:r>
        <w:rPr>
          <w:rFonts w:hint="eastAsia"/>
          <w:color w:val="1A15F1"/>
          <w:lang w:val="en-US" w:eastAsia="zh-CN"/>
        </w:rPr>
        <w:t>25</w:t>
      </w:r>
      <w:r>
        <w:rPr>
          <w:rFonts w:hint="eastAsia"/>
          <w:color w:val="1A15F1"/>
        </w:rPr>
        <w:t>年旅游耗水量约</w:t>
      </w:r>
      <w:r>
        <w:rPr>
          <w:rFonts w:hint="eastAsia"/>
          <w:color w:val="1A15F1"/>
          <w:lang w:val="en-US" w:eastAsia="zh-CN"/>
        </w:rPr>
        <w:t>73.51</w:t>
      </w:r>
      <w:r>
        <w:rPr>
          <w:rFonts w:hint="eastAsia"/>
          <w:color w:val="1A15F1"/>
        </w:rPr>
        <w:t>万m</w:t>
      </w:r>
      <w:r>
        <w:rPr>
          <w:rFonts w:hint="eastAsia"/>
          <w:color w:val="1A15F1"/>
          <w:vertAlign w:val="superscript"/>
        </w:rPr>
        <w:t>3</w:t>
      </w:r>
      <w:r>
        <w:rPr>
          <w:rFonts w:hint="eastAsia"/>
          <w:color w:val="1A15F1"/>
        </w:rPr>
        <w:t>，占2020年</w:t>
      </w:r>
      <w:r>
        <w:rPr>
          <w:rFonts w:hint="eastAsia"/>
          <w:color w:val="1A15F1"/>
          <w:lang w:val="en-US" w:eastAsia="zh-CN"/>
        </w:rPr>
        <w:t>巴宜区</w:t>
      </w:r>
      <w:r>
        <w:rPr>
          <w:rFonts w:hint="eastAsia"/>
          <w:color w:val="1A15F1"/>
        </w:rPr>
        <w:t>水资源总量比例约</w:t>
      </w:r>
      <w:r>
        <w:rPr>
          <w:rFonts w:hint="eastAsia"/>
          <w:color w:val="1A15F1"/>
          <w:lang w:val="en-US" w:eastAsia="zh-CN"/>
        </w:rPr>
        <w:t>0.007</w:t>
      </w:r>
      <w:r>
        <w:rPr>
          <w:rFonts w:hint="eastAsia"/>
          <w:color w:val="1A15F1"/>
        </w:rPr>
        <w:t>%。林芝市</w:t>
      </w:r>
      <w:r>
        <w:rPr>
          <w:rFonts w:hint="eastAsia"/>
          <w:color w:val="1A15F1"/>
          <w:lang w:val="en-US" w:eastAsia="zh-CN"/>
        </w:rPr>
        <w:t>全域旅游</w:t>
      </w:r>
      <w:r>
        <w:rPr>
          <w:rFonts w:hint="eastAsia"/>
          <w:color w:val="1A15F1"/>
        </w:rPr>
        <w:t>规划期间旅游业的发展不会对水资源的需求构成重大压力。此外，规划布局较为分散，就近水源可较为便利供给，水资源条件对本规划实施不存在限制</w:t>
      </w:r>
      <w:r>
        <w:rPr>
          <w:rFonts w:hint="eastAsia"/>
        </w:rPr>
        <w:t>。</w:t>
      </w:r>
    </w:p>
    <w:p>
      <w:pPr>
        <w:pStyle w:val="2"/>
        <w:rPr>
          <w:rFonts w:hint="eastAsia"/>
        </w:rPr>
      </w:pPr>
      <w:r>
        <w:rPr>
          <w:rFonts w:hint="eastAsia"/>
        </w:rPr>
        <w:t>5.3.1.2能源承载状态评估</w:t>
      </w:r>
    </w:p>
    <w:p>
      <w:pPr>
        <w:pStyle w:val="6"/>
        <w:ind w:firstLine="480"/>
        <w:rPr>
          <w:rFonts w:hint="eastAsia"/>
        </w:rPr>
      </w:pPr>
      <w:r>
        <w:rPr>
          <w:rFonts w:hint="eastAsia"/>
        </w:rPr>
        <w:t>根据《西藏自治区水资源调查评价总报告》，1956～2016年林芝市年降水总量为2988亿立方米，水资源总量2367亿立方米，占全区水资源总量的53%，水力资源理论蕴藏量约1.43 亿kW，占西藏自治区理论蕴藏量的67%，居全国各地（市）第一；技术可开发量约1.24亿kW，占西藏自治区技术可开发量的71%，也位居全国各地（市）第一。</w:t>
      </w:r>
    </w:p>
    <w:p>
      <w:pPr>
        <w:pStyle w:val="6"/>
        <w:ind w:firstLine="480"/>
        <w:rPr>
          <w:rFonts w:hint="eastAsia"/>
        </w:rPr>
      </w:pPr>
      <w:r>
        <w:rPr>
          <w:rFonts w:hint="eastAsia"/>
        </w:rPr>
        <w:t>全市水力资源理论蕴藏量1万kW及以上的河流131条（其中：藏南区33条）。其中：水力资源理论蕴藏量5万kW及以上的河流86条（其中：藏南区24条）；水力资源理论蕴藏量10万kW及以上的河流66条（其中：藏南区17条）水力资源理论蕴藏量50万kW 及以上的河流22条（其中：藏南区6条）；水力资源理论蕴藏量100万kW及以上的河流11条（其中：藏南区3条）。</w:t>
      </w:r>
    </w:p>
    <w:p>
      <w:pPr>
        <w:pStyle w:val="6"/>
        <w:ind w:firstLine="480"/>
        <w:rPr>
          <w:rFonts w:hint="eastAsia"/>
        </w:rPr>
      </w:pPr>
      <w:r>
        <w:rPr>
          <w:rFonts w:hint="eastAsia"/>
        </w:rPr>
        <w:t>2019全市水电总装机容量35.68万千瓦。2019年，全社会用电量7.5亿千瓦时，同比增长3.1%。其中第三产业用电量1.2亿千瓦时，同比增长1.9%；城乡居民生活用电量10949亿千瓦时，同比增长6.9%。</w:t>
      </w:r>
      <w:r>
        <w:t>规划至</w:t>
      </w:r>
      <w:r>
        <w:rPr>
          <w:rFonts w:hint="eastAsia"/>
        </w:rPr>
        <w:t>20</w:t>
      </w:r>
      <w:r>
        <w:rPr>
          <w:rFonts w:hint="eastAsia"/>
          <w:lang w:val="en-US" w:eastAsia="zh-CN"/>
        </w:rPr>
        <w:t>25</w:t>
      </w:r>
      <w:r>
        <w:rPr>
          <w:rFonts w:hint="eastAsia"/>
        </w:rPr>
        <w:t>年，旅游人数较2019年增加67%，按照2019年全州</w:t>
      </w:r>
      <w:r>
        <w:t>辖区电力装机</w:t>
      </w:r>
      <w:r>
        <w:rPr>
          <w:rFonts w:hint="eastAsia"/>
        </w:rPr>
        <w:t>量</w:t>
      </w:r>
      <w:r>
        <w:t>，可以满足用电需求。</w:t>
      </w:r>
    </w:p>
    <w:p>
      <w:pPr>
        <w:pStyle w:val="2"/>
        <w:rPr>
          <w:rFonts w:hint="eastAsia"/>
        </w:rPr>
      </w:pPr>
      <w:r>
        <w:rPr>
          <w:rFonts w:hint="eastAsia"/>
        </w:rPr>
        <w:t>5.3.1.3土地资源承载状态评估</w:t>
      </w:r>
    </w:p>
    <w:p>
      <w:pPr>
        <w:pStyle w:val="6"/>
        <w:ind w:firstLine="480"/>
        <w:rPr>
          <w:b/>
          <w:bCs/>
        </w:rPr>
      </w:pPr>
      <w:r>
        <w:rPr>
          <w:rFonts w:hint="eastAsia"/>
        </w:rPr>
        <w:t>林芝市，属于藏东高山峡谷农林牧区，为西藏土地开发利用历史最悠久的地区之一，土地资源紧缺，可利用面积少。同时又涉及国家级自然保护区、森林公园、湿地公园、地质公园等自然环境保护地。土地资源利用率低，开发利用难度大。土地碎片化，流转成本高。</w:t>
      </w:r>
    </w:p>
    <w:p>
      <w:pPr>
        <w:pStyle w:val="6"/>
        <w:ind w:firstLine="480"/>
        <w:rPr>
          <w:rFonts w:hint="eastAsia"/>
        </w:rPr>
      </w:pPr>
      <w:r>
        <w:rPr>
          <w:rFonts w:hint="eastAsia"/>
        </w:rPr>
        <w:t>林芝市土地总面积11421510.45公顷，农用地面积7625662.83公顷，占全市土地总面积的66.77%。建设用地年末总量18211.73公顷，占0.16%，未利用土地年末总量3777635.89公顷，占33.07%。2018年土地利用主要指标见表5.3-3。</w:t>
      </w:r>
    </w:p>
    <w:p>
      <w:pPr>
        <w:pStyle w:val="27"/>
      </w:pPr>
      <w:r>
        <w:rPr>
          <w:rFonts w:hint="eastAsia"/>
        </w:rPr>
        <w:t>表5.3-3</w:t>
      </w:r>
      <w:r>
        <w:t xml:space="preserve">  2018</w:t>
      </w:r>
      <w:r>
        <w:rPr>
          <w:rFonts w:hint="eastAsia"/>
        </w:rPr>
        <w:t>年林芝市土地利用现状表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8"/>
        <w:gridCol w:w="3033"/>
        <w:gridCol w:w="2358"/>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1" w:type="pct"/>
            <w:gridSpan w:val="2"/>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土地总面积</w:t>
            </w:r>
          </w:p>
        </w:tc>
        <w:tc>
          <w:tcPr>
            <w:tcW w:w="1382"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面积（hm</w:t>
            </w:r>
            <w:r>
              <w:rPr>
                <w:rFonts w:hint="default"/>
                <w:vertAlign w:val="superscript"/>
              </w:rPr>
              <w:t>2</w:t>
            </w:r>
            <w:r>
              <w:rPr>
                <w:rFonts w:hint="eastAsia"/>
              </w:rPr>
              <w:t>）</w:t>
            </w:r>
          </w:p>
        </w:tc>
        <w:tc>
          <w:tcPr>
            <w:tcW w:w="72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1" w:type="pct"/>
            <w:gridSpan w:val="2"/>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13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11421510.45</w:t>
            </w:r>
          </w:p>
        </w:tc>
        <w:tc>
          <w:tcPr>
            <w:tcW w:w="72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pct"/>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农用地</w:t>
            </w:r>
          </w:p>
        </w:tc>
        <w:tc>
          <w:tcPr>
            <w:tcW w:w="1778"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耕地</w:t>
            </w:r>
          </w:p>
        </w:tc>
        <w:tc>
          <w:tcPr>
            <w:tcW w:w="13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54046.1</w:t>
            </w:r>
          </w:p>
        </w:tc>
        <w:tc>
          <w:tcPr>
            <w:tcW w:w="72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0</w:t>
            </w:r>
            <w:r>
              <w:rPr>
                <w:rFonts w:hint="default"/>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pct"/>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1778"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园地</w:t>
            </w:r>
          </w:p>
        </w:tc>
        <w:tc>
          <w:tcPr>
            <w:tcW w:w="13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1059.98</w:t>
            </w:r>
          </w:p>
        </w:tc>
        <w:tc>
          <w:tcPr>
            <w:tcW w:w="72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0</w:t>
            </w:r>
            <w:r>
              <w:rPr>
                <w:rFonts w:hint="default"/>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pct"/>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1778"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林地</w:t>
            </w:r>
          </w:p>
        </w:tc>
        <w:tc>
          <w:tcPr>
            <w:tcW w:w="13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6459219.38</w:t>
            </w:r>
          </w:p>
        </w:tc>
        <w:tc>
          <w:tcPr>
            <w:tcW w:w="72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5</w:t>
            </w:r>
            <w:r>
              <w:rPr>
                <w:rFonts w:hint="default"/>
              </w:rPr>
              <w:t>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pct"/>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1778"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草地</w:t>
            </w:r>
          </w:p>
        </w:tc>
        <w:tc>
          <w:tcPr>
            <w:tcW w:w="13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2139647.2</w:t>
            </w:r>
          </w:p>
        </w:tc>
        <w:tc>
          <w:tcPr>
            <w:tcW w:w="72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pct"/>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1778"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合计</w:t>
            </w:r>
          </w:p>
        </w:tc>
        <w:tc>
          <w:tcPr>
            <w:tcW w:w="13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123148.01</w:t>
            </w:r>
          </w:p>
        </w:tc>
        <w:tc>
          <w:tcPr>
            <w:tcW w:w="72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7</w:t>
            </w:r>
            <w:r>
              <w:rPr>
                <w:rFonts w:hint="default"/>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pct"/>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建设用地</w:t>
            </w:r>
          </w:p>
        </w:tc>
        <w:tc>
          <w:tcPr>
            <w:tcW w:w="1778"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城镇村及工矿</w:t>
            </w:r>
          </w:p>
        </w:tc>
        <w:tc>
          <w:tcPr>
            <w:tcW w:w="13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13395.22</w:t>
            </w:r>
          </w:p>
        </w:tc>
        <w:tc>
          <w:tcPr>
            <w:tcW w:w="72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0</w:t>
            </w:r>
            <w:r>
              <w:rPr>
                <w:rFonts w:hint="default"/>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pct"/>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1778"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交通运输用地</w:t>
            </w:r>
          </w:p>
        </w:tc>
        <w:tc>
          <w:tcPr>
            <w:tcW w:w="13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6748.66</w:t>
            </w:r>
          </w:p>
        </w:tc>
        <w:tc>
          <w:tcPr>
            <w:tcW w:w="72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0</w:t>
            </w:r>
            <w:r>
              <w:rPr>
                <w:rFonts w:hint="default"/>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pct"/>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1778"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水域及水利设施</w:t>
            </w:r>
          </w:p>
        </w:tc>
        <w:tc>
          <w:tcPr>
            <w:tcW w:w="13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634928.41</w:t>
            </w:r>
          </w:p>
        </w:tc>
        <w:tc>
          <w:tcPr>
            <w:tcW w:w="72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5</w:t>
            </w:r>
            <w:r>
              <w:rPr>
                <w:rFonts w:hint="default"/>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pct"/>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1778"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合计</w:t>
            </w:r>
          </w:p>
        </w:tc>
        <w:tc>
          <w:tcPr>
            <w:tcW w:w="13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24130.47</w:t>
            </w:r>
          </w:p>
        </w:tc>
        <w:tc>
          <w:tcPr>
            <w:tcW w:w="72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5</w:t>
            </w:r>
            <w:r>
              <w:rPr>
                <w:rFonts w:hint="default"/>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pct"/>
            <w:noWrap w:val="0"/>
            <w:vAlign w:val="center"/>
          </w:tcPr>
          <w:p>
            <w:pPr>
              <w:pStyle w:val="29"/>
              <w:keepNext w:val="0"/>
              <w:keepLines w:val="0"/>
              <w:suppressLineNumbers w:val="0"/>
              <w:spacing w:before="0" w:beforeAutospacing="0" w:after="0" w:afterAutospacing="0"/>
              <w:ind w:left="0" w:right="0"/>
              <w:rPr>
                <w:rFonts w:hint="default"/>
              </w:rPr>
            </w:pPr>
          </w:p>
        </w:tc>
        <w:tc>
          <w:tcPr>
            <w:tcW w:w="1778"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其他土地</w:t>
            </w:r>
          </w:p>
        </w:tc>
        <w:tc>
          <w:tcPr>
            <w:tcW w:w="1382" w:type="pct"/>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2112465.5</w:t>
            </w:r>
          </w:p>
        </w:tc>
        <w:tc>
          <w:tcPr>
            <w:tcW w:w="726" w:type="pc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w:t>
            </w:r>
            <w:r>
              <w:rPr>
                <w:rFonts w:hint="default"/>
              </w:rPr>
              <w:t>8.50</w:t>
            </w:r>
          </w:p>
        </w:tc>
      </w:tr>
    </w:tbl>
    <w:p>
      <w:pPr>
        <w:pStyle w:val="6"/>
        <w:ind w:firstLine="480"/>
      </w:pPr>
      <w:r>
        <w:rPr>
          <w:rFonts w:hint="eastAsia"/>
        </w:rPr>
        <w:t>根据《林芝市“三线一单”研究报告》</w:t>
      </w:r>
      <w:r>
        <w:rPr>
          <w:lang w:val="en-AU"/>
        </w:rPr>
        <w:t>土地资源开发利用效率</w:t>
      </w:r>
      <w:r>
        <w:rPr>
          <w:rFonts w:hint="eastAsia"/>
        </w:rPr>
        <w:t>计算结果（见表5.3-3），林芝市各县区土地资源开发强度较低、土地资源开发利用效率较低。</w:t>
      </w:r>
    </w:p>
    <w:p>
      <w:pPr>
        <w:pStyle w:val="27"/>
        <w:rPr>
          <w:lang w:val="en-AU"/>
        </w:rPr>
      </w:pPr>
      <w:r>
        <w:rPr>
          <w:rFonts w:hint="eastAsia"/>
        </w:rPr>
        <w:t>表5.3-4</w:t>
      </w:r>
      <w:r>
        <w:rPr>
          <w:lang w:val="en-AU"/>
        </w:rPr>
        <w:t xml:space="preserve"> </w:t>
      </w:r>
      <w:r>
        <w:rPr>
          <w:rFonts w:hint="eastAsia"/>
        </w:rPr>
        <w:t>林芝</w:t>
      </w:r>
      <w:r>
        <w:t>各县区土地资源开发利用效率</w:t>
      </w:r>
      <w:r>
        <w:rPr>
          <w:lang w:val="en-AU"/>
        </w:rPr>
        <w:t>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3194"/>
        <w:gridCol w:w="4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center"/>
          </w:tcPr>
          <w:p>
            <w:pPr>
              <w:pStyle w:val="28"/>
              <w:keepNext w:val="0"/>
              <w:keepLines w:val="0"/>
              <w:suppressLineNumbers w:val="0"/>
              <w:spacing w:beforeAutospacing="0" w:afterAutospacing="0"/>
              <w:ind w:left="0" w:right="0"/>
              <w:rPr>
                <w:rFonts w:hint="default"/>
              </w:rPr>
            </w:pPr>
            <w:r>
              <w:rPr>
                <w:rFonts w:hint="default"/>
              </w:rPr>
              <w:t>序号</w:t>
            </w:r>
          </w:p>
        </w:tc>
        <w:tc>
          <w:tcPr>
            <w:tcW w:w="1872" w:type="pct"/>
            <w:noWrap w:val="0"/>
            <w:vAlign w:val="center"/>
          </w:tcPr>
          <w:p>
            <w:pPr>
              <w:pStyle w:val="28"/>
              <w:keepNext w:val="0"/>
              <w:keepLines w:val="0"/>
              <w:suppressLineNumbers w:val="0"/>
              <w:spacing w:beforeAutospacing="0" w:afterAutospacing="0"/>
              <w:ind w:left="0" w:right="0"/>
              <w:rPr>
                <w:rFonts w:hint="default"/>
              </w:rPr>
            </w:pPr>
            <w:r>
              <w:rPr>
                <w:rFonts w:hint="default"/>
              </w:rPr>
              <w:t>行政区划</w:t>
            </w:r>
          </w:p>
        </w:tc>
        <w:tc>
          <w:tcPr>
            <w:tcW w:w="2503" w:type="pct"/>
            <w:noWrap w:val="0"/>
            <w:vAlign w:val="center"/>
          </w:tcPr>
          <w:p>
            <w:pPr>
              <w:pStyle w:val="28"/>
              <w:keepNext w:val="0"/>
              <w:keepLines w:val="0"/>
              <w:suppressLineNumbers w:val="0"/>
              <w:spacing w:beforeAutospacing="0" w:afterAutospacing="0"/>
              <w:ind w:left="0" w:right="0"/>
              <w:rPr>
                <w:rFonts w:hint="default"/>
              </w:rPr>
            </w:pPr>
            <w:r>
              <w:rPr>
                <w:rFonts w:hint="default"/>
              </w:rPr>
              <w:t>开发利用效率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623" w:type="pct"/>
            <w:noWrap w:val="0"/>
            <w:vAlign w:val="center"/>
          </w:tcPr>
          <w:p>
            <w:pPr>
              <w:pStyle w:val="28"/>
              <w:keepNext w:val="0"/>
              <w:keepLines w:val="0"/>
              <w:suppressLineNumbers w:val="0"/>
              <w:spacing w:beforeAutospacing="0" w:afterAutospacing="0"/>
              <w:ind w:left="0" w:right="0"/>
              <w:rPr>
                <w:rFonts w:hint="default"/>
              </w:rPr>
            </w:pPr>
            <w:r>
              <w:rPr>
                <w:rFonts w:hint="default"/>
              </w:rPr>
              <w:t>1</w:t>
            </w:r>
          </w:p>
        </w:tc>
        <w:tc>
          <w:tcPr>
            <w:tcW w:w="1872" w:type="pct"/>
            <w:noWrap w:val="0"/>
            <w:vAlign w:val="center"/>
          </w:tcPr>
          <w:p>
            <w:pPr>
              <w:pStyle w:val="28"/>
              <w:keepNext w:val="0"/>
              <w:keepLines w:val="0"/>
              <w:suppressLineNumbers w:val="0"/>
              <w:spacing w:beforeAutospacing="0" w:afterAutospacing="0"/>
              <w:ind w:left="0" w:right="0"/>
              <w:rPr>
                <w:rFonts w:hint="default"/>
              </w:rPr>
            </w:pPr>
            <w:r>
              <w:rPr>
                <w:rFonts w:hint="eastAsia"/>
              </w:rPr>
              <w:t>巴宜区</w:t>
            </w:r>
          </w:p>
        </w:tc>
        <w:tc>
          <w:tcPr>
            <w:tcW w:w="2503" w:type="pct"/>
            <w:noWrap w:val="0"/>
            <w:vAlign w:val="center"/>
          </w:tcPr>
          <w:p>
            <w:pPr>
              <w:pStyle w:val="28"/>
              <w:keepNext w:val="0"/>
              <w:keepLines w:val="0"/>
              <w:suppressLineNumbers w:val="0"/>
              <w:spacing w:beforeAutospacing="0" w:afterAutospacing="0"/>
              <w:ind w:left="0" w:right="0"/>
              <w:rPr>
                <w:rFonts w:hint="default"/>
              </w:rPr>
            </w:pPr>
            <w:r>
              <w:rPr>
                <w:rFonts w:hint="default"/>
              </w:rPr>
              <w:t>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center"/>
          </w:tcPr>
          <w:p>
            <w:pPr>
              <w:pStyle w:val="28"/>
              <w:keepNext w:val="0"/>
              <w:keepLines w:val="0"/>
              <w:suppressLineNumbers w:val="0"/>
              <w:spacing w:beforeAutospacing="0" w:afterAutospacing="0"/>
              <w:ind w:left="0" w:right="0"/>
              <w:rPr>
                <w:rFonts w:hint="default"/>
              </w:rPr>
            </w:pPr>
            <w:r>
              <w:rPr>
                <w:rFonts w:hint="default"/>
              </w:rPr>
              <w:t>2</w:t>
            </w:r>
          </w:p>
        </w:tc>
        <w:tc>
          <w:tcPr>
            <w:tcW w:w="1872" w:type="pct"/>
            <w:noWrap w:val="0"/>
            <w:vAlign w:val="center"/>
          </w:tcPr>
          <w:p>
            <w:pPr>
              <w:pStyle w:val="28"/>
              <w:keepNext w:val="0"/>
              <w:keepLines w:val="0"/>
              <w:suppressLineNumbers w:val="0"/>
              <w:spacing w:beforeAutospacing="0" w:afterAutospacing="0"/>
              <w:ind w:left="0" w:right="0"/>
              <w:rPr>
                <w:rFonts w:hint="default"/>
              </w:rPr>
            </w:pPr>
            <w:r>
              <w:rPr>
                <w:rFonts w:hint="eastAsia"/>
              </w:rPr>
              <w:t>波密县</w:t>
            </w:r>
          </w:p>
        </w:tc>
        <w:tc>
          <w:tcPr>
            <w:tcW w:w="2503" w:type="pct"/>
            <w:noWrap w:val="0"/>
            <w:vAlign w:val="center"/>
          </w:tcPr>
          <w:p>
            <w:pPr>
              <w:pStyle w:val="28"/>
              <w:keepNext w:val="0"/>
              <w:keepLines w:val="0"/>
              <w:suppressLineNumbers w:val="0"/>
              <w:spacing w:beforeAutospacing="0" w:afterAutospacing="0"/>
              <w:ind w:left="0" w:right="0"/>
              <w:rPr>
                <w:rFonts w:hint="default"/>
              </w:rPr>
            </w:pPr>
            <w:r>
              <w:rPr>
                <w:rFonts w:hint="default"/>
              </w:rPr>
              <w:t>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center"/>
          </w:tcPr>
          <w:p>
            <w:pPr>
              <w:pStyle w:val="28"/>
              <w:keepNext w:val="0"/>
              <w:keepLines w:val="0"/>
              <w:suppressLineNumbers w:val="0"/>
              <w:spacing w:beforeAutospacing="0" w:afterAutospacing="0"/>
              <w:ind w:left="0" w:right="0"/>
              <w:rPr>
                <w:rFonts w:hint="default"/>
              </w:rPr>
            </w:pPr>
            <w:r>
              <w:rPr>
                <w:rFonts w:hint="default"/>
              </w:rPr>
              <w:t>3</w:t>
            </w:r>
          </w:p>
        </w:tc>
        <w:tc>
          <w:tcPr>
            <w:tcW w:w="1872" w:type="pct"/>
            <w:noWrap w:val="0"/>
            <w:vAlign w:val="center"/>
          </w:tcPr>
          <w:p>
            <w:pPr>
              <w:pStyle w:val="28"/>
              <w:keepNext w:val="0"/>
              <w:keepLines w:val="0"/>
              <w:suppressLineNumbers w:val="0"/>
              <w:spacing w:beforeAutospacing="0" w:afterAutospacing="0"/>
              <w:ind w:left="0" w:right="0"/>
              <w:rPr>
                <w:rFonts w:hint="default"/>
              </w:rPr>
            </w:pPr>
            <w:r>
              <w:rPr>
                <w:rFonts w:hint="eastAsia"/>
              </w:rPr>
              <w:t>察隅县</w:t>
            </w:r>
          </w:p>
        </w:tc>
        <w:tc>
          <w:tcPr>
            <w:tcW w:w="2503" w:type="pct"/>
            <w:noWrap w:val="0"/>
            <w:vAlign w:val="center"/>
          </w:tcPr>
          <w:p>
            <w:pPr>
              <w:pStyle w:val="28"/>
              <w:keepNext w:val="0"/>
              <w:keepLines w:val="0"/>
              <w:suppressLineNumbers w:val="0"/>
              <w:spacing w:beforeAutospacing="0" w:afterAutospacing="0"/>
              <w:ind w:left="0" w:right="0"/>
              <w:rPr>
                <w:rFonts w:hint="default"/>
              </w:rPr>
            </w:pPr>
            <w:r>
              <w:rPr>
                <w:rFonts w:hint="default"/>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center"/>
          </w:tcPr>
          <w:p>
            <w:pPr>
              <w:pStyle w:val="28"/>
              <w:keepNext w:val="0"/>
              <w:keepLines w:val="0"/>
              <w:suppressLineNumbers w:val="0"/>
              <w:spacing w:beforeAutospacing="0" w:afterAutospacing="0"/>
              <w:ind w:left="0" w:right="0"/>
              <w:rPr>
                <w:rFonts w:hint="default"/>
              </w:rPr>
            </w:pPr>
            <w:r>
              <w:rPr>
                <w:rFonts w:hint="default"/>
              </w:rPr>
              <w:t>4</w:t>
            </w:r>
          </w:p>
        </w:tc>
        <w:tc>
          <w:tcPr>
            <w:tcW w:w="1872" w:type="pct"/>
            <w:noWrap w:val="0"/>
            <w:vAlign w:val="center"/>
          </w:tcPr>
          <w:p>
            <w:pPr>
              <w:pStyle w:val="28"/>
              <w:keepNext w:val="0"/>
              <w:keepLines w:val="0"/>
              <w:suppressLineNumbers w:val="0"/>
              <w:spacing w:beforeAutospacing="0" w:afterAutospacing="0"/>
              <w:ind w:left="0" w:right="0"/>
              <w:rPr>
                <w:rFonts w:hint="default"/>
              </w:rPr>
            </w:pPr>
            <w:r>
              <w:rPr>
                <w:rFonts w:hint="eastAsia"/>
              </w:rPr>
              <w:t>工布江达县</w:t>
            </w:r>
          </w:p>
        </w:tc>
        <w:tc>
          <w:tcPr>
            <w:tcW w:w="2503" w:type="pct"/>
            <w:noWrap w:val="0"/>
            <w:vAlign w:val="center"/>
          </w:tcPr>
          <w:p>
            <w:pPr>
              <w:pStyle w:val="28"/>
              <w:keepNext w:val="0"/>
              <w:keepLines w:val="0"/>
              <w:suppressLineNumbers w:val="0"/>
              <w:spacing w:beforeAutospacing="0" w:afterAutospacing="0"/>
              <w:ind w:left="0" w:right="0"/>
              <w:rPr>
                <w:rFonts w:hint="default"/>
              </w:rPr>
            </w:pPr>
            <w:r>
              <w:rPr>
                <w:rFonts w:hint="default"/>
              </w:rPr>
              <w:t>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center"/>
          </w:tcPr>
          <w:p>
            <w:pPr>
              <w:pStyle w:val="28"/>
              <w:keepNext w:val="0"/>
              <w:keepLines w:val="0"/>
              <w:suppressLineNumbers w:val="0"/>
              <w:spacing w:beforeAutospacing="0" w:afterAutospacing="0"/>
              <w:ind w:left="0" w:right="0"/>
              <w:rPr>
                <w:rFonts w:hint="default"/>
              </w:rPr>
            </w:pPr>
            <w:r>
              <w:rPr>
                <w:rFonts w:hint="default"/>
              </w:rPr>
              <w:t>5</w:t>
            </w:r>
          </w:p>
        </w:tc>
        <w:tc>
          <w:tcPr>
            <w:tcW w:w="1872" w:type="pct"/>
            <w:noWrap w:val="0"/>
            <w:vAlign w:val="center"/>
          </w:tcPr>
          <w:p>
            <w:pPr>
              <w:pStyle w:val="28"/>
              <w:keepNext w:val="0"/>
              <w:keepLines w:val="0"/>
              <w:suppressLineNumbers w:val="0"/>
              <w:spacing w:beforeAutospacing="0" w:afterAutospacing="0"/>
              <w:ind w:left="0" w:right="0"/>
              <w:rPr>
                <w:rFonts w:hint="default"/>
              </w:rPr>
            </w:pPr>
            <w:r>
              <w:rPr>
                <w:rFonts w:hint="eastAsia"/>
              </w:rPr>
              <w:t>朗县</w:t>
            </w:r>
          </w:p>
        </w:tc>
        <w:tc>
          <w:tcPr>
            <w:tcW w:w="2503" w:type="pct"/>
            <w:noWrap w:val="0"/>
            <w:vAlign w:val="center"/>
          </w:tcPr>
          <w:p>
            <w:pPr>
              <w:pStyle w:val="28"/>
              <w:keepNext w:val="0"/>
              <w:keepLines w:val="0"/>
              <w:suppressLineNumbers w:val="0"/>
              <w:spacing w:beforeAutospacing="0" w:afterAutospacing="0"/>
              <w:ind w:left="0" w:right="0"/>
              <w:rPr>
                <w:rFonts w:hint="default"/>
              </w:rPr>
            </w:pPr>
            <w:r>
              <w:rPr>
                <w:rFonts w:hint="default"/>
              </w:rPr>
              <w:t>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center"/>
          </w:tcPr>
          <w:p>
            <w:pPr>
              <w:pStyle w:val="28"/>
              <w:keepNext w:val="0"/>
              <w:keepLines w:val="0"/>
              <w:suppressLineNumbers w:val="0"/>
              <w:spacing w:beforeAutospacing="0" w:afterAutospacing="0"/>
              <w:ind w:left="0" w:right="0"/>
              <w:rPr>
                <w:rFonts w:hint="default"/>
              </w:rPr>
            </w:pPr>
            <w:r>
              <w:rPr>
                <w:rFonts w:hint="default"/>
              </w:rPr>
              <w:t>6</w:t>
            </w:r>
          </w:p>
        </w:tc>
        <w:tc>
          <w:tcPr>
            <w:tcW w:w="1872" w:type="pct"/>
            <w:noWrap w:val="0"/>
            <w:vAlign w:val="center"/>
          </w:tcPr>
          <w:p>
            <w:pPr>
              <w:pStyle w:val="28"/>
              <w:keepNext w:val="0"/>
              <w:keepLines w:val="0"/>
              <w:suppressLineNumbers w:val="0"/>
              <w:spacing w:beforeAutospacing="0" w:afterAutospacing="0"/>
              <w:ind w:left="0" w:right="0"/>
              <w:rPr>
                <w:rFonts w:hint="default"/>
              </w:rPr>
            </w:pPr>
            <w:r>
              <w:rPr>
                <w:rFonts w:hint="eastAsia"/>
              </w:rPr>
              <w:t>米林县</w:t>
            </w:r>
          </w:p>
        </w:tc>
        <w:tc>
          <w:tcPr>
            <w:tcW w:w="2503" w:type="pct"/>
            <w:noWrap w:val="0"/>
            <w:vAlign w:val="center"/>
          </w:tcPr>
          <w:p>
            <w:pPr>
              <w:pStyle w:val="28"/>
              <w:keepNext w:val="0"/>
              <w:keepLines w:val="0"/>
              <w:suppressLineNumbers w:val="0"/>
              <w:spacing w:beforeAutospacing="0" w:afterAutospacing="0"/>
              <w:ind w:left="0" w:right="0"/>
              <w:rPr>
                <w:rFonts w:hint="default"/>
              </w:rPr>
            </w:pPr>
            <w:r>
              <w:rPr>
                <w:rFonts w:hint="default"/>
              </w:rPr>
              <w:t>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noWrap w:val="0"/>
            <w:vAlign w:val="center"/>
          </w:tcPr>
          <w:p>
            <w:pPr>
              <w:pStyle w:val="28"/>
              <w:keepNext w:val="0"/>
              <w:keepLines w:val="0"/>
              <w:suppressLineNumbers w:val="0"/>
              <w:spacing w:beforeAutospacing="0" w:afterAutospacing="0"/>
              <w:ind w:left="0" w:right="0"/>
              <w:rPr>
                <w:rFonts w:hint="default"/>
              </w:rPr>
            </w:pPr>
            <w:r>
              <w:rPr>
                <w:rFonts w:hint="default"/>
              </w:rPr>
              <w:t>7</w:t>
            </w:r>
          </w:p>
        </w:tc>
        <w:tc>
          <w:tcPr>
            <w:tcW w:w="1872" w:type="pct"/>
            <w:noWrap w:val="0"/>
            <w:vAlign w:val="center"/>
          </w:tcPr>
          <w:p>
            <w:pPr>
              <w:pStyle w:val="28"/>
              <w:keepNext w:val="0"/>
              <w:keepLines w:val="0"/>
              <w:suppressLineNumbers w:val="0"/>
              <w:spacing w:beforeAutospacing="0" w:afterAutospacing="0"/>
              <w:ind w:left="0" w:right="0"/>
              <w:rPr>
                <w:rFonts w:hint="default"/>
              </w:rPr>
            </w:pPr>
            <w:r>
              <w:rPr>
                <w:rFonts w:hint="eastAsia"/>
              </w:rPr>
              <w:t>墨脱县</w:t>
            </w:r>
          </w:p>
        </w:tc>
        <w:tc>
          <w:tcPr>
            <w:tcW w:w="2503" w:type="pct"/>
            <w:noWrap w:val="0"/>
            <w:vAlign w:val="center"/>
          </w:tcPr>
          <w:p>
            <w:pPr>
              <w:pStyle w:val="28"/>
              <w:keepNext w:val="0"/>
              <w:keepLines w:val="0"/>
              <w:suppressLineNumbers w:val="0"/>
              <w:spacing w:beforeAutospacing="0" w:afterAutospacing="0"/>
              <w:ind w:left="0" w:right="0"/>
              <w:rPr>
                <w:rFonts w:hint="default"/>
              </w:rPr>
            </w:pPr>
            <w:r>
              <w:rPr>
                <w:rFonts w:hint="default"/>
              </w:rPr>
              <w:t>0.199</w:t>
            </w:r>
          </w:p>
        </w:tc>
      </w:tr>
    </w:tbl>
    <w:p>
      <w:pPr>
        <w:pStyle w:val="6"/>
        <w:ind w:firstLine="480"/>
        <w:rPr>
          <w:rFonts w:hint="eastAsia"/>
        </w:rPr>
      </w:pPr>
      <w:r>
        <w:rPr>
          <w:rFonts w:hint="eastAsia"/>
        </w:rPr>
        <w:t>由于本次规划建设项目多处于概念阶段，未对土地占用量进行测算，在项目实施过程中，应严格按照土地管理部门要求国土空间规划用途管制的相关规定，符合国土空间规划的强制性、约束性内容；不得占用生态保护红线、永久基本农田；避让优质耕地；规划项目尽可能在城镇乡村现状建设用地内实现集中布局，提升现有文旅项目品质及用地效益，强化历史文化资源的保护和科学利用。</w:t>
      </w:r>
    </w:p>
    <w:p>
      <w:pPr>
        <w:pStyle w:val="5"/>
        <w:rPr>
          <w:rFonts w:hint="eastAsia"/>
        </w:rPr>
      </w:pPr>
      <w:bookmarkStart w:id="174" w:name="_Toc1674"/>
      <w:bookmarkStart w:id="175" w:name="_Toc2416"/>
      <w:r>
        <w:rPr>
          <w:rFonts w:hint="eastAsia"/>
        </w:rPr>
        <w:t>5.3.2环境承载状态评估</w:t>
      </w:r>
      <w:bookmarkEnd w:id="174"/>
      <w:bookmarkEnd w:id="175"/>
    </w:p>
    <w:p>
      <w:pPr>
        <w:pStyle w:val="2"/>
      </w:pPr>
      <w:bookmarkStart w:id="176" w:name="_Toc93156049"/>
      <w:r>
        <w:rPr>
          <w:rFonts w:hint="eastAsia"/>
        </w:rPr>
        <w:t>5.3.2.</w:t>
      </w:r>
      <w:r>
        <w:rPr>
          <w:rFonts w:hint="eastAsia"/>
          <w:lang w:val="en-US" w:eastAsia="zh-CN"/>
        </w:rPr>
        <w:t>1</w:t>
      </w:r>
      <w:r>
        <w:rPr>
          <w:rFonts w:hint="eastAsia"/>
        </w:rPr>
        <w:t>大气</w:t>
      </w:r>
      <w:r>
        <w:t>环境</w:t>
      </w:r>
      <w:bookmarkEnd w:id="176"/>
      <w:r>
        <w:rPr>
          <w:rFonts w:hint="eastAsia"/>
        </w:rPr>
        <w:t>承载</w:t>
      </w:r>
      <w:r>
        <w:t>能力分析</w:t>
      </w:r>
    </w:p>
    <w:p>
      <w:pPr>
        <w:pStyle w:val="6"/>
        <w:ind w:firstLine="480"/>
      </w:pPr>
      <w:r>
        <w:rPr>
          <w:rFonts w:hint="eastAsia"/>
        </w:rPr>
        <w:t>根据《林芝市“三线一单”研究报告》的大气环境容量计算结果：</w:t>
      </w:r>
    </w:p>
    <w:p>
      <w:pPr>
        <w:pStyle w:val="27"/>
      </w:pPr>
      <w:r>
        <w:rPr>
          <w:rFonts w:hint="eastAsia"/>
          <w:lang w:val="zh-CN"/>
        </w:rPr>
        <w:t>表</w:t>
      </w:r>
      <w:r>
        <w:rPr>
          <w:rFonts w:hint="eastAsia"/>
        </w:rPr>
        <w:t>5.3-</w:t>
      </w:r>
      <w:r>
        <w:rPr>
          <w:rFonts w:hint="eastAsia"/>
          <w:lang w:val="en-US" w:eastAsia="zh-CN"/>
        </w:rPr>
        <w:t>5</w:t>
      </w:r>
      <w:r>
        <w:rPr>
          <w:rFonts w:hint="eastAsia"/>
        </w:rPr>
        <w:t xml:space="preserve">  </w:t>
      </w:r>
      <w:r>
        <w:rPr>
          <w:rFonts w:hint="eastAsia"/>
          <w:lang w:val="zh-CN"/>
        </w:rPr>
        <w:t>202</w:t>
      </w:r>
      <w:r>
        <w:rPr>
          <w:lang w:val="zh-CN"/>
        </w:rPr>
        <w:t>5</w:t>
      </w:r>
      <w:r>
        <w:rPr>
          <w:rFonts w:hint="eastAsia"/>
          <w:lang w:val="zh-CN"/>
        </w:rPr>
        <w:t xml:space="preserve"> 年、20</w:t>
      </w:r>
      <w:r>
        <w:rPr>
          <w:lang w:val="zh-CN"/>
        </w:rPr>
        <w:t>30</w:t>
      </w:r>
      <w:r>
        <w:rPr>
          <w:rFonts w:hint="eastAsia"/>
          <w:lang w:val="zh-CN"/>
        </w:rPr>
        <w:t>年及</w:t>
      </w:r>
      <w:r>
        <w:rPr>
          <w:lang w:val="zh-CN"/>
        </w:rPr>
        <w:t>2</w:t>
      </w:r>
      <w:r>
        <w:rPr>
          <w:rFonts w:hint="eastAsia"/>
          <w:lang w:val="zh-CN"/>
        </w:rPr>
        <w:t>035年林芝各区县大气污染物允许排放量</w:t>
      </w:r>
    </w:p>
    <w:tbl>
      <w:tblPr>
        <w:tblStyle w:val="24"/>
        <w:tblW w:w="5000" w:type="pct"/>
        <w:tblInd w:w="0" w:type="dxa"/>
        <w:tblLayout w:type="autofit"/>
        <w:tblCellMar>
          <w:top w:w="0" w:type="dxa"/>
          <w:left w:w="108" w:type="dxa"/>
          <w:bottom w:w="0" w:type="dxa"/>
          <w:right w:w="108" w:type="dxa"/>
        </w:tblCellMar>
      </w:tblPr>
      <w:tblGrid>
        <w:gridCol w:w="1646"/>
        <w:gridCol w:w="1544"/>
        <w:gridCol w:w="1629"/>
        <w:gridCol w:w="1922"/>
        <w:gridCol w:w="1787"/>
      </w:tblGrid>
      <w:tr>
        <w:tblPrEx>
          <w:tblCellMar>
            <w:top w:w="0" w:type="dxa"/>
            <w:left w:w="108" w:type="dxa"/>
            <w:bottom w:w="0" w:type="dxa"/>
            <w:right w:w="108" w:type="dxa"/>
          </w:tblCellMar>
        </w:tblPrEx>
        <w:trPr>
          <w:trHeight w:val="315" w:hRule="atLeast"/>
        </w:trPr>
        <w:tc>
          <w:tcPr>
            <w:tcW w:w="965" w:type="pct"/>
            <w:vMerge w:val="restart"/>
            <w:tcBorders>
              <w:top w:val="single" w:color="auto" w:sz="8" w:space="0"/>
              <w:left w:val="single" w:color="auto" w:sz="8" w:space="0"/>
              <w:bottom w:val="single" w:color="000000"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区县</w:t>
            </w:r>
          </w:p>
        </w:tc>
        <w:tc>
          <w:tcPr>
            <w:tcW w:w="4035" w:type="pct"/>
            <w:gridSpan w:val="4"/>
            <w:tcBorders>
              <w:top w:val="single" w:color="auto" w:sz="8" w:space="0"/>
              <w:left w:val="nil"/>
              <w:bottom w:val="single" w:color="auto" w:sz="8" w:space="0"/>
              <w:right w:val="single" w:color="000000"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2025</w:t>
            </w:r>
            <w:r>
              <w:rPr>
                <w:rFonts w:hint="eastAsia"/>
              </w:rPr>
              <w:t>年、</w:t>
            </w:r>
            <w:r>
              <w:rPr>
                <w:rFonts w:hint="default"/>
              </w:rPr>
              <w:t>2030</w:t>
            </w:r>
            <w:r>
              <w:rPr>
                <w:rFonts w:hint="eastAsia"/>
              </w:rPr>
              <w:t>年、</w:t>
            </w:r>
            <w:r>
              <w:rPr>
                <w:rFonts w:hint="default"/>
              </w:rPr>
              <w:t>2035</w:t>
            </w:r>
            <w:r>
              <w:rPr>
                <w:rFonts w:hint="eastAsia"/>
              </w:rPr>
              <w:t>年</w:t>
            </w:r>
          </w:p>
        </w:tc>
      </w:tr>
      <w:tr>
        <w:tblPrEx>
          <w:tblCellMar>
            <w:top w:w="0" w:type="dxa"/>
            <w:left w:w="108" w:type="dxa"/>
            <w:bottom w:w="0" w:type="dxa"/>
            <w:right w:w="108" w:type="dxa"/>
          </w:tblCellMar>
        </w:tblPrEx>
        <w:trPr>
          <w:trHeight w:val="570" w:hRule="atLeast"/>
        </w:trPr>
        <w:tc>
          <w:tcPr>
            <w:tcW w:w="965" w:type="pct"/>
            <w:vMerge w:val="continue"/>
            <w:tcBorders>
              <w:top w:val="single" w:color="auto" w:sz="8" w:space="0"/>
              <w:left w:val="single" w:color="auto" w:sz="8" w:space="0"/>
              <w:bottom w:val="single" w:color="000000"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p>
        </w:tc>
        <w:tc>
          <w:tcPr>
            <w:tcW w:w="905" w:type="pct"/>
            <w:tcBorders>
              <w:top w:val="nil"/>
              <w:left w:val="nil"/>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SO</w:t>
            </w:r>
            <w:r>
              <w:rPr>
                <w:rFonts w:hint="default"/>
                <w:vertAlign w:val="subscript"/>
              </w:rPr>
              <w:t>2</w:t>
            </w:r>
            <w:r>
              <w:rPr>
                <w:rFonts w:hint="eastAsia"/>
              </w:rPr>
              <w:t>（吨）</w:t>
            </w:r>
          </w:p>
        </w:tc>
        <w:tc>
          <w:tcPr>
            <w:tcW w:w="955" w:type="pct"/>
            <w:tcBorders>
              <w:top w:val="nil"/>
              <w:left w:val="nil"/>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NO</w:t>
            </w:r>
            <w:r>
              <w:rPr>
                <w:rFonts w:hint="default"/>
                <w:vertAlign w:val="subscript"/>
              </w:rPr>
              <w:t>X</w:t>
            </w:r>
            <w:r>
              <w:rPr>
                <w:rFonts w:hint="eastAsia"/>
              </w:rPr>
              <w:t>（吨）</w:t>
            </w:r>
          </w:p>
        </w:tc>
        <w:tc>
          <w:tcPr>
            <w:tcW w:w="1127" w:type="pct"/>
            <w:tcBorders>
              <w:top w:val="nil"/>
              <w:left w:val="nil"/>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颗粒物（吨）</w:t>
            </w:r>
          </w:p>
        </w:tc>
        <w:tc>
          <w:tcPr>
            <w:tcW w:w="1047" w:type="pct"/>
            <w:tcBorders>
              <w:top w:val="nil"/>
              <w:left w:val="nil"/>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VOCs</w:t>
            </w:r>
            <w:r>
              <w:rPr>
                <w:rFonts w:hint="eastAsia"/>
              </w:rPr>
              <w:t>（吨）</w:t>
            </w:r>
          </w:p>
        </w:tc>
      </w:tr>
      <w:tr>
        <w:tblPrEx>
          <w:tblCellMar>
            <w:top w:w="0" w:type="dxa"/>
            <w:left w:w="108" w:type="dxa"/>
            <w:bottom w:w="0" w:type="dxa"/>
            <w:right w:w="108" w:type="dxa"/>
          </w:tblCellMar>
        </w:tblPrEx>
        <w:trPr>
          <w:trHeight w:val="300" w:hRule="atLeast"/>
        </w:trPr>
        <w:tc>
          <w:tcPr>
            <w:tcW w:w="965" w:type="pct"/>
            <w:tcBorders>
              <w:top w:val="nil"/>
              <w:left w:val="single" w:color="auto" w:sz="8" w:space="0"/>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巴宜区</w:t>
            </w:r>
          </w:p>
        </w:tc>
        <w:tc>
          <w:tcPr>
            <w:tcW w:w="905" w:type="pct"/>
            <w:tcBorders>
              <w:top w:val="nil"/>
              <w:left w:val="nil"/>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360.03 </w:t>
            </w:r>
          </w:p>
        </w:tc>
        <w:tc>
          <w:tcPr>
            <w:tcW w:w="955"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2746.03 </w:t>
            </w:r>
          </w:p>
        </w:tc>
        <w:tc>
          <w:tcPr>
            <w:tcW w:w="112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1128.92 </w:t>
            </w:r>
          </w:p>
        </w:tc>
        <w:tc>
          <w:tcPr>
            <w:tcW w:w="104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1172.58 </w:t>
            </w:r>
          </w:p>
        </w:tc>
      </w:tr>
      <w:tr>
        <w:tblPrEx>
          <w:tblCellMar>
            <w:top w:w="0" w:type="dxa"/>
            <w:left w:w="108" w:type="dxa"/>
            <w:bottom w:w="0" w:type="dxa"/>
            <w:right w:w="108" w:type="dxa"/>
          </w:tblCellMar>
        </w:tblPrEx>
        <w:trPr>
          <w:trHeight w:val="227" w:hRule="atLeast"/>
        </w:trPr>
        <w:tc>
          <w:tcPr>
            <w:tcW w:w="965" w:type="pct"/>
            <w:tcBorders>
              <w:top w:val="nil"/>
              <w:left w:val="single" w:color="auto" w:sz="8" w:space="0"/>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工布江达县</w:t>
            </w:r>
          </w:p>
        </w:tc>
        <w:tc>
          <w:tcPr>
            <w:tcW w:w="905" w:type="pct"/>
            <w:tcBorders>
              <w:top w:val="nil"/>
              <w:left w:val="nil"/>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296.81 </w:t>
            </w:r>
          </w:p>
        </w:tc>
        <w:tc>
          <w:tcPr>
            <w:tcW w:w="955"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2076.77 </w:t>
            </w:r>
          </w:p>
        </w:tc>
        <w:tc>
          <w:tcPr>
            <w:tcW w:w="112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845.38 </w:t>
            </w:r>
          </w:p>
        </w:tc>
        <w:tc>
          <w:tcPr>
            <w:tcW w:w="104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870.85 </w:t>
            </w:r>
          </w:p>
        </w:tc>
      </w:tr>
      <w:tr>
        <w:tblPrEx>
          <w:tblCellMar>
            <w:top w:w="0" w:type="dxa"/>
            <w:left w:w="108" w:type="dxa"/>
            <w:bottom w:w="0" w:type="dxa"/>
            <w:right w:w="108" w:type="dxa"/>
          </w:tblCellMar>
        </w:tblPrEx>
        <w:trPr>
          <w:trHeight w:val="300" w:hRule="atLeast"/>
        </w:trPr>
        <w:tc>
          <w:tcPr>
            <w:tcW w:w="965" w:type="pct"/>
            <w:tcBorders>
              <w:top w:val="nil"/>
              <w:left w:val="single" w:color="auto" w:sz="8" w:space="0"/>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米林县</w:t>
            </w:r>
          </w:p>
        </w:tc>
        <w:tc>
          <w:tcPr>
            <w:tcW w:w="905" w:type="pct"/>
            <w:tcBorders>
              <w:top w:val="nil"/>
              <w:left w:val="nil"/>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119.89 </w:t>
            </w:r>
          </w:p>
        </w:tc>
        <w:tc>
          <w:tcPr>
            <w:tcW w:w="955"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914.38 </w:t>
            </w:r>
          </w:p>
        </w:tc>
        <w:tc>
          <w:tcPr>
            <w:tcW w:w="112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375.91 </w:t>
            </w:r>
          </w:p>
        </w:tc>
        <w:tc>
          <w:tcPr>
            <w:tcW w:w="104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398.96 </w:t>
            </w:r>
          </w:p>
        </w:tc>
      </w:tr>
      <w:tr>
        <w:tblPrEx>
          <w:tblCellMar>
            <w:top w:w="0" w:type="dxa"/>
            <w:left w:w="108" w:type="dxa"/>
            <w:bottom w:w="0" w:type="dxa"/>
            <w:right w:w="108" w:type="dxa"/>
          </w:tblCellMar>
        </w:tblPrEx>
        <w:trPr>
          <w:trHeight w:val="300" w:hRule="atLeast"/>
        </w:trPr>
        <w:tc>
          <w:tcPr>
            <w:tcW w:w="965" w:type="pct"/>
            <w:tcBorders>
              <w:top w:val="nil"/>
              <w:left w:val="single" w:color="auto" w:sz="8" w:space="0"/>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墨脱县</w:t>
            </w:r>
          </w:p>
        </w:tc>
        <w:tc>
          <w:tcPr>
            <w:tcW w:w="905" w:type="pct"/>
            <w:tcBorders>
              <w:top w:val="nil"/>
              <w:left w:val="nil"/>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91.03 </w:t>
            </w:r>
          </w:p>
        </w:tc>
        <w:tc>
          <w:tcPr>
            <w:tcW w:w="955"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694.30 </w:t>
            </w:r>
          </w:p>
        </w:tc>
        <w:tc>
          <w:tcPr>
            <w:tcW w:w="112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285.43 </w:t>
            </w:r>
          </w:p>
        </w:tc>
        <w:tc>
          <w:tcPr>
            <w:tcW w:w="104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299.29 </w:t>
            </w:r>
          </w:p>
        </w:tc>
      </w:tr>
      <w:tr>
        <w:tblPrEx>
          <w:tblCellMar>
            <w:top w:w="0" w:type="dxa"/>
            <w:left w:w="108" w:type="dxa"/>
            <w:bottom w:w="0" w:type="dxa"/>
            <w:right w:w="108" w:type="dxa"/>
          </w:tblCellMar>
        </w:tblPrEx>
        <w:trPr>
          <w:trHeight w:val="300" w:hRule="atLeast"/>
        </w:trPr>
        <w:tc>
          <w:tcPr>
            <w:tcW w:w="965" w:type="pct"/>
            <w:tcBorders>
              <w:top w:val="nil"/>
              <w:left w:val="single" w:color="auto" w:sz="8" w:space="0"/>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波密县</w:t>
            </w:r>
          </w:p>
        </w:tc>
        <w:tc>
          <w:tcPr>
            <w:tcW w:w="905" w:type="pct"/>
            <w:tcBorders>
              <w:top w:val="nil"/>
              <w:left w:val="nil"/>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219.52 </w:t>
            </w:r>
          </w:p>
        </w:tc>
        <w:tc>
          <w:tcPr>
            <w:tcW w:w="955"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1674.32 </w:t>
            </w:r>
          </w:p>
        </w:tc>
        <w:tc>
          <w:tcPr>
            <w:tcW w:w="112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688.33 </w:t>
            </w:r>
          </w:p>
        </w:tc>
        <w:tc>
          <w:tcPr>
            <w:tcW w:w="104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717.14 </w:t>
            </w:r>
          </w:p>
        </w:tc>
      </w:tr>
      <w:tr>
        <w:tblPrEx>
          <w:tblCellMar>
            <w:top w:w="0" w:type="dxa"/>
            <w:left w:w="108" w:type="dxa"/>
            <w:bottom w:w="0" w:type="dxa"/>
            <w:right w:w="108" w:type="dxa"/>
          </w:tblCellMar>
        </w:tblPrEx>
        <w:trPr>
          <w:trHeight w:val="300" w:hRule="atLeast"/>
        </w:trPr>
        <w:tc>
          <w:tcPr>
            <w:tcW w:w="965" w:type="pct"/>
            <w:tcBorders>
              <w:top w:val="nil"/>
              <w:left w:val="single" w:color="auto" w:sz="8" w:space="0"/>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察隅县</w:t>
            </w:r>
          </w:p>
        </w:tc>
        <w:tc>
          <w:tcPr>
            <w:tcW w:w="905" w:type="pct"/>
            <w:tcBorders>
              <w:top w:val="nil"/>
              <w:left w:val="nil"/>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176.62 </w:t>
            </w:r>
          </w:p>
        </w:tc>
        <w:tc>
          <w:tcPr>
            <w:tcW w:w="955"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1347.13 </w:t>
            </w:r>
          </w:p>
        </w:tc>
        <w:tc>
          <w:tcPr>
            <w:tcW w:w="112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553.82 </w:t>
            </w:r>
          </w:p>
        </w:tc>
        <w:tc>
          <w:tcPr>
            <w:tcW w:w="104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576.49 </w:t>
            </w:r>
          </w:p>
        </w:tc>
      </w:tr>
      <w:tr>
        <w:tblPrEx>
          <w:tblCellMar>
            <w:top w:w="0" w:type="dxa"/>
            <w:left w:w="108" w:type="dxa"/>
            <w:bottom w:w="0" w:type="dxa"/>
            <w:right w:w="108" w:type="dxa"/>
          </w:tblCellMar>
        </w:tblPrEx>
        <w:trPr>
          <w:trHeight w:val="300" w:hRule="atLeast"/>
        </w:trPr>
        <w:tc>
          <w:tcPr>
            <w:tcW w:w="965" w:type="pct"/>
            <w:tcBorders>
              <w:top w:val="nil"/>
              <w:left w:val="single" w:color="auto" w:sz="8" w:space="0"/>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朗县</w:t>
            </w:r>
          </w:p>
        </w:tc>
        <w:tc>
          <w:tcPr>
            <w:tcW w:w="905" w:type="pct"/>
            <w:tcBorders>
              <w:top w:val="nil"/>
              <w:left w:val="nil"/>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145.63 </w:t>
            </w:r>
          </w:p>
        </w:tc>
        <w:tc>
          <w:tcPr>
            <w:tcW w:w="955"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1110.73 </w:t>
            </w:r>
          </w:p>
        </w:tc>
        <w:tc>
          <w:tcPr>
            <w:tcW w:w="112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456.63 </w:t>
            </w:r>
          </w:p>
        </w:tc>
        <w:tc>
          <w:tcPr>
            <w:tcW w:w="104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479.11 </w:t>
            </w:r>
          </w:p>
        </w:tc>
      </w:tr>
      <w:tr>
        <w:tblPrEx>
          <w:tblCellMar>
            <w:top w:w="0" w:type="dxa"/>
            <w:left w:w="108" w:type="dxa"/>
            <w:bottom w:w="0" w:type="dxa"/>
            <w:right w:w="108" w:type="dxa"/>
          </w:tblCellMar>
        </w:tblPrEx>
        <w:trPr>
          <w:trHeight w:val="315" w:hRule="atLeast"/>
        </w:trPr>
        <w:tc>
          <w:tcPr>
            <w:tcW w:w="965" w:type="pct"/>
            <w:tcBorders>
              <w:top w:val="nil"/>
              <w:left w:val="single" w:color="auto" w:sz="8" w:space="0"/>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eastAsia"/>
              </w:rPr>
              <w:t>林芝全市合计</w:t>
            </w:r>
          </w:p>
        </w:tc>
        <w:tc>
          <w:tcPr>
            <w:tcW w:w="905" w:type="pct"/>
            <w:tcBorders>
              <w:top w:val="nil"/>
              <w:left w:val="nil"/>
              <w:bottom w:val="single" w:color="auto" w:sz="8" w:space="0"/>
              <w:right w:val="single" w:color="auto" w:sz="8" w:space="0"/>
            </w:tcBorders>
            <w:noWrap w:val="0"/>
            <w:vAlign w:val="center"/>
          </w:tcPr>
          <w:p>
            <w:pPr>
              <w:pStyle w:val="28"/>
              <w:keepNext w:val="0"/>
              <w:keepLines w:val="0"/>
              <w:suppressLineNumbers w:val="0"/>
              <w:spacing w:beforeAutospacing="0" w:afterAutospacing="0"/>
              <w:ind w:left="0" w:right="0"/>
              <w:rPr>
                <w:rFonts w:hint="default"/>
              </w:rPr>
            </w:pPr>
            <w:r>
              <w:rPr>
                <w:rFonts w:hint="default"/>
              </w:rPr>
              <w:t xml:space="preserve">1409.53 </w:t>
            </w:r>
          </w:p>
        </w:tc>
        <w:tc>
          <w:tcPr>
            <w:tcW w:w="955"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10563.65 </w:t>
            </w:r>
          </w:p>
        </w:tc>
        <w:tc>
          <w:tcPr>
            <w:tcW w:w="112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4334.43 </w:t>
            </w:r>
          </w:p>
        </w:tc>
        <w:tc>
          <w:tcPr>
            <w:tcW w:w="1047" w:type="pct"/>
            <w:tcBorders>
              <w:top w:val="nil"/>
              <w:left w:val="nil"/>
              <w:bottom w:val="single" w:color="auto" w:sz="8" w:space="0"/>
              <w:right w:val="single" w:color="auto" w:sz="8" w:space="0"/>
            </w:tcBorders>
            <w:noWrap/>
            <w:vAlign w:val="center"/>
          </w:tcPr>
          <w:p>
            <w:pPr>
              <w:pStyle w:val="28"/>
              <w:keepNext w:val="0"/>
              <w:keepLines w:val="0"/>
              <w:suppressLineNumbers w:val="0"/>
              <w:spacing w:beforeAutospacing="0" w:afterAutospacing="0"/>
              <w:ind w:left="0" w:right="0"/>
              <w:rPr>
                <w:rFonts w:hint="default"/>
              </w:rPr>
            </w:pPr>
            <w:r>
              <w:rPr>
                <w:rFonts w:hint="default"/>
              </w:rPr>
              <w:t xml:space="preserve">4514.40 </w:t>
            </w:r>
          </w:p>
        </w:tc>
      </w:tr>
    </w:tbl>
    <w:p>
      <w:pPr>
        <w:pStyle w:val="6"/>
        <w:ind w:firstLine="480"/>
        <w:rPr>
          <w:rFonts w:hint="eastAsia"/>
          <w:color w:val="1A15F1"/>
        </w:rPr>
      </w:pPr>
      <w:r>
        <w:rPr>
          <w:rFonts w:hint="eastAsia"/>
        </w:rPr>
        <w:t>规划实施阶段，大气污染主要来自建设期间的施工废气扬尘；餐饮业的餐饮</w:t>
      </w:r>
      <w:r>
        <w:rPr>
          <w:rFonts w:hint="eastAsia"/>
          <w:color w:val="1A15F1"/>
        </w:rPr>
        <w:t>油烟废气、车辆排放的尾气以及垃圾收集点的恶臭气体。其中餐饮油烟及施工扬尘对局地影响较大，也是在运营中重点管控内容。但旅游车辆排放的汽车尾气对区域空气污染影响较之明显，规划末年20</w:t>
      </w:r>
      <w:r>
        <w:rPr>
          <w:rFonts w:hint="eastAsia"/>
          <w:color w:val="1A15F1"/>
          <w:lang w:val="en-US" w:eastAsia="zh-CN"/>
        </w:rPr>
        <w:t>25</w:t>
      </w:r>
      <w:r>
        <w:rPr>
          <w:rFonts w:hint="eastAsia"/>
          <w:color w:val="1A15F1"/>
        </w:rPr>
        <w:t>年，旅游车辆的主要污染物年排放量如表5.3-7所示。</w:t>
      </w:r>
    </w:p>
    <w:p>
      <w:pPr>
        <w:pStyle w:val="27"/>
        <w:rPr>
          <w:color w:val="1A15F1"/>
        </w:rPr>
      </w:pPr>
      <w:r>
        <w:rPr>
          <w:color w:val="1A15F1"/>
        </w:rPr>
        <w:t>表</w:t>
      </w:r>
      <w:r>
        <w:rPr>
          <w:rFonts w:hint="eastAsia"/>
          <w:color w:val="1A15F1"/>
        </w:rPr>
        <w:t>5.3-</w:t>
      </w:r>
      <w:r>
        <w:rPr>
          <w:rFonts w:hint="eastAsia"/>
          <w:color w:val="1A15F1"/>
          <w:lang w:val="en-US" w:eastAsia="zh-CN"/>
        </w:rPr>
        <w:t>6</w:t>
      </w:r>
      <w:r>
        <w:rPr>
          <w:color w:val="1A15F1"/>
        </w:rPr>
        <w:t xml:space="preserve"> </w:t>
      </w:r>
      <w:r>
        <w:rPr>
          <w:rFonts w:hint="eastAsia"/>
          <w:color w:val="1A15F1"/>
        </w:rPr>
        <w:t xml:space="preserve"> </w:t>
      </w:r>
      <w:r>
        <w:rPr>
          <w:rFonts w:hint="eastAsia"/>
          <w:color w:val="1A15F1"/>
          <w:lang w:val="en-US" w:eastAsia="zh-CN"/>
        </w:rPr>
        <w:t>2025</w:t>
      </w:r>
      <w:r>
        <w:rPr>
          <w:rFonts w:hint="eastAsia"/>
          <w:color w:val="1A15F1"/>
        </w:rPr>
        <w:t>年</w:t>
      </w:r>
      <w:r>
        <w:rPr>
          <w:color w:val="1A15F1"/>
        </w:rPr>
        <w:t xml:space="preserve">旅游车辆尾气主要污染物年排放量估算表 </w:t>
      </w:r>
      <w:r>
        <w:rPr>
          <w:rFonts w:hint="eastAsia"/>
          <w:color w:val="1A15F1"/>
        </w:rPr>
        <w:t xml:space="preserve"> </w:t>
      </w:r>
      <w:r>
        <w:rPr>
          <w:color w:val="1A15F1"/>
        </w:rPr>
        <w:t>单位：t</w:t>
      </w:r>
    </w:p>
    <w:tbl>
      <w:tblPr>
        <w:tblStyle w:val="24"/>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08"/>
        <w:gridCol w:w="1729"/>
        <w:gridCol w:w="2973"/>
        <w:gridCol w:w="221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43"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1A15F1"/>
              </w:rPr>
            </w:pPr>
            <w:r>
              <w:rPr>
                <w:rFonts w:hint="default"/>
                <w:color w:val="1A15F1"/>
              </w:rPr>
              <w:t xml:space="preserve">规划目标年 </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1A15F1"/>
              </w:rPr>
            </w:pPr>
            <w:r>
              <w:rPr>
                <w:rFonts w:hint="eastAsia"/>
                <w:color w:val="1A15F1"/>
              </w:rPr>
              <w:t>车型</w:t>
            </w:r>
          </w:p>
        </w:tc>
        <w:tc>
          <w:tcPr>
            <w:tcW w:w="1743"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1A15F1"/>
              </w:rPr>
            </w:pPr>
            <w:r>
              <w:rPr>
                <w:rFonts w:hint="default"/>
                <w:color w:val="1A15F1"/>
              </w:rPr>
              <w:t>NOx</w:t>
            </w:r>
          </w:p>
        </w:tc>
        <w:tc>
          <w:tcPr>
            <w:tcW w:w="1298"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1A15F1"/>
              </w:rPr>
            </w:pPr>
            <w:r>
              <w:rPr>
                <w:rFonts w:hint="default"/>
                <w:color w:val="1A15F1"/>
              </w:rPr>
              <w:t>SO</w:t>
            </w:r>
            <w:r>
              <w:rPr>
                <w:rFonts w:hint="default"/>
                <w:color w:val="1A15F1"/>
                <w:vertAlign w:val="subscript"/>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43" w:type="pct"/>
            <w:vMerge w:val="restart"/>
            <w:tcBorders>
              <w:top w:val="single" w:color="auto" w:sz="4" w:space="0"/>
              <w:left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lang w:val="en-US" w:eastAsia="zh-CN"/>
              </w:rPr>
              <w:t>2025</w:t>
            </w:r>
          </w:p>
          <w:p>
            <w:pPr>
              <w:pStyle w:val="28"/>
              <w:keepNext w:val="0"/>
              <w:keepLines w:val="0"/>
              <w:suppressLineNumbers w:val="0"/>
              <w:spacing w:beforeAutospacing="0" w:afterAutospacing="0"/>
              <w:ind w:left="0" w:right="0"/>
              <w:rPr>
                <w:rFonts w:hint="default" w:eastAsia="宋体"/>
                <w:color w:val="1A15F1"/>
                <w:lang w:val="en-US" w:eastAsia="zh-CN"/>
              </w:rPr>
            </w:pPr>
          </w:p>
        </w:tc>
        <w:tc>
          <w:tcPr>
            <w:tcW w:w="1014"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自驾车</w:t>
            </w:r>
          </w:p>
        </w:tc>
        <w:tc>
          <w:tcPr>
            <w:tcW w:w="2973"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lang w:val="en-US" w:eastAsia="zh-CN"/>
              </w:rPr>
              <w:t>1995</w:t>
            </w:r>
          </w:p>
        </w:tc>
        <w:tc>
          <w:tcPr>
            <w:tcW w:w="2215"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lang w:val="en-US" w:eastAsia="zh-CN"/>
              </w:rPr>
              <w:t>199.5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43" w:type="pct"/>
            <w:vMerge w:val="continue"/>
            <w:tcBorders>
              <w:left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1A15F1"/>
              </w:rPr>
            </w:pPr>
          </w:p>
        </w:tc>
        <w:tc>
          <w:tcPr>
            <w:tcW w:w="1014"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大巴车</w:t>
            </w:r>
          </w:p>
        </w:tc>
        <w:tc>
          <w:tcPr>
            <w:tcW w:w="2973"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lang w:val="en-US" w:eastAsia="zh-CN"/>
              </w:rPr>
              <w:t>1773.3</w:t>
            </w:r>
          </w:p>
        </w:tc>
        <w:tc>
          <w:tcPr>
            <w:tcW w:w="2215"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lang w:val="en-US" w:eastAsia="zh-CN"/>
              </w:rPr>
              <w:t>190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43" w:type="pct"/>
            <w:vMerge w:val="continue"/>
            <w:tcBorders>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color w:val="1A15F1"/>
              </w:rPr>
            </w:pPr>
          </w:p>
        </w:tc>
        <w:tc>
          <w:tcPr>
            <w:tcW w:w="1014" w:type="pct"/>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color w:val="1A15F1"/>
              </w:rPr>
              <w:t>合计</w:t>
            </w:r>
          </w:p>
        </w:tc>
        <w:tc>
          <w:tcPr>
            <w:tcW w:w="2973"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lang w:val="en-US" w:eastAsia="zh-CN"/>
              </w:rPr>
              <w:t>3768.3</w:t>
            </w:r>
          </w:p>
        </w:tc>
        <w:tc>
          <w:tcPr>
            <w:tcW w:w="2215"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suppressLineNumbers w:val="0"/>
              <w:bidi w:val="0"/>
              <w:spacing w:beforeAutospacing="0" w:afterAutospacing="0"/>
              <w:ind w:left="0" w:right="0"/>
              <w:rPr>
                <w:rFonts w:hint="default" w:ascii="Times New Roman" w:hAnsi="Times New Roman" w:eastAsia="宋体" w:cs="Times New Roman"/>
                <w:color w:val="1A15F1"/>
                <w:kern w:val="2"/>
                <w:sz w:val="21"/>
                <w:szCs w:val="24"/>
                <w:lang w:val="en-US" w:eastAsia="zh-CN" w:bidi="ar-SA"/>
              </w:rPr>
            </w:pPr>
            <w:r>
              <w:rPr>
                <w:rFonts w:hint="eastAsia"/>
                <w:lang w:val="en-US" w:eastAsia="zh-CN"/>
              </w:rPr>
              <w:t>389.5</w:t>
            </w:r>
          </w:p>
        </w:tc>
      </w:tr>
    </w:tbl>
    <w:p>
      <w:pPr>
        <w:pStyle w:val="6"/>
        <w:ind w:firstLine="480"/>
        <w:rPr>
          <w:rFonts w:hint="eastAsia"/>
          <w:color w:val="1A15F1"/>
        </w:rPr>
      </w:pPr>
      <w:r>
        <w:rPr>
          <w:rFonts w:hint="eastAsia"/>
          <w:color w:val="1A15F1"/>
        </w:rPr>
        <w:t>规划末年20</w:t>
      </w:r>
      <w:r>
        <w:rPr>
          <w:rFonts w:hint="eastAsia"/>
          <w:color w:val="1A15F1"/>
          <w:lang w:val="en-US" w:eastAsia="zh-CN"/>
        </w:rPr>
        <w:t>25</w:t>
      </w:r>
      <w:r>
        <w:rPr>
          <w:rFonts w:hint="eastAsia"/>
          <w:color w:val="1A15F1"/>
        </w:rPr>
        <w:t>年，旅游车辆污染物SO</w:t>
      </w:r>
      <w:r>
        <w:rPr>
          <w:rFonts w:hint="eastAsia"/>
          <w:color w:val="1A15F1"/>
          <w:vertAlign w:val="subscript"/>
        </w:rPr>
        <w:t>2</w:t>
      </w:r>
      <w:r>
        <w:rPr>
          <w:rFonts w:hint="eastAsia"/>
          <w:color w:val="1A15F1"/>
        </w:rPr>
        <w:t>、NOx排放总量小于林芝市“三线一单”废气污染物排放总量，满足林芝市“三线一单”要求。</w:t>
      </w:r>
    </w:p>
    <w:p>
      <w:pPr>
        <w:pStyle w:val="2"/>
      </w:pPr>
      <w:bookmarkStart w:id="177" w:name="_Toc93156046"/>
      <w:r>
        <w:rPr>
          <w:rFonts w:hint="eastAsia"/>
        </w:rPr>
        <w:t>5.3.2.</w:t>
      </w:r>
      <w:r>
        <w:rPr>
          <w:rFonts w:hint="eastAsia"/>
          <w:lang w:val="en-US" w:eastAsia="zh-CN"/>
        </w:rPr>
        <w:t>2</w:t>
      </w:r>
      <w:r>
        <w:rPr>
          <w:rFonts w:hint="eastAsia"/>
        </w:rPr>
        <w:t>水环境承载能力分析</w:t>
      </w:r>
    </w:p>
    <w:p>
      <w:pPr>
        <w:pStyle w:val="6"/>
        <w:ind w:firstLine="482"/>
        <w:rPr>
          <w:b/>
          <w:bCs/>
        </w:rPr>
      </w:pPr>
      <w:r>
        <w:rPr>
          <w:rFonts w:hint="eastAsia"/>
          <w:b/>
          <w:bCs/>
        </w:rPr>
        <w:t>1、水环境容量</w:t>
      </w:r>
    </w:p>
    <w:p>
      <w:pPr>
        <w:pStyle w:val="6"/>
        <w:ind w:firstLine="480"/>
        <w:rPr>
          <w:rFonts w:hint="eastAsia"/>
        </w:rPr>
      </w:pPr>
      <w:r>
        <w:rPr>
          <w:rFonts w:hint="eastAsia"/>
        </w:rPr>
        <w:t>根据根据《林芝市“三线一单”研究报告》，林芝市水环境容量见表5.3-</w:t>
      </w:r>
      <w:r>
        <w:rPr>
          <w:rFonts w:hint="eastAsia"/>
          <w:lang w:val="en-US" w:eastAsia="zh-CN"/>
        </w:rPr>
        <w:t>7</w:t>
      </w:r>
      <w:r>
        <w:rPr>
          <w:rFonts w:hint="eastAsia"/>
        </w:rPr>
        <w:t>。</w:t>
      </w:r>
    </w:p>
    <w:p>
      <w:pPr>
        <w:pStyle w:val="6"/>
        <w:ind w:firstLine="480"/>
        <w:rPr>
          <w:rFonts w:hint="eastAsia"/>
        </w:rPr>
      </w:pPr>
    </w:p>
    <w:p>
      <w:pPr>
        <w:pStyle w:val="6"/>
        <w:ind w:firstLine="480"/>
        <w:rPr>
          <w:rFonts w:hint="eastAsia"/>
        </w:rPr>
      </w:pPr>
    </w:p>
    <w:p>
      <w:pPr>
        <w:pStyle w:val="27"/>
      </w:pPr>
      <w:r>
        <w:rPr>
          <w:rFonts w:hint="eastAsia"/>
        </w:rPr>
        <w:t>表5.3-</w:t>
      </w:r>
      <w:r>
        <w:rPr>
          <w:rFonts w:hint="eastAsia"/>
          <w:lang w:val="en-US" w:eastAsia="zh-CN"/>
        </w:rPr>
        <w:t>7</w:t>
      </w:r>
      <w:r>
        <w:rPr>
          <w:rFonts w:hint="eastAsia"/>
        </w:rPr>
        <w:t xml:space="preserve"> </w:t>
      </w:r>
      <w:r>
        <w:t xml:space="preserve"> </w:t>
      </w:r>
      <w:r>
        <w:rPr>
          <w:rFonts w:hint="eastAsia"/>
        </w:rPr>
        <w:t>林芝市区县允许排放量（含面源）测算结果</w:t>
      </w:r>
    </w:p>
    <w:tbl>
      <w:tblPr>
        <w:tblStyle w:val="24"/>
        <w:tblW w:w="4998" w:type="pct"/>
        <w:tblInd w:w="0" w:type="dxa"/>
        <w:tblLayout w:type="autofit"/>
        <w:tblCellMar>
          <w:top w:w="0" w:type="dxa"/>
          <w:left w:w="108" w:type="dxa"/>
          <w:bottom w:w="0" w:type="dxa"/>
          <w:right w:w="108" w:type="dxa"/>
        </w:tblCellMar>
      </w:tblPr>
      <w:tblGrid>
        <w:gridCol w:w="1893"/>
        <w:gridCol w:w="2268"/>
        <w:gridCol w:w="1612"/>
        <w:gridCol w:w="1516"/>
        <w:gridCol w:w="1236"/>
      </w:tblGrid>
      <w:tr>
        <w:tblPrEx>
          <w:tblCellMar>
            <w:top w:w="0" w:type="dxa"/>
            <w:left w:w="108" w:type="dxa"/>
            <w:bottom w:w="0" w:type="dxa"/>
            <w:right w:w="108" w:type="dxa"/>
          </w:tblCellMar>
        </w:tblPrEx>
        <w:trPr>
          <w:trHeight w:val="270" w:hRule="atLeast"/>
        </w:trPr>
        <w:tc>
          <w:tcPr>
            <w:tcW w:w="1110" w:type="pct"/>
            <w:vMerge w:val="restar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default"/>
              </w:rPr>
              <w:t>区县</w:t>
            </w:r>
          </w:p>
        </w:tc>
        <w:tc>
          <w:tcPr>
            <w:tcW w:w="1330" w:type="pct"/>
            <w:vMerge w:val="restart"/>
            <w:tcBorders>
              <w:top w:val="single" w:color="auto" w:sz="4" w:space="0"/>
              <w:left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default"/>
              </w:rPr>
              <w:t>河流</w:t>
            </w:r>
          </w:p>
        </w:tc>
        <w:tc>
          <w:tcPr>
            <w:tcW w:w="2559" w:type="pct"/>
            <w:gridSpan w:val="3"/>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default"/>
              </w:rPr>
              <w:t>2025年</w:t>
            </w:r>
          </w:p>
        </w:tc>
      </w:tr>
      <w:tr>
        <w:tblPrEx>
          <w:tblCellMar>
            <w:top w:w="0" w:type="dxa"/>
            <w:left w:w="108" w:type="dxa"/>
            <w:bottom w:w="0" w:type="dxa"/>
            <w:right w:w="108" w:type="dxa"/>
          </w:tblCellMar>
        </w:tblPrEx>
        <w:trPr>
          <w:trHeight w:val="330" w:hRule="atLeast"/>
        </w:trPr>
        <w:tc>
          <w:tcPr>
            <w:tcW w:w="1110"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330" w:type="pct"/>
            <w:vMerge w:val="continue"/>
            <w:tcBorders>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p>
        </w:tc>
        <w:tc>
          <w:tcPr>
            <w:tcW w:w="945"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default"/>
              </w:rPr>
              <w:t>COD</w:t>
            </w:r>
          </w:p>
        </w:tc>
        <w:tc>
          <w:tcPr>
            <w:tcW w:w="889"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default"/>
              </w:rPr>
              <w:t>NH</w:t>
            </w:r>
            <w:r>
              <w:rPr>
                <w:rFonts w:hint="default"/>
                <w:vertAlign w:val="subscript"/>
              </w:rPr>
              <w:t>3</w:t>
            </w:r>
            <w:r>
              <w:rPr>
                <w:rFonts w:hint="default"/>
              </w:rPr>
              <w:t>-N</w:t>
            </w:r>
          </w:p>
        </w:tc>
        <w:tc>
          <w:tcPr>
            <w:tcW w:w="724"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default"/>
              </w:rPr>
              <w:t>TP</w:t>
            </w:r>
          </w:p>
        </w:tc>
      </w:tr>
      <w:tr>
        <w:tblPrEx>
          <w:tblCellMar>
            <w:top w:w="0" w:type="dxa"/>
            <w:left w:w="108" w:type="dxa"/>
            <w:bottom w:w="0" w:type="dxa"/>
            <w:right w:w="108" w:type="dxa"/>
          </w:tblCellMar>
        </w:tblPrEx>
        <w:trPr>
          <w:trHeight w:val="270" w:hRule="atLeast"/>
        </w:trPr>
        <w:tc>
          <w:tcPr>
            <w:tcW w:w="1110" w:type="pct"/>
            <w:vMerge w:val="restar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巴宜区</w:t>
            </w:r>
          </w:p>
        </w:tc>
        <w:tc>
          <w:tcPr>
            <w:tcW w:w="1330"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尼洋河</w:t>
            </w:r>
          </w:p>
        </w:tc>
        <w:tc>
          <w:tcPr>
            <w:tcW w:w="94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1904.90</w:t>
            </w:r>
          </w:p>
        </w:tc>
        <w:tc>
          <w:tcPr>
            <w:tcW w:w="889"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100.10</w:t>
            </w:r>
          </w:p>
        </w:tc>
        <w:tc>
          <w:tcPr>
            <w:tcW w:w="724"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22.70</w:t>
            </w:r>
          </w:p>
        </w:tc>
      </w:tr>
      <w:tr>
        <w:tblPrEx>
          <w:tblCellMar>
            <w:top w:w="0" w:type="dxa"/>
            <w:left w:w="108" w:type="dxa"/>
            <w:bottom w:w="0" w:type="dxa"/>
            <w:right w:w="108" w:type="dxa"/>
          </w:tblCellMar>
        </w:tblPrEx>
        <w:trPr>
          <w:trHeight w:val="270" w:hRule="atLeast"/>
        </w:trPr>
        <w:tc>
          <w:tcPr>
            <w:tcW w:w="1110"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330"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雅鲁藏布江</w:t>
            </w:r>
          </w:p>
        </w:tc>
        <w:tc>
          <w:tcPr>
            <w:tcW w:w="94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430.00</w:t>
            </w:r>
          </w:p>
        </w:tc>
        <w:tc>
          <w:tcPr>
            <w:tcW w:w="889"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3.70</w:t>
            </w:r>
          </w:p>
        </w:tc>
        <w:tc>
          <w:tcPr>
            <w:tcW w:w="724"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4.70</w:t>
            </w:r>
          </w:p>
        </w:tc>
      </w:tr>
      <w:tr>
        <w:tblPrEx>
          <w:tblCellMar>
            <w:top w:w="0" w:type="dxa"/>
            <w:left w:w="108" w:type="dxa"/>
            <w:bottom w:w="0" w:type="dxa"/>
            <w:right w:w="108" w:type="dxa"/>
          </w:tblCellMar>
        </w:tblPrEx>
        <w:trPr>
          <w:trHeight w:val="270" w:hRule="atLeast"/>
        </w:trPr>
        <w:tc>
          <w:tcPr>
            <w:tcW w:w="1110"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波密县</w:t>
            </w:r>
          </w:p>
        </w:tc>
        <w:tc>
          <w:tcPr>
            <w:tcW w:w="1330"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帕隆藏布</w:t>
            </w:r>
          </w:p>
        </w:tc>
        <w:tc>
          <w:tcPr>
            <w:tcW w:w="945"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60.42</w:t>
            </w:r>
          </w:p>
        </w:tc>
        <w:tc>
          <w:tcPr>
            <w:tcW w:w="889"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6.19</w:t>
            </w:r>
          </w:p>
        </w:tc>
        <w:tc>
          <w:tcPr>
            <w:tcW w:w="724"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0.76</w:t>
            </w:r>
          </w:p>
        </w:tc>
      </w:tr>
      <w:tr>
        <w:tblPrEx>
          <w:tblCellMar>
            <w:top w:w="0" w:type="dxa"/>
            <w:left w:w="108" w:type="dxa"/>
            <w:bottom w:w="0" w:type="dxa"/>
            <w:right w:w="108" w:type="dxa"/>
          </w:tblCellMar>
        </w:tblPrEx>
        <w:trPr>
          <w:trHeight w:val="270" w:hRule="atLeast"/>
        </w:trPr>
        <w:tc>
          <w:tcPr>
            <w:tcW w:w="1110"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工布达县</w:t>
            </w:r>
          </w:p>
        </w:tc>
        <w:tc>
          <w:tcPr>
            <w:tcW w:w="1330"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尼洋河</w:t>
            </w:r>
          </w:p>
        </w:tc>
        <w:tc>
          <w:tcPr>
            <w:tcW w:w="945"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45.02</w:t>
            </w:r>
          </w:p>
        </w:tc>
        <w:tc>
          <w:tcPr>
            <w:tcW w:w="889"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4.03</w:t>
            </w:r>
          </w:p>
        </w:tc>
        <w:tc>
          <w:tcPr>
            <w:tcW w:w="724"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0.46</w:t>
            </w:r>
          </w:p>
        </w:tc>
      </w:tr>
      <w:tr>
        <w:tblPrEx>
          <w:tblCellMar>
            <w:top w:w="0" w:type="dxa"/>
            <w:left w:w="108" w:type="dxa"/>
            <w:bottom w:w="0" w:type="dxa"/>
            <w:right w:w="108" w:type="dxa"/>
          </w:tblCellMar>
        </w:tblPrEx>
        <w:trPr>
          <w:trHeight w:val="270" w:hRule="atLeast"/>
        </w:trPr>
        <w:tc>
          <w:tcPr>
            <w:tcW w:w="1110"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米林县</w:t>
            </w:r>
          </w:p>
        </w:tc>
        <w:tc>
          <w:tcPr>
            <w:tcW w:w="1330"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雅鲁藏布江</w:t>
            </w:r>
          </w:p>
        </w:tc>
        <w:tc>
          <w:tcPr>
            <w:tcW w:w="945"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477.40</w:t>
            </w:r>
          </w:p>
        </w:tc>
        <w:tc>
          <w:tcPr>
            <w:tcW w:w="889"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25.00</w:t>
            </w:r>
          </w:p>
        </w:tc>
        <w:tc>
          <w:tcPr>
            <w:tcW w:w="724"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6.30</w:t>
            </w:r>
          </w:p>
        </w:tc>
      </w:tr>
      <w:tr>
        <w:tblPrEx>
          <w:tblCellMar>
            <w:top w:w="0" w:type="dxa"/>
            <w:left w:w="108" w:type="dxa"/>
            <w:bottom w:w="0" w:type="dxa"/>
            <w:right w:w="108" w:type="dxa"/>
          </w:tblCellMar>
        </w:tblPrEx>
        <w:trPr>
          <w:trHeight w:val="270" w:hRule="atLeast"/>
        </w:trPr>
        <w:tc>
          <w:tcPr>
            <w:tcW w:w="1110"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墨脱县</w:t>
            </w:r>
          </w:p>
        </w:tc>
        <w:tc>
          <w:tcPr>
            <w:tcW w:w="1330"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雅鲁藏布江</w:t>
            </w:r>
          </w:p>
        </w:tc>
        <w:tc>
          <w:tcPr>
            <w:tcW w:w="945"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14.07</w:t>
            </w:r>
          </w:p>
        </w:tc>
        <w:tc>
          <w:tcPr>
            <w:tcW w:w="889"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1.62</w:t>
            </w:r>
          </w:p>
        </w:tc>
        <w:tc>
          <w:tcPr>
            <w:tcW w:w="724"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0.18</w:t>
            </w:r>
          </w:p>
        </w:tc>
      </w:tr>
      <w:tr>
        <w:tblPrEx>
          <w:tblCellMar>
            <w:top w:w="0" w:type="dxa"/>
            <w:left w:w="108" w:type="dxa"/>
            <w:bottom w:w="0" w:type="dxa"/>
            <w:right w:w="108" w:type="dxa"/>
          </w:tblCellMar>
        </w:tblPrEx>
        <w:trPr>
          <w:trHeight w:val="270" w:hRule="atLeast"/>
        </w:trPr>
        <w:tc>
          <w:tcPr>
            <w:tcW w:w="1110"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察隅县</w:t>
            </w:r>
          </w:p>
        </w:tc>
        <w:tc>
          <w:tcPr>
            <w:tcW w:w="1330"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察隅曲</w:t>
            </w:r>
          </w:p>
        </w:tc>
        <w:tc>
          <w:tcPr>
            <w:tcW w:w="945"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35.11</w:t>
            </w:r>
          </w:p>
        </w:tc>
        <w:tc>
          <w:tcPr>
            <w:tcW w:w="889"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3.82</w:t>
            </w:r>
          </w:p>
        </w:tc>
        <w:tc>
          <w:tcPr>
            <w:tcW w:w="724"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rPr>
            </w:pPr>
            <w:r>
              <w:rPr>
                <w:rFonts w:hint="eastAsia"/>
              </w:rPr>
              <w:t>0.45</w:t>
            </w:r>
          </w:p>
        </w:tc>
      </w:tr>
      <w:tr>
        <w:tblPrEx>
          <w:tblCellMar>
            <w:top w:w="0" w:type="dxa"/>
            <w:left w:w="108" w:type="dxa"/>
            <w:bottom w:w="0" w:type="dxa"/>
            <w:right w:w="108" w:type="dxa"/>
          </w:tblCellMar>
        </w:tblPrEx>
        <w:trPr>
          <w:trHeight w:val="270" w:hRule="atLeast"/>
        </w:trPr>
        <w:tc>
          <w:tcPr>
            <w:tcW w:w="1110"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朗县</w:t>
            </w:r>
          </w:p>
        </w:tc>
        <w:tc>
          <w:tcPr>
            <w:tcW w:w="1330"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雅鲁藏布江</w:t>
            </w:r>
          </w:p>
        </w:tc>
        <w:tc>
          <w:tcPr>
            <w:tcW w:w="945"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28.10</w:t>
            </w:r>
          </w:p>
        </w:tc>
        <w:tc>
          <w:tcPr>
            <w:tcW w:w="889"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2.98</w:t>
            </w:r>
          </w:p>
        </w:tc>
        <w:tc>
          <w:tcPr>
            <w:tcW w:w="724"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0.35</w:t>
            </w:r>
          </w:p>
        </w:tc>
      </w:tr>
      <w:tr>
        <w:tblPrEx>
          <w:tblCellMar>
            <w:top w:w="0" w:type="dxa"/>
            <w:left w:w="108" w:type="dxa"/>
            <w:bottom w:w="0" w:type="dxa"/>
            <w:right w:w="108" w:type="dxa"/>
          </w:tblCellMar>
        </w:tblPrEx>
        <w:trPr>
          <w:trHeight w:val="270" w:hRule="atLeast"/>
        </w:trPr>
        <w:tc>
          <w:tcPr>
            <w:tcW w:w="2440" w:type="pct"/>
            <w:gridSpan w:val="2"/>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合计</w:t>
            </w:r>
          </w:p>
        </w:tc>
        <w:tc>
          <w:tcPr>
            <w:tcW w:w="945"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2995.01</w:t>
            </w:r>
          </w:p>
        </w:tc>
        <w:tc>
          <w:tcPr>
            <w:tcW w:w="889"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147.43</w:t>
            </w:r>
          </w:p>
        </w:tc>
        <w:tc>
          <w:tcPr>
            <w:tcW w:w="724" w:type="pct"/>
            <w:tcBorders>
              <w:top w:val="single" w:color="auto" w:sz="4" w:space="0"/>
              <w:left w:val="single" w:color="auto" w:sz="4" w:space="0"/>
              <w:bottom w:val="single" w:color="auto" w:sz="4" w:space="0"/>
              <w:right w:val="single" w:color="auto" w:sz="4" w:space="0"/>
            </w:tcBorders>
            <w:noWrap/>
            <w:vAlign w:val="center"/>
          </w:tcPr>
          <w:p>
            <w:pPr>
              <w:pStyle w:val="29"/>
              <w:keepNext w:val="0"/>
              <w:keepLines w:val="0"/>
              <w:suppressLineNumbers w:val="0"/>
              <w:spacing w:before="0" w:beforeAutospacing="0" w:after="0" w:afterAutospacing="0"/>
              <w:ind w:left="0" w:right="0"/>
              <w:rPr>
                <w:rFonts w:hint="default"/>
                <w:color w:val="1A15F1"/>
              </w:rPr>
            </w:pPr>
            <w:r>
              <w:rPr>
                <w:rFonts w:hint="eastAsia"/>
                <w:color w:val="1A15F1"/>
              </w:rPr>
              <w:t>35.91</w:t>
            </w:r>
          </w:p>
        </w:tc>
      </w:tr>
    </w:tbl>
    <w:p>
      <w:pPr>
        <w:pStyle w:val="6"/>
        <w:ind w:firstLine="480"/>
        <w:rPr>
          <w:color w:val="1A15F1"/>
        </w:rPr>
      </w:pPr>
      <w:r>
        <w:rPr>
          <w:rFonts w:hint="eastAsia"/>
          <w:color w:val="1A15F1"/>
        </w:rPr>
        <w:t>由上表可知，到规划末年</w:t>
      </w:r>
      <w:r>
        <w:rPr>
          <w:rFonts w:hint="eastAsia"/>
          <w:color w:val="1A15F1"/>
          <w:lang w:val="en-US" w:eastAsia="zh-CN"/>
        </w:rPr>
        <w:t>2025</w:t>
      </w:r>
      <w:r>
        <w:rPr>
          <w:rFonts w:hint="eastAsia"/>
          <w:color w:val="1A15F1"/>
        </w:rPr>
        <w:t>年，林芝市COD、氨氮、总磷允许排放量分别为</w:t>
      </w:r>
      <w:r>
        <w:rPr>
          <w:rFonts w:hint="eastAsia"/>
          <w:color w:val="1A15F1"/>
          <w:lang w:val="en-US" w:eastAsia="zh-CN"/>
        </w:rPr>
        <w:t>2995.01</w:t>
      </w:r>
      <w:r>
        <w:rPr>
          <w:rFonts w:hint="eastAsia"/>
          <w:color w:val="1A15F1"/>
        </w:rPr>
        <w:t>t、</w:t>
      </w:r>
      <w:r>
        <w:rPr>
          <w:rFonts w:hint="eastAsia"/>
          <w:color w:val="1A15F1"/>
          <w:lang w:val="en-US" w:eastAsia="zh-CN"/>
        </w:rPr>
        <w:t>147.43</w:t>
      </w:r>
      <w:r>
        <w:rPr>
          <w:rFonts w:hint="eastAsia"/>
          <w:color w:val="1A15F1"/>
        </w:rPr>
        <w:t>t和</w:t>
      </w:r>
      <w:r>
        <w:rPr>
          <w:rFonts w:hint="eastAsia"/>
          <w:color w:val="1A15F1"/>
          <w:lang w:val="en-US" w:eastAsia="zh-CN"/>
        </w:rPr>
        <w:t>35.91</w:t>
      </w:r>
      <w:r>
        <w:rPr>
          <w:rFonts w:hint="eastAsia"/>
          <w:color w:val="1A15F1"/>
        </w:rPr>
        <w:t>t。</w:t>
      </w:r>
    </w:p>
    <w:p>
      <w:pPr>
        <w:pStyle w:val="6"/>
        <w:ind w:firstLine="482"/>
        <w:rPr>
          <w:rFonts w:hint="eastAsia"/>
          <w:b/>
          <w:bCs/>
          <w:color w:val="1A15F1"/>
        </w:rPr>
      </w:pPr>
      <w:r>
        <w:rPr>
          <w:rFonts w:hint="eastAsia"/>
          <w:b/>
          <w:bCs/>
          <w:color w:val="1A15F1"/>
        </w:rPr>
        <w:t>2、地表水环境承载力分析</w:t>
      </w:r>
    </w:p>
    <w:p>
      <w:pPr>
        <w:pStyle w:val="6"/>
        <w:ind w:firstLine="480"/>
        <w:rPr>
          <w:rFonts w:hint="eastAsia"/>
          <w:color w:val="1A15F1"/>
        </w:rPr>
      </w:pPr>
      <w:r>
        <w:rPr>
          <w:rFonts w:hint="eastAsia"/>
          <w:color w:val="1A15F1"/>
        </w:rPr>
        <w:t>根据</w:t>
      </w:r>
      <w:r>
        <w:rPr>
          <w:rFonts w:hint="eastAsia"/>
          <w:color w:val="1A15F1"/>
          <w:lang w:val="en-US" w:eastAsia="zh-CN"/>
        </w:rPr>
        <w:t>5.1章节中设置的情景，</w:t>
      </w:r>
      <w:r>
        <w:rPr>
          <w:rFonts w:hint="eastAsia"/>
          <w:color w:val="1A15F1"/>
        </w:rPr>
        <w:t>依据本次环评建议排水方案污染物排放量按</w:t>
      </w:r>
      <w:r>
        <w:rPr>
          <w:color w:val="1A15F1"/>
        </w:rPr>
        <w:t>《城镇污水处理厂污染物排放标准》（GB18918-2002）一级A标准</w:t>
      </w:r>
      <w:r>
        <w:rPr>
          <w:rFonts w:hint="eastAsia"/>
          <w:color w:val="1A15F1"/>
        </w:rPr>
        <w:t>核算。废水排放系数取80%，</w:t>
      </w:r>
      <w:r>
        <w:rPr>
          <w:color w:val="1A15F1"/>
        </w:rPr>
        <w:t>保守不计中水回用量</w:t>
      </w:r>
      <w:r>
        <w:rPr>
          <w:rFonts w:hint="eastAsia"/>
          <w:color w:val="1A15F1"/>
        </w:rPr>
        <w:t>，至规划末年20</w:t>
      </w:r>
      <w:r>
        <w:rPr>
          <w:rFonts w:hint="eastAsia"/>
          <w:color w:val="1A15F1"/>
          <w:lang w:val="en-US" w:eastAsia="zh-CN"/>
        </w:rPr>
        <w:t>25</w:t>
      </w:r>
      <w:r>
        <w:rPr>
          <w:rFonts w:hint="eastAsia"/>
          <w:color w:val="1A15F1"/>
        </w:rPr>
        <w:t>年，</w:t>
      </w:r>
      <w:r>
        <w:rPr>
          <w:rFonts w:hint="eastAsia"/>
          <w:color w:val="1A15F1"/>
          <w:lang w:val="en-US" w:eastAsia="zh-CN"/>
        </w:rPr>
        <w:t>生活</w:t>
      </w:r>
      <w:r>
        <w:rPr>
          <w:rFonts w:hint="eastAsia"/>
          <w:color w:val="1A15F1"/>
        </w:rPr>
        <w:t>污水排放量约为</w:t>
      </w:r>
      <w:r>
        <w:rPr>
          <w:rFonts w:hint="eastAsia"/>
          <w:color w:val="00B050"/>
          <w:lang w:val="en-US" w:eastAsia="zh-CN"/>
        </w:rPr>
        <w:t>91.2</w:t>
      </w:r>
      <w:r>
        <w:rPr>
          <w:rFonts w:hint="eastAsia"/>
          <w:color w:val="00B050"/>
        </w:rPr>
        <w:t>t、</w:t>
      </w:r>
      <w:r>
        <w:rPr>
          <w:rFonts w:hint="eastAsia"/>
          <w:color w:val="00B050"/>
          <w:lang w:val="en-US" w:eastAsia="zh-CN"/>
        </w:rPr>
        <w:t>9.12</w:t>
      </w:r>
      <w:r>
        <w:rPr>
          <w:rFonts w:hint="eastAsia"/>
          <w:color w:val="00B050"/>
        </w:rPr>
        <w:t>t、</w:t>
      </w:r>
      <w:r>
        <w:rPr>
          <w:rFonts w:hint="eastAsia"/>
          <w:color w:val="00B050"/>
          <w:lang w:val="en-US" w:eastAsia="zh-CN"/>
        </w:rPr>
        <w:t>0.91</w:t>
      </w:r>
      <w:r>
        <w:rPr>
          <w:rFonts w:hint="eastAsia"/>
          <w:color w:val="1A15F1"/>
        </w:rPr>
        <w:t>t，分别占20</w:t>
      </w:r>
      <w:r>
        <w:rPr>
          <w:rFonts w:hint="eastAsia"/>
          <w:color w:val="1A15F1"/>
          <w:lang w:val="en-US" w:eastAsia="zh-CN"/>
        </w:rPr>
        <w:t>25</w:t>
      </w:r>
      <w:r>
        <w:rPr>
          <w:rFonts w:hint="eastAsia"/>
          <w:color w:val="1A15F1"/>
        </w:rPr>
        <w:t>年允许排放总量的</w:t>
      </w:r>
      <w:r>
        <w:rPr>
          <w:rFonts w:hint="eastAsia"/>
          <w:color w:val="00B050"/>
          <w:lang w:val="en-US" w:eastAsia="zh-CN"/>
        </w:rPr>
        <w:t>3.04</w:t>
      </w:r>
      <w:r>
        <w:rPr>
          <w:rFonts w:hint="eastAsia"/>
          <w:color w:val="00B050"/>
        </w:rPr>
        <w:t>%、</w:t>
      </w:r>
      <w:r>
        <w:rPr>
          <w:rFonts w:hint="eastAsia"/>
          <w:color w:val="00B050"/>
          <w:lang w:val="en-US" w:eastAsia="zh-CN"/>
        </w:rPr>
        <w:t>6.18</w:t>
      </w:r>
      <w:r>
        <w:rPr>
          <w:rFonts w:hint="eastAsia"/>
          <w:color w:val="00B050"/>
        </w:rPr>
        <w:t>%、</w:t>
      </w:r>
      <w:r>
        <w:rPr>
          <w:rFonts w:hint="eastAsia"/>
          <w:color w:val="00B050"/>
          <w:lang w:val="en-US" w:eastAsia="zh-CN"/>
        </w:rPr>
        <w:t>2.54</w:t>
      </w:r>
      <w:r>
        <w:rPr>
          <w:rFonts w:hint="eastAsia"/>
          <w:color w:val="00B050"/>
        </w:rPr>
        <w:t>%</w:t>
      </w:r>
      <w:r>
        <w:rPr>
          <w:rFonts w:hint="eastAsia"/>
          <w:color w:val="1A15F1"/>
        </w:rPr>
        <w:t>。在所有产生废水均能得到收集并处理达到排放标准的前提下，林芝市规划期内旅游业的发展排放的废水，水污染物所占允许排放量的比例较低。</w:t>
      </w:r>
    </w:p>
    <w:p>
      <w:pPr>
        <w:pStyle w:val="6"/>
        <w:ind w:firstLine="480"/>
        <w:rPr>
          <w:color w:val="1A15F1"/>
          <w:highlight w:val="none"/>
        </w:rPr>
      </w:pPr>
      <w:r>
        <w:rPr>
          <w:rFonts w:hint="eastAsia"/>
          <w:color w:val="1A15F1"/>
          <w:highlight w:val="none"/>
        </w:rPr>
        <w:t>规划具体实施过程中，在选址的基础上，通过因地制宜的选择污水收集处理方式，以集中处理为主，不能集中处理的采取分散式定点处理</w:t>
      </w:r>
      <w:r>
        <w:rPr>
          <w:rFonts w:hint="eastAsia"/>
          <w:color w:val="1A15F1"/>
          <w:highlight w:val="none"/>
          <w:lang w:eastAsia="zh-CN"/>
        </w:rPr>
        <w:t>。</w:t>
      </w:r>
      <w:r>
        <w:rPr>
          <w:rFonts w:hint="eastAsia"/>
          <w:color w:val="1A15F1"/>
          <w:highlight w:val="none"/>
          <w:lang w:val="en-US" w:eastAsia="zh-CN"/>
        </w:rPr>
        <w:t>由于林芝市境内I类、II类水体较多，I类、II类水功能区禁止新建排污口，已有排污口不能增加排放量。</w:t>
      </w:r>
      <w:r>
        <w:rPr>
          <w:color w:val="1A15F1"/>
          <w:highlight w:val="none"/>
        </w:rPr>
        <w:t>本次</w:t>
      </w:r>
      <w:r>
        <w:rPr>
          <w:rFonts w:hint="eastAsia"/>
          <w:color w:val="1A15F1"/>
          <w:highlight w:val="none"/>
          <w:lang w:val="en-US" w:eastAsia="zh-CN"/>
        </w:rPr>
        <w:t>评价</w:t>
      </w:r>
      <w:r>
        <w:rPr>
          <w:color w:val="1A15F1"/>
          <w:highlight w:val="none"/>
        </w:rPr>
        <w:t>考虑到区域水环境功能敏感</w:t>
      </w:r>
      <w:r>
        <w:rPr>
          <w:rFonts w:hint="eastAsia"/>
          <w:color w:val="1A15F1"/>
          <w:highlight w:val="none"/>
          <w:lang w:eastAsia="zh-CN"/>
        </w:rPr>
        <w:t>，</w:t>
      </w:r>
      <w:r>
        <w:rPr>
          <w:rFonts w:hint="eastAsia"/>
          <w:color w:val="1A15F1"/>
          <w:highlight w:val="none"/>
          <w:lang w:val="en-US" w:eastAsia="zh-CN"/>
        </w:rPr>
        <w:t>要求后续选址位于废水</w:t>
      </w:r>
      <w:r>
        <w:rPr>
          <w:rFonts w:hint="eastAsia"/>
          <w:color w:val="1A15F1"/>
          <w:highlight w:val="none"/>
        </w:rPr>
        <w:t>不允许排放</w:t>
      </w:r>
      <w:r>
        <w:rPr>
          <w:rFonts w:hint="eastAsia"/>
          <w:color w:val="1A15F1"/>
          <w:highlight w:val="none"/>
          <w:lang w:val="en-US" w:eastAsia="zh-CN"/>
        </w:rPr>
        <w:t>区域的</w:t>
      </w:r>
      <w:r>
        <w:rPr>
          <w:rFonts w:hint="eastAsia"/>
          <w:color w:val="1A15F1"/>
          <w:highlight w:val="none"/>
        </w:rPr>
        <w:t>，要求</w:t>
      </w:r>
      <w:r>
        <w:rPr>
          <w:rFonts w:hint="eastAsia"/>
          <w:color w:val="1A15F1"/>
          <w:highlight w:val="none"/>
          <w:lang w:val="en-US" w:eastAsia="zh-CN"/>
        </w:rPr>
        <w:t>废水收集处理后</w:t>
      </w:r>
      <w:r>
        <w:rPr>
          <w:rFonts w:hint="eastAsia"/>
          <w:color w:val="1A15F1"/>
          <w:highlight w:val="none"/>
        </w:rPr>
        <w:t>尽量回用</w:t>
      </w:r>
      <w:r>
        <w:rPr>
          <w:rFonts w:hint="eastAsia"/>
          <w:color w:val="1A15F1"/>
          <w:highlight w:val="none"/>
          <w:lang w:eastAsia="zh-CN"/>
        </w:rPr>
        <w:t>，</w:t>
      </w:r>
      <w:r>
        <w:rPr>
          <w:rFonts w:hint="eastAsia"/>
          <w:color w:val="1A15F1"/>
          <w:highlight w:val="none"/>
        </w:rPr>
        <w:t>降低污染物排放量</w:t>
      </w:r>
      <w:r>
        <w:rPr>
          <w:rFonts w:hint="eastAsia"/>
          <w:color w:val="1A15F1"/>
          <w:highlight w:val="none"/>
          <w:lang w:eastAsia="zh-CN"/>
        </w:rPr>
        <w:t>；</w:t>
      </w:r>
      <w:r>
        <w:rPr>
          <w:rFonts w:hint="eastAsia"/>
          <w:color w:val="1A15F1"/>
          <w:highlight w:val="none"/>
          <w:lang w:val="en-US" w:eastAsia="zh-CN"/>
        </w:rPr>
        <w:t>综上，林芝市水</w:t>
      </w:r>
      <w:r>
        <w:rPr>
          <w:rFonts w:hint="eastAsia"/>
          <w:color w:val="1A15F1"/>
          <w:highlight w:val="none"/>
        </w:rPr>
        <w:t>环境容量可以支撑本次规划实施。</w:t>
      </w:r>
    </w:p>
    <w:bookmarkEnd w:id="177"/>
    <w:p>
      <w:pPr>
        <w:pStyle w:val="2"/>
      </w:pPr>
      <w:r>
        <w:rPr>
          <w:rFonts w:hint="eastAsia"/>
        </w:rPr>
        <w:t>5.3.2.3旅游资源空间承载能力</w:t>
      </w:r>
    </w:p>
    <w:p>
      <w:pPr>
        <w:pStyle w:val="6"/>
        <w:ind w:firstLine="480"/>
      </w:pPr>
      <w:r>
        <w:t>旅游资源空间承载力是指由于旅游者对风景欣赏具有时间、空间占有的要求而形成的某一段时间内所能容纳游客的数量。</w:t>
      </w:r>
      <w:r>
        <w:rPr>
          <w:rFonts w:hint="eastAsia"/>
        </w:rPr>
        <w:t>游客容量的估算方法，普遍采用线路法、卡口法、面积法、综合平衡法等方法。根据景点分布现状和规划内容，采用线路和区域法综合进行游客容量估算。</w:t>
      </w:r>
    </w:p>
    <w:p>
      <w:pPr>
        <w:pStyle w:val="6"/>
        <w:ind w:firstLine="480"/>
        <w:rPr>
          <w:rFonts w:hint="eastAsia"/>
        </w:rPr>
      </w:pPr>
      <w:r>
        <w:rPr>
          <w:rFonts w:hint="eastAsia"/>
        </w:rPr>
        <w:t>1、线路容量法</w:t>
      </w:r>
    </w:p>
    <w:p>
      <w:pPr>
        <w:pStyle w:val="6"/>
        <w:ind w:firstLine="0" w:firstLineChars="0"/>
        <w:jc w:val="center"/>
        <w:rPr>
          <w:rFonts w:hint="eastAsia"/>
        </w:rPr>
      </w:pPr>
      <w:r>
        <w:rPr>
          <w:rFonts w:hint="eastAsia"/>
        </w:rPr>
        <w:t>C=（M÷m）×D</w:t>
      </w:r>
    </w:p>
    <w:p>
      <w:pPr>
        <w:pStyle w:val="6"/>
        <w:ind w:firstLine="480"/>
        <w:rPr>
          <w:rFonts w:hint="eastAsia"/>
        </w:rPr>
      </w:pPr>
      <w:r>
        <w:rPr>
          <w:rFonts w:hint="eastAsia"/>
        </w:rPr>
        <w:t>式中：M——道路全长（米）；</w:t>
      </w:r>
    </w:p>
    <w:p>
      <w:pPr>
        <w:pStyle w:val="6"/>
        <w:ind w:firstLine="1200" w:firstLineChars="500"/>
        <w:rPr>
          <w:rFonts w:hint="eastAsia"/>
        </w:rPr>
      </w:pPr>
      <w:r>
        <w:rPr>
          <w:rFonts w:hint="eastAsia"/>
        </w:rPr>
        <w:t>m——每位游客占用道路的合理长度（米/人） ；</w:t>
      </w:r>
    </w:p>
    <w:p>
      <w:pPr>
        <w:pStyle w:val="6"/>
        <w:ind w:firstLine="1200" w:firstLineChars="500"/>
        <w:rPr>
          <w:rFonts w:hint="eastAsia"/>
        </w:rPr>
      </w:pPr>
      <w:r>
        <w:rPr>
          <w:rFonts w:hint="eastAsia"/>
        </w:rPr>
        <w:t>D——日周转率，旅游道路全天开放时间÷交通过境时。</w:t>
      </w:r>
    </w:p>
    <w:p>
      <w:pPr>
        <w:pStyle w:val="6"/>
        <w:ind w:firstLine="480"/>
        <w:rPr>
          <w:rFonts w:hint="eastAsia"/>
        </w:rPr>
      </w:pPr>
      <w:r>
        <w:rPr>
          <w:rFonts w:hint="eastAsia"/>
        </w:rPr>
        <w:t>2、面积容量法</w:t>
      </w:r>
    </w:p>
    <w:p>
      <w:pPr>
        <w:pStyle w:val="6"/>
        <w:ind w:firstLine="0" w:firstLineChars="0"/>
        <w:jc w:val="center"/>
        <w:rPr>
          <w:rFonts w:hint="eastAsia"/>
        </w:rPr>
      </w:pPr>
      <w:r>
        <w:rPr>
          <w:rFonts w:hint="eastAsia"/>
        </w:rPr>
        <w:t>C=（A÷a） ×D</w:t>
      </w:r>
    </w:p>
    <w:p>
      <w:pPr>
        <w:pStyle w:val="6"/>
        <w:ind w:firstLine="480"/>
        <w:rPr>
          <w:rFonts w:hint="eastAsia"/>
        </w:rPr>
      </w:pPr>
      <w:r>
        <w:rPr>
          <w:rFonts w:hint="eastAsia"/>
        </w:rPr>
        <w:t>式中：C——日环境容量（人次）；</w:t>
      </w:r>
    </w:p>
    <w:p>
      <w:pPr>
        <w:pStyle w:val="6"/>
        <w:ind w:firstLine="1200" w:firstLineChars="500"/>
        <w:rPr>
          <w:rFonts w:hint="eastAsia"/>
        </w:rPr>
      </w:pPr>
      <w:r>
        <w:rPr>
          <w:rFonts w:hint="eastAsia"/>
        </w:rPr>
        <w:t>A——可接待服务设施面积（平方米） ；</w:t>
      </w:r>
    </w:p>
    <w:p>
      <w:pPr>
        <w:pStyle w:val="6"/>
        <w:ind w:firstLine="1200" w:firstLineChars="500"/>
        <w:rPr>
          <w:rFonts w:hint="eastAsia"/>
        </w:rPr>
      </w:pPr>
      <w:r>
        <w:rPr>
          <w:rFonts w:hint="eastAsia"/>
        </w:rPr>
        <w:t>a——每位游客占用的合理面积（平方米/人） ；</w:t>
      </w:r>
    </w:p>
    <w:p>
      <w:pPr>
        <w:pStyle w:val="6"/>
        <w:ind w:firstLine="1200" w:firstLineChars="500"/>
      </w:pPr>
      <w:r>
        <w:rPr>
          <w:rFonts w:hint="eastAsia"/>
        </w:rPr>
        <w:t>D——日周转率，接待服务点全天开放时间÷游客停留休息时间。</w:t>
      </w:r>
    </w:p>
    <w:p>
      <w:pPr>
        <w:pStyle w:val="6"/>
        <w:ind w:firstLine="480"/>
      </w:pPr>
      <w:r>
        <w:t>根据统计结果，</w:t>
      </w:r>
      <w:r>
        <w:rPr>
          <w:rFonts w:hint="eastAsia"/>
        </w:rPr>
        <w:t>林芝各区县行政区域内景区景点、城镇村最大游人容量</w:t>
      </w:r>
      <w:r>
        <w:t>环境承载力见表</w:t>
      </w:r>
      <w:r>
        <w:rPr>
          <w:rFonts w:hint="eastAsia"/>
        </w:rPr>
        <w:t>5.3-8。</w:t>
      </w:r>
    </w:p>
    <w:p>
      <w:pPr>
        <w:pStyle w:val="27"/>
      </w:pPr>
      <w:r>
        <w:rPr>
          <w:rFonts w:hint="eastAsia"/>
        </w:rPr>
        <w:t>表5.3-8  规范范围内各景区环境承载能力一览表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5"/>
        <w:gridCol w:w="3220"/>
        <w:gridCol w:w="3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pct"/>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区/县</w:t>
            </w:r>
          </w:p>
        </w:tc>
        <w:tc>
          <w:tcPr>
            <w:tcW w:w="1888" w:type="pc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最大日承载量（万人）</w:t>
            </w:r>
          </w:p>
        </w:tc>
        <w:tc>
          <w:tcPr>
            <w:tcW w:w="1888" w:type="pc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年最大承载量（人）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pc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巴宜区</w:t>
            </w:r>
          </w:p>
        </w:tc>
        <w:tc>
          <w:tcPr>
            <w:tcW w:w="3218"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44869</w:t>
            </w:r>
          </w:p>
        </w:tc>
        <w:tc>
          <w:tcPr>
            <w:tcW w:w="3218"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16377185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pct"/>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波密县</w:t>
            </w:r>
          </w:p>
        </w:tc>
        <w:tc>
          <w:tcPr>
            <w:tcW w:w="1888" w:type="pc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12250</w:t>
            </w:r>
          </w:p>
        </w:tc>
        <w:tc>
          <w:tcPr>
            <w:tcW w:w="3218"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4471250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pct"/>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墨脱县</w:t>
            </w:r>
          </w:p>
        </w:tc>
        <w:tc>
          <w:tcPr>
            <w:tcW w:w="1888" w:type="pc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12620</w:t>
            </w:r>
          </w:p>
        </w:tc>
        <w:tc>
          <w:tcPr>
            <w:tcW w:w="3218"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4606300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pct"/>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米林县</w:t>
            </w:r>
          </w:p>
        </w:tc>
        <w:tc>
          <w:tcPr>
            <w:tcW w:w="1888" w:type="pc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19874</w:t>
            </w:r>
          </w:p>
        </w:tc>
        <w:tc>
          <w:tcPr>
            <w:tcW w:w="3218"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7254010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223" w:type="pct"/>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察隅县</w:t>
            </w:r>
          </w:p>
        </w:tc>
        <w:tc>
          <w:tcPr>
            <w:tcW w:w="1888" w:type="pc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13354</w:t>
            </w:r>
          </w:p>
        </w:tc>
        <w:tc>
          <w:tcPr>
            <w:tcW w:w="3218"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4874210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pct"/>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朗县</w:t>
            </w:r>
          </w:p>
        </w:tc>
        <w:tc>
          <w:tcPr>
            <w:tcW w:w="1888" w:type="pc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11350</w:t>
            </w:r>
          </w:p>
        </w:tc>
        <w:tc>
          <w:tcPr>
            <w:tcW w:w="3218" w:type="dxa"/>
            <w:noWrap w:val="0"/>
            <w:vAlign w:val="center"/>
          </w:tcPr>
          <w:p>
            <w:pPr>
              <w:pStyle w:val="28"/>
              <w:keepNext w:val="0"/>
              <w:keepLines w:val="0"/>
              <w:suppressLineNumbers w:val="0"/>
              <w:spacing w:beforeAutospacing="0" w:afterAutospacing="0" w:line="276" w:lineRule="auto"/>
              <w:ind w:left="0" w:right="0"/>
              <w:rPr>
                <w:rFonts w:hint="eastAsia"/>
              </w:rPr>
            </w:pPr>
            <w:r>
              <w:rPr>
                <w:rFonts w:hint="eastAsia"/>
              </w:rPr>
              <w:t>4142750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pc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合计</w:t>
            </w:r>
          </w:p>
        </w:tc>
        <w:tc>
          <w:tcPr>
            <w:tcW w:w="3218"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114317</w:t>
            </w:r>
          </w:p>
        </w:tc>
        <w:tc>
          <w:tcPr>
            <w:tcW w:w="3218"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41725705</w:t>
            </w:r>
          </w:p>
        </w:tc>
      </w:tr>
    </w:tbl>
    <w:p>
      <w:pPr>
        <w:pStyle w:val="6"/>
        <w:ind w:firstLine="480"/>
      </w:pPr>
      <w:r>
        <w:t>以上结果是在</w:t>
      </w:r>
      <w:r>
        <w:rPr>
          <w:rFonts w:hint="eastAsia"/>
        </w:rPr>
        <w:t>林芝市</w:t>
      </w:r>
      <w:r>
        <w:t>大环境下统计的年环境承载量。根据统计结果，规划范围内年最大承载量为</w:t>
      </w:r>
      <w:r>
        <w:rPr>
          <w:rFonts w:hint="eastAsia"/>
        </w:rPr>
        <w:t>4172.57</w:t>
      </w:r>
      <w:r>
        <w:t>万人次，</w:t>
      </w:r>
      <w:r>
        <w:rPr>
          <w:rFonts w:hint="eastAsia"/>
        </w:rPr>
        <w:t>20</w:t>
      </w:r>
      <w:r>
        <w:rPr>
          <w:rFonts w:hint="eastAsia"/>
          <w:lang w:val="en-US" w:eastAsia="zh-CN"/>
        </w:rPr>
        <w:t>25</w:t>
      </w:r>
      <w:r>
        <w:rPr>
          <w:rFonts w:hint="eastAsia"/>
        </w:rPr>
        <w:t>年</w:t>
      </w:r>
      <w:r>
        <w:t>末</w:t>
      </w:r>
      <w:r>
        <w:rPr>
          <w:rFonts w:hint="eastAsia"/>
        </w:rPr>
        <w:t>林芝市</w:t>
      </w:r>
      <w:r>
        <w:t>旅游市场接待总人数目标为</w:t>
      </w:r>
      <w:r>
        <w:rPr>
          <w:rFonts w:hint="eastAsia"/>
          <w:lang w:val="en-US" w:eastAsia="zh-CN"/>
        </w:rPr>
        <w:t>1873</w:t>
      </w:r>
      <w:r>
        <w:t>万人次，远小于估算年环境承载量。说明旅游资源空间承载力能够满足此次规划的目标。</w:t>
      </w:r>
    </w:p>
    <w:p>
      <w:pPr>
        <w:pStyle w:val="6"/>
        <w:ind w:firstLine="480"/>
      </w:pPr>
      <w:r>
        <w:t>各景区在后期的运营中，预测计算各景区的游客承载量，提出可容纳游客的最大限量指标。</w:t>
      </w:r>
      <w:r>
        <w:rPr>
          <w:rFonts w:hint="eastAsia"/>
        </w:rPr>
        <w:t>如果超过日最大环境容量，应采取措施：①</w:t>
      </w:r>
      <w:r>
        <w:t>引导疏散游客；</w:t>
      </w:r>
      <w:r>
        <w:rPr>
          <w:rFonts w:hint="eastAsia"/>
        </w:rPr>
        <w:t>②</w:t>
      </w:r>
      <w:r>
        <w:t>划定范围实行临时封闭旅游区；</w:t>
      </w:r>
      <w:r>
        <w:rPr>
          <w:rFonts w:hint="eastAsia"/>
        </w:rPr>
        <w:t>③</w:t>
      </w:r>
      <w:r>
        <w:t>实行旅游区域轮流开放，以确保生态环境不遭到破坏。</w:t>
      </w:r>
    </w:p>
    <w:p>
      <w:pPr>
        <w:pStyle w:val="2"/>
        <w:rPr>
          <w:rFonts w:hint="eastAsia"/>
        </w:rPr>
      </w:pPr>
      <w:r>
        <w:rPr>
          <w:rFonts w:hint="eastAsia"/>
        </w:rPr>
        <w:t>5.3.2.</w:t>
      </w:r>
      <w:r>
        <w:rPr>
          <w:rFonts w:hint="eastAsia"/>
          <w:lang w:val="en-US" w:eastAsia="zh-CN"/>
        </w:rPr>
        <w:t>4</w:t>
      </w:r>
      <w:r>
        <w:rPr>
          <w:rFonts w:hint="eastAsia"/>
        </w:rPr>
        <w:t>景观生态学分析</w:t>
      </w:r>
    </w:p>
    <w:p>
      <w:pPr>
        <w:pStyle w:val="6"/>
        <w:ind w:firstLine="480"/>
        <w:rPr>
          <w:rFonts w:hint="eastAsia"/>
        </w:rPr>
      </w:pPr>
      <w:r>
        <w:rPr>
          <w:rFonts w:hint="eastAsia"/>
        </w:rPr>
        <w:t>1、指标体系</w:t>
      </w:r>
    </w:p>
    <w:p>
      <w:pPr>
        <w:pStyle w:val="6"/>
        <w:ind w:firstLine="480"/>
        <w:rPr>
          <w:rFonts w:hint="eastAsia"/>
        </w:rPr>
      </w:pPr>
      <w:r>
        <w:rPr>
          <w:rFonts w:hint="eastAsia"/>
        </w:rPr>
        <w:t>景观生态学对景观结构、功能、变化和稳定性方面的指标与土地利用总体规划关系密切，可作为环境影响评价过程中土地利用现状、影响分析、保护措施、可持续发展的评价指标。因此借用其方法对本规划的土地承载力进行分析。</w:t>
      </w:r>
    </w:p>
    <w:p>
      <w:pPr>
        <w:pStyle w:val="6"/>
        <w:ind w:firstLine="480"/>
        <w:rPr>
          <w:rFonts w:hint="eastAsia"/>
        </w:rPr>
      </w:pPr>
      <w:r>
        <w:rPr>
          <w:rFonts w:hint="eastAsia"/>
        </w:rPr>
        <w:t>评价采用三级指标体系。一级指标为4个，即结构指标、功能指标、变化指标和稳定性指标。二级指标7个，其中景观单元、空间镶嵌体两项属结构指标，功能流、干扰与循环三项属功能指标，变化指标和稳定性指标的二级指标不再细分。三级指标共18项。</w:t>
      </w:r>
    </w:p>
    <w:p>
      <w:pPr>
        <w:pStyle w:val="6"/>
        <w:ind w:firstLine="480"/>
        <w:rPr>
          <w:rFonts w:hint="eastAsia"/>
        </w:rPr>
      </w:pPr>
      <w:r>
        <w:rPr>
          <w:rFonts w:hint="eastAsia"/>
        </w:rPr>
        <w:t>每个三级指标被划分为4类状态，每1类状态分别对应于不同的评价分值；4个类别的评分分值为100分、75分、50分、25分；所有三级指标评分值的累计值即为该类型土地利用的生态承载力评价分值。</w:t>
      </w:r>
    </w:p>
    <w:p>
      <w:pPr>
        <w:pStyle w:val="6"/>
        <w:ind w:firstLine="480"/>
        <w:rPr>
          <w:rFonts w:hint="eastAsia"/>
        </w:rPr>
      </w:pPr>
      <w:r>
        <w:rPr>
          <w:rFonts w:hint="eastAsia"/>
        </w:rPr>
        <w:t>本次评价的景观生态学评价指标体系，见表5.3-9。</w:t>
      </w:r>
    </w:p>
    <w:p>
      <w:pPr>
        <w:pStyle w:val="27"/>
        <w:rPr>
          <w:rFonts w:hint="eastAsia"/>
        </w:rPr>
      </w:pPr>
      <w:r>
        <w:rPr>
          <w:rFonts w:hint="eastAsia"/>
        </w:rPr>
        <w:t>表5.3-9  土地承载力景观生态学综合评价指标体系</w:t>
      </w:r>
    </w:p>
    <w:tbl>
      <w:tblPr>
        <w:tblStyle w:val="24"/>
        <w:tblW w:w="4999" w:type="pct"/>
        <w:jc w:val="center"/>
        <w:tblLayout w:type="autofit"/>
        <w:tblCellMar>
          <w:top w:w="0" w:type="dxa"/>
          <w:left w:w="10" w:type="dxa"/>
          <w:bottom w:w="0" w:type="dxa"/>
          <w:right w:w="10" w:type="dxa"/>
        </w:tblCellMar>
      </w:tblPr>
      <w:tblGrid>
        <w:gridCol w:w="1016"/>
        <w:gridCol w:w="1611"/>
        <w:gridCol w:w="1605"/>
        <w:gridCol w:w="648"/>
        <w:gridCol w:w="757"/>
        <w:gridCol w:w="853"/>
        <w:gridCol w:w="670"/>
        <w:gridCol w:w="703"/>
        <w:gridCol w:w="467"/>
      </w:tblGrid>
      <w:tr>
        <w:tblPrEx>
          <w:tblCellMar>
            <w:top w:w="0" w:type="dxa"/>
            <w:left w:w="10" w:type="dxa"/>
            <w:bottom w:w="0" w:type="dxa"/>
            <w:right w:w="10" w:type="dxa"/>
          </w:tblCellMar>
        </w:tblPrEx>
        <w:trPr>
          <w:trHeight w:val="23" w:hRule="atLeast"/>
          <w:jc w:val="center"/>
        </w:trPr>
        <w:tc>
          <w:tcPr>
            <w:tcW w:w="2540" w:type="pct"/>
            <w:gridSpan w:val="3"/>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指标/权重</w:t>
            </w:r>
          </w:p>
        </w:tc>
        <w:tc>
          <w:tcPr>
            <w:tcW w:w="2459" w:type="pct"/>
            <w:gridSpan w:val="6"/>
            <w:tcBorders>
              <w:top w:val="single" w:color="auto" w:sz="4" w:space="0"/>
              <w:left w:val="single" w:color="auto" w:sz="4" w:space="0"/>
              <w:righ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评价类别/评分（百分制）</w:t>
            </w:r>
          </w:p>
        </w:tc>
      </w:tr>
      <w:tr>
        <w:tblPrEx>
          <w:tblCellMar>
            <w:top w:w="0" w:type="dxa"/>
            <w:left w:w="10" w:type="dxa"/>
            <w:bottom w:w="0" w:type="dxa"/>
            <w:right w:w="10" w:type="dxa"/>
          </w:tblCellMar>
        </w:tblPrEx>
        <w:trPr>
          <w:trHeight w:val="23" w:hRule="atLeast"/>
          <w:jc w:val="center"/>
        </w:trPr>
        <w:tc>
          <w:tcPr>
            <w:tcW w:w="610" w:type="pct"/>
            <w:tcBorders>
              <w:top w:val="single" w:color="auto" w:sz="4" w:space="0"/>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一级</w:t>
            </w:r>
          </w:p>
        </w:tc>
        <w:tc>
          <w:tcPr>
            <w:tcW w:w="967" w:type="pct"/>
            <w:tcBorders>
              <w:top w:val="single" w:color="auto" w:sz="4" w:space="0"/>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二级</w:t>
            </w:r>
          </w:p>
        </w:tc>
        <w:tc>
          <w:tcPr>
            <w:tcW w:w="962" w:type="pct"/>
            <w:tcBorders>
              <w:top w:val="single" w:color="auto" w:sz="4" w:space="0"/>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三级</w:t>
            </w:r>
          </w:p>
        </w:tc>
        <w:tc>
          <w:tcPr>
            <w:tcW w:w="389" w:type="pct"/>
            <w:tcBorders>
              <w:top w:val="single" w:color="auto" w:sz="4" w:space="0"/>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单位</w:t>
            </w:r>
          </w:p>
        </w:tc>
        <w:tc>
          <w:tcPr>
            <w:tcW w:w="454" w:type="pct"/>
            <w:tcBorders>
              <w:top w:val="single" w:color="auto" w:sz="4" w:space="0"/>
              <w:left w:val="single" w:color="auto" w:sz="4" w:space="0"/>
            </w:tcBorders>
            <w:shd w:val="clear" w:color="auto" w:fill="FFFFFF"/>
            <w:noWrap w:val="0"/>
            <w:vAlign w:val="bottom"/>
          </w:tcPr>
          <w:p>
            <w:pPr>
              <w:pStyle w:val="29"/>
              <w:keepNext w:val="0"/>
              <w:keepLines w:val="0"/>
              <w:suppressLineNumbers w:val="0"/>
              <w:spacing w:before="0" w:beforeAutospacing="0" w:after="0" w:afterAutospacing="0"/>
              <w:ind w:left="0" w:right="0"/>
              <w:rPr>
                <w:rFonts w:hint="default"/>
              </w:rPr>
            </w:pPr>
            <w:r>
              <w:rPr>
                <w:rFonts w:hint="default"/>
                <w:lang w:eastAsia="en-US"/>
              </w:rPr>
              <w:t>A</w:t>
            </w:r>
          </w:p>
          <w:p>
            <w:pPr>
              <w:pStyle w:val="29"/>
              <w:keepNext w:val="0"/>
              <w:keepLines w:val="0"/>
              <w:suppressLineNumbers w:val="0"/>
              <w:spacing w:before="0" w:beforeAutospacing="0" w:after="0" w:afterAutospacing="0"/>
              <w:ind w:left="0" w:right="0"/>
              <w:rPr>
                <w:rFonts w:hint="default"/>
              </w:rPr>
            </w:pPr>
            <w:r>
              <w:rPr>
                <w:rFonts w:hint="default"/>
              </w:rPr>
              <w:t>100</w:t>
            </w:r>
          </w:p>
        </w:tc>
        <w:tc>
          <w:tcPr>
            <w:tcW w:w="512" w:type="pct"/>
            <w:tcBorders>
              <w:top w:val="single" w:color="auto" w:sz="4" w:space="0"/>
              <w:left w:val="single" w:color="auto" w:sz="4" w:space="0"/>
            </w:tcBorders>
            <w:shd w:val="clear" w:color="auto" w:fill="FFFFFF"/>
            <w:noWrap w:val="0"/>
            <w:vAlign w:val="bottom"/>
          </w:tcPr>
          <w:p>
            <w:pPr>
              <w:pStyle w:val="29"/>
              <w:keepNext w:val="0"/>
              <w:keepLines w:val="0"/>
              <w:suppressLineNumbers w:val="0"/>
              <w:spacing w:before="0" w:beforeAutospacing="0" w:after="0" w:afterAutospacing="0"/>
              <w:ind w:left="0" w:right="0"/>
              <w:rPr>
                <w:rFonts w:hint="default"/>
              </w:rPr>
            </w:pPr>
            <w:r>
              <w:rPr>
                <w:rFonts w:hint="default"/>
                <w:lang w:eastAsia="en-US"/>
              </w:rPr>
              <w:t>B</w:t>
            </w:r>
          </w:p>
          <w:p>
            <w:pPr>
              <w:pStyle w:val="29"/>
              <w:keepNext w:val="0"/>
              <w:keepLines w:val="0"/>
              <w:suppressLineNumbers w:val="0"/>
              <w:spacing w:before="0" w:beforeAutospacing="0" w:after="0" w:afterAutospacing="0"/>
              <w:ind w:left="0" w:right="0"/>
              <w:rPr>
                <w:rFonts w:hint="default"/>
              </w:rPr>
            </w:pPr>
            <w:r>
              <w:rPr>
                <w:rFonts w:hint="default"/>
              </w:rPr>
              <w:t>75</w:t>
            </w:r>
          </w:p>
        </w:tc>
        <w:tc>
          <w:tcPr>
            <w:tcW w:w="402" w:type="pct"/>
            <w:tcBorders>
              <w:top w:val="single" w:color="auto" w:sz="4" w:space="0"/>
              <w:left w:val="single" w:color="auto" w:sz="4" w:space="0"/>
            </w:tcBorders>
            <w:shd w:val="clear" w:color="auto" w:fill="FFFFFF"/>
            <w:noWrap w:val="0"/>
            <w:vAlign w:val="bottom"/>
          </w:tcPr>
          <w:p>
            <w:pPr>
              <w:pStyle w:val="29"/>
              <w:keepNext w:val="0"/>
              <w:keepLines w:val="0"/>
              <w:suppressLineNumbers w:val="0"/>
              <w:spacing w:before="0" w:beforeAutospacing="0" w:after="0" w:afterAutospacing="0"/>
              <w:ind w:left="0" w:right="0"/>
              <w:rPr>
                <w:rFonts w:hint="default"/>
              </w:rPr>
            </w:pPr>
            <w:r>
              <w:rPr>
                <w:rFonts w:hint="default"/>
                <w:lang w:eastAsia="en-US"/>
              </w:rPr>
              <w:t>C</w:t>
            </w:r>
          </w:p>
          <w:p>
            <w:pPr>
              <w:pStyle w:val="29"/>
              <w:keepNext w:val="0"/>
              <w:keepLines w:val="0"/>
              <w:suppressLineNumbers w:val="0"/>
              <w:spacing w:before="0" w:beforeAutospacing="0" w:after="0" w:afterAutospacing="0"/>
              <w:ind w:left="0" w:right="0"/>
              <w:rPr>
                <w:rFonts w:hint="default"/>
              </w:rPr>
            </w:pPr>
            <w:r>
              <w:rPr>
                <w:rFonts w:hint="default"/>
              </w:rPr>
              <w:t>50</w:t>
            </w:r>
          </w:p>
        </w:tc>
        <w:tc>
          <w:tcPr>
            <w:tcW w:w="422" w:type="pct"/>
            <w:tcBorders>
              <w:top w:val="single" w:color="auto" w:sz="4" w:space="0"/>
              <w:left w:val="single" w:color="auto" w:sz="4" w:space="0"/>
            </w:tcBorders>
            <w:shd w:val="clear" w:color="auto" w:fill="FFFFFF"/>
            <w:noWrap w:val="0"/>
            <w:vAlign w:val="bottom"/>
          </w:tcPr>
          <w:p>
            <w:pPr>
              <w:pStyle w:val="29"/>
              <w:keepNext w:val="0"/>
              <w:keepLines w:val="0"/>
              <w:suppressLineNumbers w:val="0"/>
              <w:spacing w:before="0" w:beforeAutospacing="0" w:after="0" w:afterAutospacing="0"/>
              <w:ind w:left="0" w:right="0"/>
              <w:rPr>
                <w:rFonts w:hint="default"/>
              </w:rPr>
            </w:pPr>
            <w:r>
              <w:rPr>
                <w:rFonts w:hint="default"/>
                <w:lang w:eastAsia="en-US"/>
              </w:rPr>
              <w:t>D</w:t>
            </w:r>
          </w:p>
          <w:p>
            <w:pPr>
              <w:pStyle w:val="29"/>
              <w:keepNext w:val="0"/>
              <w:keepLines w:val="0"/>
              <w:suppressLineNumbers w:val="0"/>
              <w:spacing w:before="0" w:beforeAutospacing="0" w:after="0" w:afterAutospacing="0"/>
              <w:ind w:left="0" w:right="0"/>
              <w:rPr>
                <w:rFonts w:hint="default"/>
              </w:rPr>
            </w:pPr>
            <w:r>
              <w:rPr>
                <w:rFonts w:hint="default"/>
              </w:rPr>
              <w:t>25</w:t>
            </w:r>
          </w:p>
        </w:tc>
        <w:tc>
          <w:tcPr>
            <w:tcW w:w="277" w:type="pct"/>
            <w:tcBorders>
              <w:top w:val="single" w:color="auto" w:sz="4" w:space="0"/>
              <w:left w:val="single" w:color="auto" w:sz="4" w:space="0"/>
              <w:right w:val="single" w:color="auto" w:sz="4" w:space="0"/>
            </w:tcBorders>
            <w:shd w:val="clear" w:color="auto" w:fill="FFFFFF"/>
            <w:noWrap w:val="0"/>
            <w:textDirection w:val="tbRlV"/>
            <w:vAlign w:val="top"/>
          </w:tcPr>
          <w:p>
            <w:pPr>
              <w:pStyle w:val="28"/>
              <w:keepNext w:val="0"/>
              <w:keepLines w:val="0"/>
              <w:suppressLineNumbers w:val="0"/>
              <w:spacing w:beforeAutospacing="0" w:afterAutospacing="0"/>
              <w:ind w:left="0" w:right="0"/>
              <w:rPr>
                <w:rFonts w:hint="eastAsia"/>
              </w:rPr>
            </w:pPr>
            <w:r>
              <w:rPr>
                <w:rFonts w:hint="eastAsia"/>
              </w:rPr>
              <w:t>备注</w:t>
            </w:r>
          </w:p>
        </w:tc>
      </w:tr>
      <w:tr>
        <w:tblPrEx>
          <w:tblCellMar>
            <w:top w:w="0" w:type="dxa"/>
            <w:left w:w="10" w:type="dxa"/>
            <w:bottom w:w="0" w:type="dxa"/>
            <w:right w:w="10" w:type="dxa"/>
          </w:tblCellMar>
        </w:tblPrEx>
        <w:trPr>
          <w:trHeight w:val="23" w:hRule="atLeast"/>
          <w:jc w:val="center"/>
        </w:trPr>
        <w:tc>
          <w:tcPr>
            <w:tcW w:w="610" w:type="pct"/>
            <w:vMerge w:val="restart"/>
            <w:tcBorders>
              <w:top w:val="single" w:color="auto" w:sz="4" w:space="0"/>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结构指标</w:t>
            </w:r>
          </w:p>
          <w:p>
            <w:pPr>
              <w:pStyle w:val="28"/>
              <w:keepNext w:val="0"/>
              <w:keepLines w:val="0"/>
              <w:suppressLineNumbers w:val="0"/>
              <w:spacing w:beforeAutospacing="0" w:afterAutospacing="0"/>
              <w:ind w:left="0" w:right="0"/>
              <w:rPr>
                <w:rFonts w:hint="default"/>
              </w:rPr>
            </w:pPr>
            <w:r>
              <w:rPr>
                <w:rFonts w:hint="default"/>
                <w:lang w:eastAsia="en-US"/>
              </w:rPr>
              <w:t>0.3</w:t>
            </w:r>
          </w:p>
        </w:tc>
        <w:tc>
          <w:tcPr>
            <w:tcW w:w="967" w:type="pct"/>
            <w:vMerge w:val="restart"/>
            <w:tcBorders>
              <w:top w:val="single" w:color="auto" w:sz="4" w:space="0"/>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景观</w:t>
            </w:r>
            <w:r>
              <w:rPr>
                <w:rFonts w:hint="eastAsia"/>
              </w:rPr>
              <w:t>单元</w:t>
            </w:r>
            <w:r>
              <w:rPr>
                <w:rFonts w:hint="default"/>
              </w:rPr>
              <w:t>/0.6</w:t>
            </w:r>
          </w:p>
        </w:tc>
        <w:tc>
          <w:tcPr>
            <w:tcW w:w="96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类型/0.6</w:t>
            </w:r>
          </w:p>
        </w:tc>
        <w:tc>
          <w:tcPr>
            <w:tcW w:w="389"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丰富</w:t>
            </w:r>
          </w:p>
        </w:tc>
        <w:tc>
          <w:tcPr>
            <w:tcW w:w="51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较丰富</w:t>
            </w:r>
          </w:p>
        </w:tc>
        <w:tc>
          <w:tcPr>
            <w:tcW w:w="40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较少</w:t>
            </w:r>
          </w:p>
        </w:tc>
        <w:tc>
          <w:tcPr>
            <w:tcW w:w="42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很少</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7"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密度/0.4</w:t>
            </w:r>
          </w:p>
        </w:tc>
        <w:tc>
          <w:tcPr>
            <w:tcW w:w="389"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高</w:t>
            </w:r>
          </w:p>
        </w:tc>
        <w:tc>
          <w:tcPr>
            <w:tcW w:w="51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较高</w:t>
            </w:r>
          </w:p>
        </w:tc>
        <w:tc>
          <w:tcPr>
            <w:tcW w:w="40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较低</w:t>
            </w:r>
          </w:p>
        </w:tc>
        <w:tc>
          <w:tcPr>
            <w:tcW w:w="42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很低</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7" w:type="pct"/>
            <w:vMerge w:val="restart"/>
            <w:tcBorders>
              <w:top w:val="single" w:color="auto" w:sz="4" w:space="0"/>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空间镶嵌体/0.4</w:t>
            </w:r>
          </w:p>
        </w:tc>
        <w:tc>
          <w:tcPr>
            <w:tcW w:w="96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景观异质性/0.4</w:t>
            </w:r>
          </w:p>
        </w:tc>
        <w:tc>
          <w:tcPr>
            <w:tcW w:w="389"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丰富</w:t>
            </w:r>
          </w:p>
        </w:tc>
        <w:tc>
          <w:tcPr>
            <w:tcW w:w="51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较丰富</w:t>
            </w:r>
          </w:p>
        </w:tc>
        <w:tc>
          <w:tcPr>
            <w:tcW w:w="40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较少</w:t>
            </w:r>
          </w:p>
        </w:tc>
        <w:tc>
          <w:tcPr>
            <w:tcW w:w="42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很少</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7"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景观多样性/0.3</w:t>
            </w:r>
          </w:p>
        </w:tc>
        <w:tc>
          <w:tcPr>
            <w:tcW w:w="389"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丰富</w:t>
            </w:r>
          </w:p>
        </w:tc>
        <w:tc>
          <w:tcPr>
            <w:tcW w:w="51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较丰富</w:t>
            </w:r>
          </w:p>
        </w:tc>
        <w:tc>
          <w:tcPr>
            <w:tcW w:w="40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较少</w:t>
            </w:r>
          </w:p>
        </w:tc>
        <w:tc>
          <w:tcPr>
            <w:tcW w:w="42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很少</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7"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连通</w:t>
            </w:r>
            <w:r>
              <w:rPr>
                <w:rFonts w:hint="eastAsia"/>
              </w:rPr>
              <w:t>性</w:t>
            </w:r>
            <w:r>
              <w:rPr>
                <w:rFonts w:hint="default"/>
                <w:lang w:eastAsia="en-US"/>
              </w:rPr>
              <w:t>/0.3</w:t>
            </w:r>
          </w:p>
        </w:tc>
        <w:tc>
          <w:tcPr>
            <w:tcW w:w="389"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优良</w:t>
            </w:r>
          </w:p>
        </w:tc>
        <w:tc>
          <w:tcPr>
            <w:tcW w:w="51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较好</w:t>
            </w:r>
          </w:p>
        </w:tc>
        <w:tc>
          <w:tcPr>
            <w:tcW w:w="40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较差</w:t>
            </w:r>
          </w:p>
        </w:tc>
        <w:tc>
          <w:tcPr>
            <w:tcW w:w="42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很差</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restart"/>
            <w:tcBorders>
              <w:top w:val="single" w:color="auto" w:sz="4" w:space="0"/>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eastAsia"/>
              </w:rPr>
              <w:t>功能指标0.3</w:t>
            </w:r>
          </w:p>
        </w:tc>
        <w:tc>
          <w:tcPr>
            <w:tcW w:w="967" w:type="pct"/>
            <w:vMerge w:val="restart"/>
            <w:tcBorders>
              <w:top w:val="single" w:color="auto" w:sz="4" w:space="0"/>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功能流/0.4</w:t>
            </w:r>
          </w:p>
        </w:tc>
        <w:tc>
          <w:tcPr>
            <w:tcW w:w="96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流量/0.6</w:t>
            </w:r>
          </w:p>
        </w:tc>
        <w:tc>
          <w:tcPr>
            <w:tcW w:w="389"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高</w:t>
            </w:r>
          </w:p>
        </w:tc>
        <w:tc>
          <w:tcPr>
            <w:tcW w:w="51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较高</w:t>
            </w:r>
          </w:p>
        </w:tc>
        <w:tc>
          <w:tcPr>
            <w:tcW w:w="40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较低</w:t>
            </w:r>
          </w:p>
        </w:tc>
        <w:tc>
          <w:tcPr>
            <w:tcW w:w="42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很低</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continue"/>
            <w:tcBorders>
              <w:left w:val="single" w:color="auto" w:sz="4" w:space="0"/>
            </w:tcBorders>
            <w:shd w:val="clear" w:color="auto" w:fill="FFFFFF"/>
            <w:noWrap w:val="0"/>
            <w:textDirection w:val="tbRlV"/>
            <w:vAlign w:val="bottom"/>
          </w:tcPr>
          <w:p>
            <w:pPr>
              <w:pStyle w:val="28"/>
              <w:keepNext w:val="0"/>
              <w:keepLines w:val="0"/>
              <w:suppressLineNumbers w:val="0"/>
              <w:spacing w:beforeAutospacing="0" w:afterAutospacing="0"/>
              <w:ind w:left="0" w:right="0"/>
              <w:rPr>
                <w:rFonts w:hint="default"/>
              </w:rPr>
            </w:pPr>
          </w:p>
        </w:tc>
        <w:tc>
          <w:tcPr>
            <w:tcW w:w="967"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速度/0.4</w:t>
            </w:r>
          </w:p>
        </w:tc>
        <w:tc>
          <w:tcPr>
            <w:tcW w:w="389"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快</w:t>
            </w:r>
          </w:p>
        </w:tc>
        <w:tc>
          <w:tcPr>
            <w:tcW w:w="51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较快</w:t>
            </w:r>
          </w:p>
        </w:tc>
        <w:tc>
          <w:tcPr>
            <w:tcW w:w="40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较慢</w:t>
            </w:r>
          </w:p>
        </w:tc>
        <w:tc>
          <w:tcPr>
            <w:tcW w:w="42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很慢</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continue"/>
            <w:tcBorders>
              <w:left w:val="single" w:color="auto" w:sz="4" w:space="0"/>
            </w:tcBorders>
            <w:shd w:val="clear" w:color="auto" w:fill="FFFFFF"/>
            <w:noWrap w:val="0"/>
            <w:textDirection w:val="tbRlV"/>
            <w:vAlign w:val="bottom"/>
          </w:tcPr>
          <w:p>
            <w:pPr>
              <w:pStyle w:val="28"/>
              <w:keepNext w:val="0"/>
              <w:keepLines w:val="0"/>
              <w:suppressLineNumbers w:val="0"/>
              <w:spacing w:beforeAutospacing="0" w:afterAutospacing="0"/>
              <w:ind w:left="0" w:right="0"/>
              <w:rPr>
                <w:rFonts w:hint="default"/>
              </w:rPr>
            </w:pPr>
          </w:p>
        </w:tc>
        <w:tc>
          <w:tcPr>
            <w:tcW w:w="967" w:type="pct"/>
            <w:vMerge w:val="restart"/>
            <w:tcBorders>
              <w:top w:val="single" w:color="auto" w:sz="4" w:space="0"/>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干扰/0.3</w:t>
            </w:r>
          </w:p>
        </w:tc>
        <w:tc>
          <w:tcPr>
            <w:tcW w:w="96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强度/0.4</w:t>
            </w:r>
          </w:p>
        </w:tc>
        <w:tc>
          <w:tcPr>
            <w:tcW w:w="389"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弱</w:t>
            </w:r>
          </w:p>
        </w:tc>
        <w:tc>
          <w:tcPr>
            <w:tcW w:w="51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较弱</w:t>
            </w:r>
          </w:p>
        </w:tc>
        <w:tc>
          <w:tcPr>
            <w:tcW w:w="40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较强</w:t>
            </w:r>
          </w:p>
        </w:tc>
        <w:tc>
          <w:tcPr>
            <w:tcW w:w="42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很强</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continue"/>
            <w:tcBorders>
              <w:left w:val="single" w:color="auto" w:sz="4" w:space="0"/>
            </w:tcBorders>
            <w:shd w:val="clear" w:color="auto" w:fill="FFFFFF"/>
            <w:noWrap w:val="0"/>
            <w:textDirection w:val="tbRlV"/>
            <w:vAlign w:val="bottom"/>
          </w:tcPr>
          <w:p>
            <w:pPr>
              <w:pStyle w:val="28"/>
              <w:keepNext w:val="0"/>
              <w:keepLines w:val="0"/>
              <w:suppressLineNumbers w:val="0"/>
              <w:spacing w:beforeAutospacing="0" w:afterAutospacing="0"/>
              <w:ind w:left="0" w:right="0"/>
              <w:rPr>
                <w:rFonts w:hint="default"/>
              </w:rPr>
            </w:pPr>
          </w:p>
        </w:tc>
        <w:tc>
          <w:tcPr>
            <w:tcW w:w="967"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范围/0.3</w:t>
            </w:r>
          </w:p>
        </w:tc>
        <w:tc>
          <w:tcPr>
            <w:tcW w:w="389"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小</w:t>
            </w:r>
          </w:p>
        </w:tc>
        <w:tc>
          <w:tcPr>
            <w:tcW w:w="51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较小</w:t>
            </w:r>
          </w:p>
        </w:tc>
        <w:tc>
          <w:tcPr>
            <w:tcW w:w="40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较大</w:t>
            </w:r>
          </w:p>
        </w:tc>
        <w:tc>
          <w:tcPr>
            <w:tcW w:w="42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很大</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continue"/>
            <w:tcBorders>
              <w:left w:val="single" w:color="auto" w:sz="4" w:space="0"/>
            </w:tcBorders>
            <w:shd w:val="clear" w:color="auto" w:fill="FFFFFF"/>
            <w:noWrap w:val="0"/>
            <w:textDirection w:val="tbRlV"/>
            <w:vAlign w:val="bottom"/>
          </w:tcPr>
          <w:p>
            <w:pPr>
              <w:pStyle w:val="28"/>
              <w:keepNext w:val="0"/>
              <w:keepLines w:val="0"/>
              <w:suppressLineNumbers w:val="0"/>
              <w:spacing w:beforeAutospacing="0" w:afterAutospacing="0"/>
              <w:ind w:left="0" w:right="0"/>
              <w:rPr>
                <w:rFonts w:hint="default"/>
              </w:rPr>
            </w:pPr>
          </w:p>
        </w:tc>
        <w:tc>
          <w:tcPr>
            <w:tcW w:w="967"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频度/0.3</w:t>
            </w:r>
          </w:p>
        </w:tc>
        <w:tc>
          <w:tcPr>
            <w:tcW w:w="389"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低</w:t>
            </w:r>
          </w:p>
        </w:tc>
        <w:tc>
          <w:tcPr>
            <w:tcW w:w="51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较低</w:t>
            </w:r>
          </w:p>
        </w:tc>
        <w:tc>
          <w:tcPr>
            <w:tcW w:w="40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较高</w:t>
            </w:r>
          </w:p>
        </w:tc>
        <w:tc>
          <w:tcPr>
            <w:tcW w:w="42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很高</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continue"/>
            <w:tcBorders>
              <w:left w:val="single" w:color="auto" w:sz="4" w:space="0"/>
            </w:tcBorders>
            <w:shd w:val="clear" w:color="auto" w:fill="FFFFFF"/>
            <w:noWrap w:val="0"/>
            <w:textDirection w:val="tbRlV"/>
            <w:vAlign w:val="bottom"/>
          </w:tcPr>
          <w:p>
            <w:pPr>
              <w:pStyle w:val="28"/>
              <w:keepNext w:val="0"/>
              <w:keepLines w:val="0"/>
              <w:suppressLineNumbers w:val="0"/>
              <w:spacing w:beforeAutospacing="0" w:afterAutospacing="0"/>
              <w:ind w:left="0" w:right="0"/>
              <w:rPr>
                <w:rFonts w:hint="default"/>
              </w:rPr>
            </w:pPr>
          </w:p>
        </w:tc>
        <w:tc>
          <w:tcPr>
            <w:tcW w:w="967" w:type="pct"/>
            <w:vMerge w:val="restart"/>
            <w:tcBorders>
              <w:top w:val="single" w:color="auto" w:sz="4" w:space="0"/>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循环/0.3</w:t>
            </w:r>
          </w:p>
        </w:tc>
        <w:tc>
          <w:tcPr>
            <w:tcW w:w="96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流量/0.4</w:t>
            </w:r>
          </w:p>
        </w:tc>
        <w:tc>
          <w:tcPr>
            <w:tcW w:w="389"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高</w:t>
            </w:r>
          </w:p>
        </w:tc>
        <w:tc>
          <w:tcPr>
            <w:tcW w:w="51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较高</w:t>
            </w:r>
          </w:p>
        </w:tc>
        <w:tc>
          <w:tcPr>
            <w:tcW w:w="40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较低</w:t>
            </w:r>
          </w:p>
        </w:tc>
        <w:tc>
          <w:tcPr>
            <w:tcW w:w="42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很低</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continue"/>
            <w:tcBorders>
              <w:left w:val="single" w:color="auto" w:sz="4" w:space="0"/>
            </w:tcBorders>
            <w:shd w:val="clear" w:color="auto" w:fill="FFFFFF"/>
            <w:noWrap w:val="0"/>
            <w:textDirection w:val="tbRlV"/>
            <w:vAlign w:val="bottom"/>
          </w:tcPr>
          <w:p>
            <w:pPr>
              <w:pStyle w:val="28"/>
              <w:keepNext w:val="0"/>
              <w:keepLines w:val="0"/>
              <w:suppressLineNumbers w:val="0"/>
              <w:spacing w:beforeAutospacing="0" w:afterAutospacing="0"/>
              <w:ind w:left="0" w:right="0"/>
              <w:rPr>
                <w:rFonts w:hint="default"/>
              </w:rPr>
            </w:pPr>
          </w:p>
        </w:tc>
        <w:tc>
          <w:tcPr>
            <w:tcW w:w="967"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速度/0.3</w:t>
            </w:r>
          </w:p>
        </w:tc>
        <w:tc>
          <w:tcPr>
            <w:tcW w:w="389"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快</w:t>
            </w:r>
          </w:p>
        </w:tc>
        <w:tc>
          <w:tcPr>
            <w:tcW w:w="51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较快</w:t>
            </w:r>
          </w:p>
        </w:tc>
        <w:tc>
          <w:tcPr>
            <w:tcW w:w="40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较慢</w:t>
            </w:r>
          </w:p>
        </w:tc>
        <w:tc>
          <w:tcPr>
            <w:tcW w:w="42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很慢</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continue"/>
            <w:tcBorders>
              <w:left w:val="single" w:color="auto" w:sz="4" w:space="0"/>
            </w:tcBorders>
            <w:shd w:val="clear" w:color="auto" w:fill="FFFFFF"/>
            <w:noWrap w:val="0"/>
            <w:textDirection w:val="tbRlV"/>
            <w:vAlign w:val="bottom"/>
          </w:tcPr>
          <w:p>
            <w:pPr>
              <w:pStyle w:val="28"/>
              <w:keepNext w:val="0"/>
              <w:keepLines w:val="0"/>
              <w:suppressLineNumbers w:val="0"/>
              <w:spacing w:beforeAutospacing="0" w:afterAutospacing="0"/>
              <w:ind w:left="0" w:right="0"/>
              <w:rPr>
                <w:rFonts w:hint="default"/>
              </w:rPr>
            </w:pPr>
          </w:p>
        </w:tc>
        <w:tc>
          <w:tcPr>
            <w:tcW w:w="967"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周期/0.3</w:t>
            </w:r>
          </w:p>
        </w:tc>
        <w:tc>
          <w:tcPr>
            <w:tcW w:w="389"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短</w:t>
            </w:r>
          </w:p>
        </w:tc>
        <w:tc>
          <w:tcPr>
            <w:tcW w:w="51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较短</w:t>
            </w:r>
          </w:p>
        </w:tc>
        <w:tc>
          <w:tcPr>
            <w:tcW w:w="40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较长</w:t>
            </w:r>
          </w:p>
        </w:tc>
        <w:tc>
          <w:tcPr>
            <w:tcW w:w="42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很长</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restart"/>
            <w:tcBorders>
              <w:top w:val="single" w:color="auto" w:sz="4" w:space="0"/>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变化指标</w:t>
            </w:r>
          </w:p>
          <w:p>
            <w:pPr>
              <w:pStyle w:val="28"/>
              <w:keepNext w:val="0"/>
              <w:keepLines w:val="0"/>
              <w:suppressLineNumbers w:val="0"/>
              <w:spacing w:beforeAutospacing="0" w:afterAutospacing="0"/>
              <w:ind w:left="0" w:right="0"/>
              <w:rPr>
                <w:rFonts w:hint="default"/>
              </w:rPr>
            </w:pPr>
            <w:r>
              <w:rPr>
                <w:rFonts w:hint="default"/>
                <w:lang w:eastAsia="en-US"/>
              </w:rPr>
              <w:t>0.2</w:t>
            </w:r>
          </w:p>
        </w:tc>
        <w:tc>
          <w:tcPr>
            <w:tcW w:w="967" w:type="pct"/>
            <w:vMerge w:val="restart"/>
            <w:tcBorders>
              <w:top w:val="single" w:color="auto" w:sz="4" w:space="0"/>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eastAsia"/>
              </w:rPr>
            </w:pPr>
            <w:r>
              <w:rPr>
                <w:rFonts w:hint="default"/>
              </w:rPr>
              <w:t>变化/</w:t>
            </w:r>
            <w:r>
              <w:rPr>
                <w:rFonts w:hint="eastAsia"/>
              </w:rPr>
              <w:t>1</w:t>
            </w:r>
          </w:p>
        </w:tc>
        <w:tc>
          <w:tcPr>
            <w:tcW w:w="96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趋势/0.5</w:t>
            </w:r>
          </w:p>
        </w:tc>
        <w:tc>
          <w:tcPr>
            <w:tcW w:w="389"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良性</w:t>
            </w:r>
          </w:p>
        </w:tc>
        <w:tc>
          <w:tcPr>
            <w:tcW w:w="51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较好</w:t>
            </w:r>
          </w:p>
        </w:tc>
        <w:tc>
          <w:tcPr>
            <w:tcW w:w="40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不良</w:t>
            </w:r>
          </w:p>
        </w:tc>
        <w:tc>
          <w:tcPr>
            <w:tcW w:w="422" w:type="pc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不良</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7"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幅度/0.3</w:t>
            </w:r>
          </w:p>
        </w:tc>
        <w:tc>
          <w:tcPr>
            <w:tcW w:w="389"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小</w:t>
            </w:r>
          </w:p>
        </w:tc>
        <w:tc>
          <w:tcPr>
            <w:tcW w:w="51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较小</w:t>
            </w:r>
          </w:p>
        </w:tc>
        <w:tc>
          <w:tcPr>
            <w:tcW w:w="40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较大</w:t>
            </w:r>
          </w:p>
        </w:tc>
        <w:tc>
          <w:tcPr>
            <w:tcW w:w="42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很大</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7" w:type="pct"/>
            <w:vMerge w:val="continue"/>
            <w:tcBorders>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速度/0.2</w:t>
            </w:r>
          </w:p>
        </w:tc>
        <w:tc>
          <w:tcPr>
            <w:tcW w:w="389"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慢</w:t>
            </w:r>
          </w:p>
        </w:tc>
        <w:tc>
          <w:tcPr>
            <w:tcW w:w="51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较慢</w:t>
            </w:r>
          </w:p>
        </w:tc>
        <w:tc>
          <w:tcPr>
            <w:tcW w:w="40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较快</w:t>
            </w:r>
          </w:p>
        </w:tc>
        <w:tc>
          <w:tcPr>
            <w:tcW w:w="42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很快</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restart"/>
            <w:tcBorders>
              <w:top w:val="single" w:color="auto" w:sz="4" w:space="0"/>
              <w:lef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r>
              <w:rPr>
                <w:rFonts w:hint="default"/>
              </w:rPr>
              <w:t xml:space="preserve">稳定性指标 </w:t>
            </w:r>
            <w:r>
              <w:rPr>
                <w:rFonts w:hint="default"/>
                <w:lang w:eastAsia="en-US"/>
              </w:rPr>
              <w:t>0.2</w:t>
            </w:r>
          </w:p>
        </w:tc>
        <w:tc>
          <w:tcPr>
            <w:tcW w:w="967" w:type="pct"/>
            <w:vMerge w:val="restart"/>
            <w:tcBorders>
              <w:top w:val="single" w:color="auto" w:sz="4" w:space="0"/>
              <w:left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eastAsia"/>
              </w:rPr>
            </w:pPr>
            <w:r>
              <w:rPr>
                <w:rFonts w:hint="default"/>
              </w:rPr>
              <w:t>稳定性/</w:t>
            </w:r>
            <w:r>
              <w:rPr>
                <w:rFonts w:hint="eastAsia"/>
              </w:rPr>
              <w:t>1</w:t>
            </w:r>
          </w:p>
        </w:tc>
        <w:tc>
          <w:tcPr>
            <w:tcW w:w="96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抵抗性/0.6</w:t>
            </w:r>
          </w:p>
        </w:tc>
        <w:tc>
          <w:tcPr>
            <w:tcW w:w="389"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强</w:t>
            </w:r>
          </w:p>
        </w:tc>
        <w:tc>
          <w:tcPr>
            <w:tcW w:w="51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较强</w:t>
            </w:r>
          </w:p>
        </w:tc>
        <w:tc>
          <w:tcPr>
            <w:tcW w:w="40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较弱</w:t>
            </w:r>
          </w:p>
        </w:tc>
        <w:tc>
          <w:tcPr>
            <w:tcW w:w="422" w:type="pct"/>
            <w:tcBorders>
              <w:top w:val="single" w:color="auto" w:sz="4" w:space="0"/>
              <w:left w:val="single" w:color="auto" w:sz="4" w:space="0"/>
            </w:tcBorders>
            <w:shd w:val="clear" w:color="auto" w:fill="FFFFFF"/>
            <w:noWrap w:val="0"/>
            <w:vAlign w:val="bottom"/>
          </w:tcPr>
          <w:p>
            <w:pPr>
              <w:pStyle w:val="28"/>
              <w:keepNext w:val="0"/>
              <w:keepLines w:val="0"/>
              <w:suppressLineNumbers w:val="0"/>
              <w:spacing w:beforeAutospacing="0" w:afterAutospacing="0"/>
              <w:ind w:left="0" w:right="0"/>
              <w:rPr>
                <w:rFonts w:hint="default"/>
              </w:rPr>
            </w:pPr>
            <w:r>
              <w:rPr>
                <w:rFonts w:hint="default"/>
              </w:rPr>
              <w:t>很弱</w:t>
            </w:r>
          </w:p>
        </w:tc>
        <w:tc>
          <w:tcPr>
            <w:tcW w:w="277" w:type="pct"/>
            <w:tcBorders>
              <w:top w:val="single" w:color="auto" w:sz="4" w:space="0"/>
              <w:left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r>
        <w:tblPrEx>
          <w:tblCellMar>
            <w:top w:w="0" w:type="dxa"/>
            <w:left w:w="10" w:type="dxa"/>
            <w:bottom w:w="0" w:type="dxa"/>
            <w:right w:w="10" w:type="dxa"/>
          </w:tblCellMar>
        </w:tblPrEx>
        <w:trPr>
          <w:trHeight w:val="23" w:hRule="atLeast"/>
          <w:jc w:val="center"/>
        </w:trPr>
        <w:tc>
          <w:tcPr>
            <w:tcW w:w="610" w:type="pct"/>
            <w:vMerge w:val="continue"/>
            <w:tcBorders>
              <w:left w:val="single" w:color="auto" w:sz="4" w:space="0"/>
              <w:bottom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c>
          <w:tcPr>
            <w:tcW w:w="967" w:type="pct"/>
            <w:vMerge w:val="continue"/>
            <w:tcBorders>
              <w:left w:val="single" w:color="auto" w:sz="4" w:space="0"/>
              <w:bottom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p>
        </w:tc>
        <w:tc>
          <w:tcPr>
            <w:tcW w:w="962" w:type="pct"/>
            <w:tcBorders>
              <w:top w:val="single" w:color="auto" w:sz="4" w:space="0"/>
              <w:left w:val="single" w:color="auto" w:sz="4" w:space="0"/>
              <w:bottom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eastAsia"/>
              </w:rPr>
              <w:t>恢复性/</w:t>
            </w:r>
            <w:r>
              <w:rPr>
                <w:rFonts w:hint="default"/>
                <w:lang w:eastAsia="en-US"/>
              </w:rPr>
              <w:t>0.4</w:t>
            </w:r>
          </w:p>
        </w:tc>
        <w:tc>
          <w:tcPr>
            <w:tcW w:w="389" w:type="pct"/>
            <w:tcBorders>
              <w:top w:val="single" w:color="auto" w:sz="4" w:space="0"/>
              <w:left w:val="single" w:color="auto" w:sz="4" w:space="0"/>
              <w:bottom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等级</w:t>
            </w:r>
          </w:p>
        </w:tc>
        <w:tc>
          <w:tcPr>
            <w:tcW w:w="454" w:type="pct"/>
            <w:tcBorders>
              <w:top w:val="single" w:color="auto" w:sz="4" w:space="0"/>
              <w:left w:val="single" w:color="auto" w:sz="4" w:space="0"/>
              <w:bottom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强</w:t>
            </w:r>
          </w:p>
        </w:tc>
        <w:tc>
          <w:tcPr>
            <w:tcW w:w="512" w:type="pct"/>
            <w:tcBorders>
              <w:top w:val="single" w:color="auto" w:sz="4" w:space="0"/>
              <w:left w:val="single" w:color="auto" w:sz="4" w:space="0"/>
              <w:bottom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较强</w:t>
            </w:r>
          </w:p>
        </w:tc>
        <w:tc>
          <w:tcPr>
            <w:tcW w:w="402" w:type="pct"/>
            <w:tcBorders>
              <w:top w:val="single" w:color="auto" w:sz="4" w:space="0"/>
              <w:left w:val="single" w:color="auto" w:sz="4" w:space="0"/>
              <w:bottom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较弱</w:t>
            </w:r>
          </w:p>
        </w:tc>
        <w:tc>
          <w:tcPr>
            <w:tcW w:w="422" w:type="pct"/>
            <w:tcBorders>
              <w:top w:val="single" w:color="auto" w:sz="4" w:space="0"/>
              <w:left w:val="single" w:color="auto" w:sz="4" w:space="0"/>
              <w:bottom w:val="single" w:color="auto" w:sz="4" w:space="0"/>
            </w:tcBorders>
            <w:shd w:val="clear" w:color="auto" w:fill="FFFFFF"/>
            <w:noWrap w:val="0"/>
            <w:vAlign w:val="center"/>
          </w:tcPr>
          <w:p>
            <w:pPr>
              <w:pStyle w:val="28"/>
              <w:keepNext w:val="0"/>
              <w:keepLines w:val="0"/>
              <w:suppressLineNumbers w:val="0"/>
              <w:spacing w:beforeAutospacing="0" w:afterAutospacing="0"/>
              <w:ind w:left="0" w:right="0"/>
              <w:rPr>
                <w:rFonts w:hint="default"/>
              </w:rPr>
            </w:pPr>
            <w:r>
              <w:rPr>
                <w:rFonts w:hint="default"/>
              </w:rPr>
              <w:t>很弱</w:t>
            </w:r>
          </w:p>
        </w:tc>
        <w:tc>
          <w:tcPr>
            <w:tcW w:w="277" w:type="pct"/>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28"/>
              <w:keepNext w:val="0"/>
              <w:keepLines w:val="0"/>
              <w:suppressLineNumbers w:val="0"/>
              <w:spacing w:beforeAutospacing="0" w:afterAutospacing="0"/>
              <w:ind w:left="0" w:right="0"/>
              <w:rPr>
                <w:rFonts w:hint="default"/>
              </w:rPr>
            </w:pPr>
          </w:p>
        </w:tc>
      </w:tr>
    </w:tbl>
    <w:p>
      <w:pPr>
        <w:pStyle w:val="6"/>
        <w:ind w:firstLine="480"/>
      </w:pPr>
      <w:r>
        <w:rPr>
          <w:rFonts w:hint="eastAsia"/>
        </w:rPr>
        <w:t>2、</w:t>
      </w:r>
      <w:r>
        <w:t>评价标准</w:t>
      </w:r>
    </w:p>
    <w:p>
      <w:pPr>
        <w:pStyle w:val="6"/>
        <w:ind w:firstLine="480"/>
      </w:pPr>
      <w:r>
        <w:t>规划区土地承载力综合评分值分为</w:t>
      </w:r>
      <w:r>
        <w:rPr>
          <w:rFonts w:hint="eastAsia"/>
        </w:rPr>
        <w:t>4</w:t>
      </w:r>
      <w:r>
        <w:t>个强度级，综合评分值在85分以上的为</w:t>
      </w:r>
      <w:r>
        <w:rPr>
          <w:rFonts w:hint="eastAsia"/>
        </w:rPr>
        <w:t>“</w:t>
      </w:r>
      <w:r>
        <w:t>很高</w:t>
      </w:r>
      <w:r>
        <w:rPr>
          <w:rFonts w:hint="eastAsia"/>
        </w:rPr>
        <w:t>”</w:t>
      </w:r>
      <w:r>
        <w:t>级，在70-85分间的为</w:t>
      </w:r>
      <w:r>
        <w:rPr>
          <w:rFonts w:hint="eastAsia"/>
        </w:rPr>
        <w:t>“</w:t>
      </w:r>
      <w:r>
        <w:t>较高</w:t>
      </w:r>
      <w:r>
        <w:rPr>
          <w:rFonts w:hint="eastAsia"/>
        </w:rPr>
        <w:t>”</w:t>
      </w:r>
      <w:r>
        <w:t>级，在40-70分间的为</w:t>
      </w:r>
      <w:r>
        <w:rPr>
          <w:rFonts w:hint="eastAsia"/>
        </w:rPr>
        <w:t>“</w:t>
      </w:r>
      <w:r>
        <w:t>较低</w:t>
      </w:r>
      <w:r>
        <w:rPr>
          <w:rFonts w:hint="eastAsia"/>
        </w:rPr>
        <w:t>”</w:t>
      </w:r>
      <w:r>
        <w:t>级，低于</w:t>
      </w:r>
      <w:r>
        <w:rPr>
          <w:rFonts w:hint="eastAsia"/>
        </w:rPr>
        <w:t>40</w:t>
      </w:r>
      <w:r>
        <w:t>分的区域为</w:t>
      </w:r>
      <w:r>
        <w:rPr>
          <w:rFonts w:hint="eastAsia"/>
        </w:rPr>
        <w:t>“</w:t>
      </w:r>
      <w:r>
        <w:t>很低</w:t>
      </w:r>
      <w:r>
        <w:rPr>
          <w:rFonts w:hint="eastAsia"/>
        </w:rPr>
        <w:t>”</w:t>
      </w:r>
      <w:r>
        <w:t>级。综合评价标准见表</w:t>
      </w:r>
      <w:r>
        <w:rPr>
          <w:rFonts w:hint="eastAsia"/>
        </w:rPr>
        <w:t>5.3-10</w:t>
      </w:r>
      <w:r>
        <w:t xml:space="preserve">。 </w:t>
      </w:r>
    </w:p>
    <w:p>
      <w:pPr>
        <w:pStyle w:val="27"/>
      </w:pPr>
      <w:r>
        <w:rPr>
          <w:rFonts w:hint="eastAsia"/>
        </w:rPr>
        <w:t xml:space="preserve">表5.3-10  </w:t>
      </w:r>
      <w:r>
        <w:t>土地承载力景观生态学综合评价标准</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1705"/>
        <w:gridCol w:w="1706"/>
        <w:gridCol w:w="170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noWrap w:val="0"/>
            <w:vAlign w:val="top"/>
          </w:tcPr>
          <w:p>
            <w:pPr>
              <w:pStyle w:val="28"/>
              <w:keepNext w:val="0"/>
              <w:keepLines w:val="0"/>
              <w:suppressLineNumbers w:val="0"/>
              <w:spacing w:beforeAutospacing="0" w:afterAutospacing="0" w:line="276" w:lineRule="auto"/>
              <w:ind w:left="0" w:right="0"/>
              <w:rPr>
                <w:rFonts w:hint="default"/>
              </w:rPr>
            </w:pPr>
            <w:r>
              <w:rPr>
                <w:rFonts w:hint="default"/>
              </w:rPr>
              <w:t>综合评价得分</w:t>
            </w:r>
          </w:p>
        </w:tc>
        <w:tc>
          <w:tcPr>
            <w:tcW w:w="1705" w:type="dxa"/>
            <w:noWrap w:val="0"/>
            <w:vAlign w:val="top"/>
          </w:tcPr>
          <w:p>
            <w:pPr>
              <w:pStyle w:val="28"/>
              <w:keepNext w:val="0"/>
              <w:keepLines w:val="0"/>
              <w:suppressLineNumbers w:val="0"/>
              <w:spacing w:beforeAutospacing="0" w:afterAutospacing="0" w:line="276" w:lineRule="auto"/>
              <w:ind w:left="0" w:right="0"/>
              <w:rPr>
                <w:rFonts w:hint="default"/>
              </w:rPr>
            </w:pPr>
            <w:r>
              <w:rPr>
                <w:rFonts w:hint="default"/>
              </w:rPr>
              <w:t>＞85</w:t>
            </w:r>
          </w:p>
        </w:tc>
        <w:tc>
          <w:tcPr>
            <w:tcW w:w="1706" w:type="dxa"/>
            <w:noWrap w:val="0"/>
            <w:vAlign w:val="top"/>
          </w:tcPr>
          <w:p>
            <w:pPr>
              <w:pStyle w:val="28"/>
              <w:keepNext w:val="0"/>
              <w:keepLines w:val="0"/>
              <w:suppressLineNumbers w:val="0"/>
              <w:spacing w:beforeAutospacing="0" w:afterAutospacing="0" w:line="276" w:lineRule="auto"/>
              <w:ind w:left="0" w:right="0"/>
              <w:rPr>
                <w:rFonts w:hint="default"/>
              </w:rPr>
            </w:pPr>
            <w:r>
              <w:rPr>
                <w:rFonts w:hint="default"/>
              </w:rPr>
              <w:t>70~85</w:t>
            </w:r>
          </w:p>
        </w:tc>
        <w:tc>
          <w:tcPr>
            <w:tcW w:w="1706" w:type="dxa"/>
            <w:noWrap w:val="0"/>
            <w:vAlign w:val="top"/>
          </w:tcPr>
          <w:p>
            <w:pPr>
              <w:pStyle w:val="28"/>
              <w:keepNext w:val="0"/>
              <w:keepLines w:val="0"/>
              <w:suppressLineNumbers w:val="0"/>
              <w:spacing w:beforeAutospacing="0" w:afterAutospacing="0" w:line="276" w:lineRule="auto"/>
              <w:ind w:left="0" w:right="0"/>
              <w:rPr>
                <w:rFonts w:hint="default"/>
              </w:rPr>
            </w:pPr>
            <w:r>
              <w:rPr>
                <w:rFonts w:hint="default"/>
              </w:rPr>
              <w:t>40~69</w:t>
            </w:r>
          </w:p>
        </w:tc>
        <w:tc>
          <w:tcPr>
            <w:tcW w:w="1706" w:type="dxa"/>
            <w:noWrap w:val="0"/>
            <w:vAlign w:val="top"/>
          </w:tcPr>
          <w:p>
            <w:pPr>
              <w:pStyle w:val="28"/>
              <w:keepNext w:val="0"/>
              <w:keepLines w:val="0"/>
              <w:suppressLineNumbers w:val="0"/>
              <w:spacing w:beforeAutospacing="0" w:afterAutospacing="0" w:line="276" w:lineRule="auto"/>
              <w:ind w:left="0" w:right="0"/>
              <w:rPr>
                <w:rFonts w:hint="default"/>
              </w:rPr>
            </w:pPr>
            <w:r>
              <w:rPr>
                <w:rFonts w:hint="default"/>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noWrap w:val="0"/>
            <w:vAlign w:val="top"/>
          </w:tcPr>
          <w:p>
            <w:pPr>
              <w:pStyle w:val="28"/>
              <w:keepNext w:val="0"/>
              <w:keepLines w:val="0"/>
              <w:suppressLineNumbers w:val="0"/>
              <w:spacing w:beforeAutospacing="0" w:afterAutospacing="0" w:line="276" w:lineRule="auto"/>
              <w:ind w:left="0" w:right="0"/>
              <w:rPr>
                <w:rFonts w:hint="default"/>
              </w:rPr>
            </w:pPr>
            <w:r>
              <w:rPr>
                <w:rFonts w:hint="default"/>
              </w:rPr>
              <w:t>土地承载力</w:t>
            </w:r>
          </w:p>
        </w:tc>
        <w:tc>
          <w:tcPr>
            <w:tcW w:w="1705" w:type="dxa"/>
            <w:noWrap w:val="0"/>
            <w:vAlign w:val="top"/>
          </w:tcPr>
          <w:p>
            <w:pPr>
              <w:pStyle w:val="28"/>
              <w:keepNext w:val="0"/>
              <w:keepLines w:val="0"/>
              <w:suppressLineNumbers w:val="0"/>
              <w:spacing w:beforeAutospacing="0" w:afterAutospacing="0" w:line="276" w:lineRule="auto"/>
              <w:ind w:left="0" w:right="0"/>
              <w:rPr>
                <w:rFonts w:hint="default"/>
              </w:rPr>
            </w:pPr>
            <w:r>
              <w:rPr>
                <w:rFonts w:hint="default"/>
              </w:rPr>
              <w:t>很高</w:t>
            </w:r>
          </w:p>
        </w:tc>
        <w:tc>
          <w:tcPr>
            <w:tcW w:w="1706" w:type="dxa"/>
            <w:noWrap w:val="0"/>
            <w:vAlign w:val="top"/>
          </w:tcPr>
          <w:p>
            <w:pPr>
              <w:pStyle w:val="28"/>
              <w:keepNext w:val="0"/>
              <w:keepLines w:val="0"/>
              <w:suppressLineNumbers w:val="0"/>
              <w:spacing w:beforeAutospacing="0" w:afterAutospacing="0" w:line="276" w:lineRule="auto"/>
              <w:ind w:left="0" w:right="0"/>
              <w:rPr>
                <w:rFonts w:hint="default"/>
              </w:rPr>
            </w:pPr>
            <w:r>
              <w:rPr>
                <w:rFonts w:hint="default"/>
              </w:rPr>
              <w:t>较高</w:t>
            </w:r>
          </w:p>
        </w:tc>
        <w:tc>
          <w:tcPr>
            <w:tcW w:w="1706" w:type="dxa"/>
            <w:noWrap w:val="0"/>
            <w:vAlign w:val="top"/>
          </w:tcPr>
          <w:p>
            <w:pPr>
              <w:pStyle w:val="28"/>
              <w:keepNext w:val="0"/>
              <w:keepLines w:val="0"/>
              <w:suppressLineNumbers w:val="0"/>
              <w:spacing w:beforeAutospacing="0" w:afterAutospacing="0" w:line="276" w:lineRule="auto"/>
              <w:ind w:left="0" w:right="0"/>
              <w:rPr>
                <w:rFonts w:hint="default"/>
              </w:rPr>
            </w:pPr>
            <w:r>
              <w:rPr>
                <w:rFonts w:hint="default"/>
              </w:rPr>
              <w:t>较低</w:t>
            </w:r>
          </w:p>
        </w:tc>
        <w:tc>
          <w:tcPr>
            <w:tcW w:w="1706" w:type="dxa"/>
            <w:noWrap w:val="0"/>
            <w:vAlign w:val="top"/>
          </w:tcPr>
          <w:p>
            <w:pPr>
              <w:pStyle w:val="28"/>
              <w:keepNext w:val="0"/>
              <w:keepLines w:val="0"/>
              <w:suppressLineNumbers w:val="0"/>
              <w:spacing w:beforeAutospacing="0" w:afterAutospacing="0" w:line="276" w:lineRule="auto"/>
              <w:ind w:left="0" w:right="0"/>
              <w:rPr>
                <w:rFonts w:hint="default"/>
              </w:rPr>
            </w:pPr>
            <w:r>
              <w:rPr>
                <w:rFonts w:hint="default"/>
              </w:rPr>
              <w:t>很低</w:t>
            </w:r>
          </w:p>
        </w:tc>
      </w:tr>
    </w:tbl>
    <w:p>
      <w:pPr>
        <w:pStyle w:val="6"/>
        <w:ind w:firstLine="480"/>
      </w:pPr>
      <w:r>
        <w:t>对于土地承载力而言，</w:t>
      </w:r>
      <w:r>
        <w:rPr>
          <w:rFonts w:hint="eastAsia"/>
        </w:rPr>
        <w:t>“</w:t>
      </w:r>
      <w:r>
        <w:t>很高</w:t>
      </w:r>
      <w:r>
        <w:rPr>
          <w:rFonts w:hint="eastAsia"/>
        </w:rPr>
        <w:t>”</w:t>
      </w:r>
      <w:r>
        <w:t>级表示土地能承载高强度开发，</w:t>
      </w:r>
      <w:r>
        <w:rPr>
          <w:rFonts w:hint="eastAsia"/>
        </w:rPr>
        <w:t>“</w:t>
      </w:r>
      <w:r>
        <w:t>较高</w:t>
      </w:r>
      <w:r>
        <w:rPr>
          <w:rFonts w:hint="eastAsia"/>
        </w:rPr>
        <w:t>”</w:t>
      </w:r>
      <w:r>
        <w:t>级表示土地能承载一般强度开发，</w:t>
      </w:r>
      <w:r>
        <w:rPr>
          <w:rFonts w:hint="eastAsia"/>
        </w:rPr>
        <w:t>“</w:t>
      </w:r>
      <w:r>
        <w:t>较低</w:t>
      </w:r>
      <w:r>
        <w:rPr>
          <w:rFonts w:hint="eastAsia"/>
        </w:rPr>
        <w:t>”</w:t>
      </w:r>
      <w:r>
        <w:t>级表示土地只能承载低强度开发，</w:t>
      </w:r>
      <w:r>
        <w:rPr>
          <w:rFonts w:hint="eastAsia"/>
        </w:rPr>
        <w:t>“</w:t>
      </w:r>
      <w:r>
        <w:t>很低</w:t>
      </w:r>
      <w:r>
        <w:rPr>
          <w:rFonts w:hint="eastAsia"/>
        </w:rPr>
        <w:t>”</w:t>
      </w:r>
      <w:r>
        <w:t>级表示土地不适于开发。</w:t>
      </w:r>
    </w:p>
    <w:p>
      <w:pPr>
        <w:pStyle w:val="6"/>
        <w:ind w:firstLine="480"/>
      </w:pPr>
      <w:r>
        <w:t>根据规划区景观生态结构、功能、变化和稳定性特点及规划方案，进行了评分，结果见表</w:t>
      </w:r>
      <w:r>
        <w:rPr>
          <w:rFonts w:hint="eastAsia"/>
        </w:rPr>
        <w:t>5.3-1</w:t>
      </w:r>
      <w:r>
        <w:rPr>
          <w:rFonts w:hint="eastAsia"/>
          <w:lang w:val="en-US" w:eastAsia="zh-CN"/>
        </w:rPr>
        <w:t>0</w:t>
      </w:r>
      <w:r>
        <w:t>。</w:t>
      </w:r>
    </w:p>
    <w:p>
      <w:pPr>
        <w:pStyle w:val="27"/>
      </w:pPr>
      <w:r>
        <w:t>表</w:t>
      </w:r>
      <w:r>
        <w:rPr>
          <w:rFonts w:hint="eastAsia"/>
        </w:rPr>
        <w:t>5.3-1</w:t>
      </w:r>
      <w:r>
        <w:rPr>
          <w:rFonts w:hint="eastAsia"/>
          <w:lang w:val="en-US" w:eastAsia="zh-CN"/>
        </w:rPr>
        <w:t>0</w:t>
      </w:r>
      <w:r>
        <w:rPr>
          <w:rFonts w:hint="eastAsia"/>
        </w:rPr>
        <w:t xml:space="preserve"> </w:t>
      </w:r>
      <w:r>
        <w:t xml:space="preserve"> 景观生态学综合评价标准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1300"/>
        <w:gridCol w:w="1276"/>
        <w:gridCol w:w="1078"/>
        <w:gridCol w:w="1218"/>
        <w:gridCol w:w="121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4" w:type="dxa"/>
            <w:gridSpan w:val="3"/>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指标</w:t>
            </w:r>
          </w:p>
        </w:tc>
        <w:tc>
          <w:tcPr>
            <w:tcW w:w="4734" w:type="dxa"/>
            <w:gridSpan w:val="4"/>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一级</w:t>
            </w:r>
          </w:p>
        </w:tc>
        <w:tc>
          <w:tcPr>
            <w:tcW w:w="1300"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二级</w:t>
            </w: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三级</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单位</w:t>
            </w:r>
          </w:p>
        </w:tc>
        <w:tc>
          <w:tcPr>
            <w:tcW w:w="121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类别</w:t>
            </w:r>
          </w:p>
        </w:tc>
        <w:tc>
          <w:tcPr>
            <w:tcW w:w="12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得分</w:t>
            </w:r>
          </w:p>
        </w:tc>
        <w:tc>
          <w:tcPr>
            <w:tcW w:w="12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加权小计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结构指标</w:t>
            </w:r>
          </w:p>
        </w:tc>
        <w:tc>
          <w:tcPr>
            <w:tcW w:w="130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景观单位</w:t>
            </w: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类型</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A</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85</w:t>
            </w:r>
          </w:p>
        </w:tc>
        <w:tc>
          <w:tcPr>
            <w:tcW w:w="1219"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300"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密度</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B</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80</w:t>
            </w:r>
          </w:p>
        </w:tc>
        <w:tc>
          <w:tcPr>
            <w:tcW w:w="12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30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空间镶嵌体</w:t>
            </w: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景观异质性</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C</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50</w:t>
            </w:r>
          </w:p>
        </w:tc>
        <w:tc>
          <w:tcPr>
            <w:tcW w:w="12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300"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景观多样性</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A</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80</w:t>
            </w:r>
          </w:p>
        </w:tc>
        <w:tc>
          <w:tcPr>
            <w:tcW w:w="12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300"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连通性</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A</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80</w:t>
            </w:r>
          </w:p>
        </w:tc>
        <w:tc>
          <w:tcPr>
            <w:tcW w:w="12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功能指标</w:t>
            </w:r>
          </w:p>
        </w:tc>
        <w:tc>
          <w:tcPr>
            <w:tcW w:w="130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功能流</w:t>
            </w: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流量</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B</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75</w:t>
            </w:r>
          </w:p>
        </w:tc>
        <w:tc>
          <w:tcPr>
            <w:tcW w:w="1219"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300"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速度</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B</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75</w:t>
            </w:r>
          </w:p>
        </w:tc>
        <w:tc>
          <w:tcPr>
            <w:tcW w:w="12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30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干扰</w:t>
            </w: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强度</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A</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80</w:t>
            </w:r>
          </w:p>
        </w:tc>
        <w:tc>
          <w:tcPr>
            <w:tcW w:w="12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300"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范围</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B</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75</w:t>
            </w:r>
          </w:p>
        </w:tc>
        <w:tc>
          <w:tcPr>
            <w:tcW w:w="12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300"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频度</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B</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75</w:t>
            </w:r>
          </w:p>
        </w:tc>
        <w:tc>
          <w:tcPr>
            <w:tcW w:w="12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30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循环</w:t>
            </w: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流量</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A</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85</w:t>
            </w:r>
          </w:p>
        </w:tc>
        <w:tc>
          <w:tcPr>
            <w:tcW w:w="12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300"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速度</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C</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50</w:t>
            </w:r>
          </w:p>
        </w:tc>
        <w:tc>
          <w:tcPr>
            <w:tcW w:w="12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300"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周期</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A</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100</w:t>
            </w:r>
          </w:p>
        </w:tc>
        <w:tc>
          <w:tcPr>
            <w:tcW w:w="12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变化指标</w:t>
            </w:r>
          </w:p>
        </w:tc>
        <w:tc>
          <w:tcPr>
            <w:tcW w:w="130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变化</w:t>
            </w: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趋势</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A</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100</w:t>
            </w:r>
          </w:p>
        </w:tc>
        <w:tc>
          <w:tcPr>
            <w:tcW w:w="1219"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300"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幅度</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A</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100</w:t>
            </w:r>
          </w:p>
        </w:tc>
        <w:tc>
          <w:tcPr>
            <w:tcW w:w="12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300"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速度</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A</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100</w:t>
            </w:r>
          </w:p>
        </w:tc>
        <w:tc>
          <w:tcPr>
            <w:tcW w:w="12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稳定性指标</w:t>
            </w:r>
          </w:p>
        </w:tc>
        <w:tc>
          <w:tcPr>
            <w:tcW w:w="1300"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稳定性</w:t>
            </w: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抵抗性</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B</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80</w:t>
            </w:r>
          </w:p>
        </w:tc>
        <w:tc>
          <w:tcPr>
            <w:tcW w:w="1219" w:type="dxa"/>
            <w:vMerge w:val="restart"/>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300"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c>
          <w:tcPr>
            <w:tcW w:w="1276"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恢复性</w:t>
            </w:r>
          </w:p>
        </w:tc>
        <w:tc>
          <w:tcPr>
            <w:tcW w:w="1078"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等级</w:t>
            </w:r>
          </w:p>
        </w:tc>
        <w:tc>
          <w:tcPr>
            <w:tcW w:w="1218"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C</w:t>
            </w:r>
          </w:p>
        </w:tc>
        <w:tc>
          <w:tcPr>
            <w:tcW w:w="121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rPr>
            </w:pPr>
            <w:r>
              <w:rPr>
                <w:rFonts w:hint="default"/>
                <w:color w:val="000000"/>
                <w:kern w:val="0"/>
                <w:sz w:val="21"/>
                <w:szCs w:val="21"/>
                <w:lang w:bidi="ar"/>
              </w:rPr>
              <w:t>50</w:t>
            </w:r>
          </w:p>
        </w:tc>
        <w:tc>
          <w:tcPr>
            <w:tcW w:w="1219" w:type="dxa"/>
            <w:vMerge w:val="continue"/>
            <w:noWrap w:val="0"/>
            <w:vAlign w:val="center"/>
          </w:tcPr>
          <w:p>
            <w:pPr>
              <w:pStyle w:val="28"/>
              <w:keepNext w:val="0"/>
              <w:keepLines w:val="0"/>
              <w:suppressLineNumbers w:val="0"/>
              <w:spacing w:beforeAutospacing="0" w:afterAutospacing="0" w:line="276"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9" w:type="dxa"/>
            <w:gridSpan w:val="6"/>
            <w:noWrap w:val="0"/>
            <w:vAlign w:val="center"/>
          </w:tcPr>
          <w:p>
            <w:pPr>
              <w:pStyle w:val="28"/>
              <w:keepNext w:val="0"/>
              <w:keepLines w:val="0"/>
              <w:suppressLineNumbers w:val="0"/>
              <w:spacing w:beforeAutospacing="0" w:afterAutospacing="0" w:line="276" w:lineRule="auto"/>
              <w:ind w:left="0" w:right="0"/>
              <w:rPr>
                <w:rFonts w:hint="default"/>
              </w:rPr>
            </w:pPr>
            <w:r>
              <w:rPr>
                <w:rFonts w:hint="default"/>
              </w:rPr>
              <w:t>加权合计</w:t>
            </w:r>
          </w:p>
        </w:tc>
        <w:tc>
          <w:tcPr>
            <w:tcW w:w="1219" w:type="dxa"/>
            <w:noWrap w:val="0"/>
            <w:vAlign w:val="center"/>
          </w:tcPr>
          <w:p>
            <w:pPr>
              <w:pStyle w:val="28"/>
              <w:keepNext w:val="0"/>
              <w:keepLines w:val="0"/>
              <w:suppressLineNumbers w:val="0"/>
              <w:spacing w:beforeAutospacing="0" w:afterAutospacing="0" w:line="276" w:lineRule="auto"/>
              <w:ind w:left="0" w:right="0"/>
              <w:rPr>
                <w:rFonts w:hint="default"/>
              </w:rPr>
            </w:pPr>
            <w:r>
              <w:rPr>
                <w:rFonts w:hint="eastAsia"/>
              </w:rPr>
              <w:t>79.74</w:t>
            </w:r>
          </w:p>
        </w:tc>
      </w:tr>
    </w:tbl>
    <w:p>
      <w:pPr>
        <w:pStyle w:val="6"/>
        <w:ind w:firstLine="480"/>
      </w:pPr>
      <w:r>
        <w:t>据评价结果，景观生态学综合得分</w:t>
      </w:r>
      <w:r>
        <w:rPr>
          <w:rFonts w:hint="eastAsia"/>
        </w:rPr>
        <w:t>79.74</w:t>
      </w:r>
      <w:r>
        <w:t>，可见规划区内土地能承载一般强度开发。</w:t>
      </w:r>
    </w:p>
    <w:p>
      <w:pPr>
        <w:pStyle w:val="6"/>
        <w:ind w:firstLine="480"/>
        <w:rPr>
          <w:rFonts w:hint="eastAsia"/>
        </w:rPr>
      </w:pPr>
      <w:r>
        <w:rPr>
          <w:rFonts w:hint="eastAsia"/>
          <w:lang w:val="en-US" w:eastAsia="zh-CN"/>
        </w:rPr>
        <w:t>3、</w:t>
      </w:r>
      <w:r>
        <w:rPr>
          <w:rFonts w:hint="eastAsia"/>
        </w:rPr>
        <w:t>土地资源承载力综合分析</w:t>
      </w:r>
    </w:p>
    <w:p>
      <w:pPr>
        <w:pStyle w:val="6"/>
        <w:ind w:firstLine="480"/>
        <w:rPr>
          <w:rFonts w:hint="eastAsia"/>
        </w:rPr>
      </w:pPr>
      <w:r>
        <w:rPr>
          <w:rFonts w:hint="eastAsia"/>
          <w:color w:val="auto"/>
          <w:lang w:val="en-US" w:eastAsia="zh-CN"/>
        </w:rPr>
        <w:t>林芝市全域旅游发展规划</w:t>
      </w:r>
      <w:r>
        <w:rPr>
          <w:rFonts w:hint="eastAsia"/>
          <w:color w:val="auto"/>
          <w:highlight w:val="none"/>
        </w:rPr>
        <w:t>立足</w:t>
      </w:r>
      <w:r>
        <w:rPr>
          <w:rFonts w:hint="eastAsia"/>
          <w:color w:val="auto"/>
          <w:highlight w:val="none"/>
          <w:lang w:val="en-US" w:eastAsia="zh-CN"/>
        </w:rPr>
        <w:t>林芝市</w:t>
      </w:r>
      <w:r>
        <w:rPr>
          <w:rFonts w:hint="eastAsia"/>
          <w:color w:val="auto"/>
          <w:highlight w:val="none"/>
        </w:rPr>
        <w:t>自身资源、紧跟市场需求、围绕旅游体验、创新旅游产品，快速构建核心吸引力。从景区到产业，逐步培育全域旅游核心竞争力推动泛景区化旅游目的地建设，发展15个泛景区化旅游目的地，形成“一主轴三环线”旅游发展带，引导旅游产业集聚。从配套到服务，形成全域旅游体验链</w:t>
      </w:r>
      <w:r>
        <w:rPr>
          <w:rFonts w:hint="eastAsia"/>
          <w:color w:val="auto"/>
          <w:highlight w:val="none"/>
          <w:lang w:eastAsia="zh-CN"/>
        </w:rPr>
        <w:t>，</w:t>
      </w:r>
      <w:r>
        <w:rPr>
          <w:rFonts w:hint="eastAsia"/>
          <w:color w:val="auto"/>
          <w:highlight w:val="none"/>
        </w:rPr>
        <w:t>加快公共服务体系建设，优化服务供给，形成优质旅游体验链。从旅游业到城镇化，实现城旅共荣</w:t>
      </w:r>
      <w:r>
        <w:rPr>
          <w:rFonts w:hint="eastAsia"/>
          <w:color w:val="auto"/>
          <w:highlight w:val="none"/>
          <w:lang w:eastAsia="zh-CN"/>
        </w:rPr>
        <w:t>，推动旅游与城市一体化发展。</w:t>
      </w:r>
      <w:r>
        <w:rPr>
          <w:rFonts w:hint="eastAsia"/>
        </w:rPr>
        <w:t>规划主要对开发潜力较大的景区进行建设，对已建成的大景区主要进行周边配套设施以及景区内基础公共设施的建设，新增占地量较少。由此可见，旅游开发与旅游活动对环境影响较小，旅游开发与环境保护可以协调发展。根据土地资源承载力的景观生态学评价结果，规划区内土地资源能承载一般强度的开发活动。规划实施将促使区域环境质量向好的方向发展，有利于改善林芝市现有旅游业环境现状。</w:t>
      </w:r>
    </w:p>
    <w:p>
      <w:pPr>
        <w:pStyle w:val="6"/>
        <w:ind w:firstLine="480"/>
        <w:rPr>
          <w:rFonts w:hint="eastAsia"/>
        </w:rPr>
      </w:pPr>
      <w:r>
        <w:rPr>
          <w:rFonts w:hint="eastAsia"/>
        </w:rPr>
        <w:t>综上所述，林芝市土地资源承载能力较强。</w:t>
      </w:r>
    </w:p>
    <w:bookmarkEnd w:id="133"/>
    <w:p>
      <w:pPr>
        <w:pStyle w:val="4"/>
        <w:bidi w:val="0"/>
        <w:rPr>
          <w:color w:val="auto"/>
          <w:highlight w:val="none"/>
        </w:rPr>
      </w:pPr>
      <w:bookmarkStart w:id="178" w:name="_Toc93156030"/>
      <w:bookmarkStart w:id="179" w:name="_Toc29724"/>
      <w:r>
        <w:rPr>
          <w:rFonts w:hint="eastAsia"/>
          <w:color w:val="auto"/>
          <w:highlight w:val="none"/>
        </w:rPr>
        <w:t>5.</w:t>
      </w:r>
      <w:r>
        <w:rPr>
          <w:rFonts w:hint="eastAsia"/>
          <w:color w:val="auto"/>
          <w:highlight w:val="none"/>
          <w:lang w:val="en-US" w:eastAsia="zh-CN"/>
        </w:rPr>
        <w:t>4</w:t>
      </w:r>
      <w:r>
        <w:rPr>
          <w:rFonts w:hint="eastAsia"/>
          <w:color w:val="auto"/>
          <w:highlight w:val="none"/>
        </w:rPr>
        <w:t>碳排放估算</w:t>
      </w:r>
      <w:bookmarkEnd w:id="178"/>
      <w:bookmarkEnd w:id="179"/>
    </w:p>
    <w:p>
      <w:pPr>
        <w:pStyle w:val="5"/>
        <w:bidi w:val="0"/>
        <w:rPr>
          <w:color w:val="auto"/>
          <w:highlight w:val="none"/>
        </w:rPr>
      </w:pPr>
      <w:bookmarkStart w:id="180" w:name="_Toc93156031"/>
      <w:bookmarkStart w:id="181" w:name="_Toc3264"/>
      <w:r>
        <w:rPr>
          <w:rFonts w:hint="eastAsia"/>
          <w:color w:val="auto"/>
          <w:highlight w:val="none"/>
        </w:rPr>
        <w:t>5.</w:t>
      </w:r>
      <w:r>
        <w:rPr>
          <w:rFonts w:hint="eastAsia"/>
          <w:color w:val="auto"/>
          <w:highlight w:val="none"/>
          <w:lang w:val="en-US" w:eastAsia="zh-CN"/>
        </w:rPr>
        <w:t>4</w:t>
      </w:r>
      <w:r>
        <w:rPr>
          <w:rFonts w:hint="eastAsia"/>
          <w:color w:val="auto"/>
          <w:highlight w:val="none"/>
        </w:rPr>
        <w:t>.1旅游业碳排放</w:t>
      </w:r>
      <w:bookmarkEnd w:id="180"/>
      <w:bookmarkEnd w:id="181"/>
    </w:p>
    <w:p>
      <w:pPr>
        <w:pStyle w:val="6"/>
        <w:bidi w:val="0"/>
        <w:rPr>
          <w:color w:val="auto"/>
          <w:highlight w:val="none"/>
        </w:rPr>
      </w:pPr>
      <w:r>
        <w:rPr>
          <w:color w:val="auto"/>
          <w:highlight w:val="none"/>
        </w:rPr>
        <w:t>国家主席习近平正式宣布中国将力争2030年前实现碳达峰、2060年前实现碳中和。这是中国基于推动构建人类命运共同体的责任担当和实现可持续发展的内在要求作出的重大战略决策。习近平总书记十分重视我国的碳排放工作，特别是自2020年9月以来，习近平总书记在短短的几个月内就在多次重要会议中发表了关于中国碳达峰和碳中和的重要讲话。中国将碳达峰、碳中和纳入生态文明建设整体布局，全面推行绿色低碳循环经济发展。</w:t>
      </w:r>
    </w:p>
    <w:p>
      <w:pPr>
        <w:pStyle w:val="6"/>
        <w:bidi w:val="0"/>
        <w:rPr>
          <w:color w:val="auto"/>
          <w:highlight w:val="none"/>
        </w:rPr>
      </w:pPr>
      <w:r>
        <w:rPr>
          <w:color w:val="auto"/>
          <w:highlight w:val="none"/>
        </w:rPr>
        <w:t>实现碳达峰和碳中和，是我国实现可持续发展、高质量发展的内在要求，也是推动构建人类命运共同体的必然选择。旅游业应在我国实现碳达峰和碳中和目标中做出积极响应，提出行业的碳达峰和碳中和目标与建设方案，积极推动改变旅游消费方式，改善旅游产品结构，走一条精致化、高质量、生态型旅游发展之路，在节能减排、实现碳达峰和碳中和目标过程中做出行业贡献，将碳达峰和碳中和作为旅游业高质量发展的历史任务和时代担当。</w:t>
      </w:r>
    </w:p>
    <w:p>
      <w:pPr>
        <w:pStyle w:val="6"/>
        <w:bidi w:val="0"/>
        <w:rPr>
          <w:color w:val="auto"/>
          <w:highlight w:val="none"/>
        </w:rPr>
      </w:pPr>
      <w:r>
        <w:rPr>
          <w:rFonts w:hint="eastAsia"/>
          <w:color w:val="auto"/>
          <w:highlight w:val="none"/>
        </w:rPr>
        <w:t>旅游业被称为“无烟工业”，同时也是林芝市的支柱产业，在推动经济发展、创造美好生活上起到了积极作用。</w:t>
      </w:r>
      <w:r>
        <w:rPr>
          <w:color w:val="auto"/>
          <w:highlight w:val="none"/>
        </w:rPr>
        <w:t>目前，全国都在践行绿色低碳发展的目标，旅游业也要倡导低碳和可持续旅游方式。面对中国的碳达峰要求，旅游业必须从目前数量型的发展向高质量发展方向转变。旅游业也应开展节能减排，促进旅游业走生态优先、绿色发展的高质量发展之路。对“十四五”期间旅游行业碳排放的路径进行分析、估算排放量，为进一步的节能减排，优化旅游行业能源结构提供思路。</w:t>
      </w:r>
    </w:p>
    <w:p>
      <w:pPr>
        <w:pStyle w:val="5"/>
        <w:bidi w:val="0"/>
        <w:rPr>
          <w:color w:val="auto"/>
          <w:highlight w:val="none"/>
        </w:rPr>
      </w:pPr>
      <w:bookmarkStart w:id="182" w:name="_Toc14769"/>
      <w:bookmarkStart w:id="183" w:name="_Toc30149"/>
      <w:r>
        <w:rPr>
          <w:rFonts w:hint="eastAsia"/>
          <w:color w:val="auto"/>
          <w:highlight w:val="none"/>
        </w:rPr>
        <w:t>5.</w:t>
      </w:r>
      <w:r>
        <w:rPr>
          <w:rFonts w:hint="eastAsia"/>
          <w:color w:val="auto"/>
          <w:highlight w:val="none"/>
          <w:lang w:val="en-US" w:eastAsia="zh-CN"/>
        </w:rPr>
        <w:t>4</w:t>
      </w:r>
      <w:r>
        <w:rPr>
          <w:rFonts w:hint="eastAsia"/>
          <w:color w:val="auto"/>
          <w:highlight w:val="none"/>
        </w:rPr>
        <w:t>.2碳排放估算</w:t>
      </w:r>
      <w:bookmarkEnd w:id="182"/>
      <w:bookmarkEnd w:id="183"/>
    </w:p>
    <w:p>
      <w:pPr>
        <w:pStyle w:val="6"/>
        <w:bidi w:val="0"/>
        <w:rPr>
          <w:b/>
          <w:bCs/>
          <w:color w:val="auto"/>
          <w:highlight w:val="none"/>
        </w:rPr>
      </w:pPr>
      <w:r>
        <w:rPr>
          <w:rFonts w:hint="eastAsia"/>
          <w:b/>
          <w:bCs/>
          <w:color w:val="auto"/>
          <w:highlight w:val="none"/>
          <w:lang w:val="en-US" w:eastAsia="zh-CN"/>
        </w:rPr>
        <w:t>1、</w:t>
      </w:r>
      <w:r>
        <w:rPr>
          <w:rFonts w:hint="eastAsia"/>
          <w:b/>
          <w:bCs/>
          <w:color w:val="auto"/>
          <w:highlight w:val="none"/>
        </w:rPr>
        <w:t>旅游碳排放边界</w:t>
      </w:r>
    </w:p>
    <w:p>
      <w:pPr>
        <w:pStyle w:val="6"/>
        <w:bidi w:val="0"/>
        <w:rPr>
          <w:color w:val="auto"/>
          <w:highlight w:val="none"/>
        </w:rPr>
      </w:pPr>
      <w:r>
        <w:rPr>
          <w:rFonts w:hint="eastAsia"/>
          <w:color w:val="auto"/>
          <w:highlight w:val="none"/>
        </w:rPr>
        <w:t>随着旅游产业的快速发展，旅游碳排放量也不断增加，碳排放测度被认为是发展低碳旅游的首要问题。国内学者王怀採等从旅游业与其他行业之间的相互关联视角，将旅游碳排放分为旅游者碳排放、旅游产业碳排放、旅游经济碳排放。</w:t>
      </w:r>
    </w:p>
    <w:p>
      <w:pPr>
        <w:pStyle w:val="6"/>
        <w:bidi w:val="0"/>
        <w:rPr>
          <w:b/>
          <w:bCs/>
          <w:color w:val="auto"/>
          <w:highlight w:val="none"/>
        </w:rPr>
      </w:pPr>
      <w:r>
        <w:rPr>
          <w:rFonts w:hint="eastAsia"/>
          <w:b/>
          <w:bCs/>
          <w:color w:val="auto"/>
          <w:highlight w:val="none"/>
          <w:lang w:val="en-US" w:eastAsia="zh-CN"/>
        </w:rPr>
        <w:t>2、</w:t>
      </w:r>
      <w:r>
        <w:rPr>
          <w:rFonts w:hint="eastAsia"/>
          <w:b/>
          <w:bCs/>
          <w:color w:val="auto"/>
          <w:highlight w:val="none"/>
        </w:rPr>
        <w:t>碳排放量估算</w:t>
      </w:r>
    </w:p>
    <w:p>
      <w:pPr>
        <w:pStyle w:val="6"/>
        <w:bidi w:val="0"/>
        <w:rPr>
          <w:rFonts w:hint="eastAsia"/>
          <w:color w:val="auto"/>
          <w:highlight w:val="none"/>
        </w:rPr>
      </w:pPr>
      <w:r>
        <w:rPr>
          <w:rFonts w:hint="eastAsia"/>
          <w:color w:val="auto"/>
          <w:highlight w:val="none"/>
        </w:rPr>
        <w:t>基于目前对旅游碳排放计算的研究，结合</w:t>
      </w:r>
      <w:r>
        <w:rPr>
          <w:rFonts w:hint="eastAsia"/>
          <w:color w:val="auto"/>
          <w:highlight w:val="none"/>
          <w:lang w:eastAsia="zh-CN"/>
        </w:rPr>
        <w:t>林芝市</w:t>
      </w:r>
      <w:r>
        <w:rPr>
          <w:rFonts w:hint="eastAsia"/>
          <w:color w:val="auto"/>
          <w:highlight w:val="none"/>
        </w:rPr>
        <w:t>的实际，采用“自下而上”法估算旅游碳排放量，即旅游相关产业通常被概括为交通和旅游活动，分别计算其碳排放，然后进行加总。</w:t>
      </w:r>
    </w:p>
    <w:p>
      <w:pPr>
        <w:pStyle w:val="6"/>
        <w:bidi w:val="0"/>
        <w:rPr>
          <w:highlight w:val="none"/>
        </w:rPr>
      </w:pPr>
      <w:r>
        <w:rPr>
          <w:rFonts w:hint="eastAsia"/>
          <w:highlight w:val="none"/>
        </w:rPr>
        <w:t>①交通排放量</w:t>
      </w:r>
    </w:p>
    <w:p>
      <w:pPr>
        <w:pStyle w:val="6"/>
        <w:bidi w:val="0"/>
        <w:rPr>
          <w:sz w:val="22"/>
          <w:szCs w:val="22"/>
          <w:highlight w:val="none"/>
        </w:rPr>
      </w:pPr>
      <w:r>
        <w:rPr>
          <w:rFonts w:hint="eastAsia"/>
          <w:highlight w:val="none"/>
        </w:rPr>
        <w:t>根据联合国世界旅游组织</w:t>
      </w:r>
      <w:r>
        <w:rPr>
          <w:rFonts w:hint="eastAsia"/>
          <w:highlight w:val="none"/>
          <w:lang w:eastAsia="zh-CN"/>
        </w:rPr>
        <w:t>（</w:t>
      </w:r>
      <w:r>
        <w:rPr>
          <w:highlight w:val="none"/>
        </w:rPr>
        <w:t>UNWTO</w:t>
      </w:r>
      <w:r>
        <w:rPr>
          <w:rFonts w:hint="eastAsia"/>
          <w:highlight w:val="none"/>
          <w:lang w:eastAsia="zh-CN"/>
        </w:rPr>
        <w:t>）</w:t>
      </w:r>
      <w:r>
        <w:rPr>
          <w:rFonts w:hint="eastAsia"/>
          <w:highlight w:val="none"/>
        </w:rPr>
        <w:t>的方法，通过各种交通方式旅客周转量与相应碳排放系数的乘积来估算每种交通方式客运交通的碳排放量。计算公式为：</w:t>
      </w:r>
    </w:p>
    <w:p>
      <w:pPr>
        <w:spacing w:line="360" w:lineRule="auto"/>
        <w:ind w:firstLine="440" w:firstLineChars="200"/>
        <w:rPr>
          <w:rFonts w:ascii="Times New Roman" w:hAnsi="Times New Roman" w:eastAsia="宋体" w:cs="Times New Roman"/>
          <w:sz w:val="22"/>
          <w:szCs w:val="22"/>
          <w:highlight w:val="none"/>
        </w:rPr>
      </w:pPr>
      <m:oMathPara>
        <m:oMath>
          <m:sSub>
            <m:sSubPr>
              <m:ctrlPr>
                <w:rPr>
                  <w:rFonts w:ascii="Cambria Math" w:hAnsi="Cambria Math" w:eastAsia="宋体" w:cs="Times New Roman"/>
                  <w:sz w:val="22"/>
                  <w:szCs w:val="22"/>
                  <w:highlight w:val="none"/>
                </w:rPr>
              </m:ctrlPr>
            </m:sSubPr>
            <m:e>
              <m:r>
                <m:rPr/>
                <w:rPr>
                  <w:rFonts w:ascii="Cambria Math" w:hAnsi="Cambria Math" w:eastAsia="宋体" w:cs="Times New Roman"/>
                  <w:sz w:val="22"/>
                  <w:szCs w:val="22"/>
                  <w:highlight w:val="none"/>
                </w:rPr>
                <m:t>C</m:t>
              </m:r>
              <m:ctrlPr>
                <w:rPr>
                  <w:rFonts w:ascii="Cambria Math" w:hAnsi="Cambria Math" w:eastAsia="宋体" w:cs="Times New Roman"/>
                  <w:sz w:val="22"/>
                  <w:szCs w:val="22"/>
                  <w:highlight w:val="none"/>
                </w:rPr>
              </m:ctrlPr>
            </m:e>
            <m:sub>
              <m:r>
                <m:rPr/>
                <w:rPr>
                  <w:rFonts w:ascii="Cambria Math" w:hAnsi="Cambria Math" w:eastAsia="宋体" w:cs="Times New Roman"/>
                  <w:sz w:val="22"/>
                  <w:szCs w:val="22"/>
                  <w:highlight w:val="none"/>
                </w:rPr>
                <m:t>Tt</m:t>
              </m:r>
              <m:ctrlPr>
                <w:rPr>
                  <w:rFonts w:ascii="Cambria Math" w:hAnsi="Cambria Math" w:eastAsia="宋体" w:cs="Times New Roman"/>
                  <w:sz w:val="22"/>
                  <w:szCs w:val="22"/>
                  <w:highlight w:val="none"/>
                </w:rPr>
              </m:ctrlPr>
            </m:sub>
          </m:sSub>
          <m:r>
            <m:rPr/>
            <w:rPr>
              <w:rFonts w:ascii="Cambria Math" w:hAnsi="Cambria Math" w:eastAsia="宋体" w:cs="Times New Roman"/>
              <w:sz w:val="22"/>
              <w:szCs w:val="22"/>
              <w:highlight w:val="none"/>
            </w:rPr>
            <m:t>=</m:t>
          </m:r>
          <m:nary>
            <m:naryPr>
              <m:chr m:val="∑"/>
              <m:limLoc m:val="undOvr"/>
              <m:ctrlPr>
                <w:rPr>
                  <w:rFonts w:ascii="Cambria Math" w:hAnsi="Cambria Math" w:eastAsia="宋体" w:cs="Times New Roman"/>
                  <w:i/>
                  <w:sz w:val="22"/>
                  <w:szCs w:val="22"/>
                  <w:highlight w:val="none"/>
                </w:rPr>
              </m:ctrlPr>
            </m:naryPr>
            <m:sub>
              <m:r>
                <m:rPr/>
                <w:rPr>
                  <w:rFonts w:ascii="Cambria Math" w:hAnsi="Cambria Math" w:eastAsia="宋体" w:cs="Times New Roman"/>
                  <w:sz w:val="22"/>
                  <w:szCs w:val="22"/>
                  <w:highlight w:val="none"/>
                </w:rPr>
                <m:t>i=1</m:t>
              </m:r>
              <m:ctrlPr>
                <w:rPr>
                  <w:rFonts w:ascii="Cambria Math" w:hAnsi="Cambria Math" w:eastAsia="宋体" w:cs="Times New Roman"/>
                  <w:i/>
                  <w:sz w:val="22"/>
                  <w:szCs w:val="22"/>
                  <w:highlight w:val="none"/>
                </w:rPr>
              </m:ctrlPr>
            </m:sub>
            <m:sup>
              <m:r>
                <m:rPr/>
                <w:rPr>
                  <w:rFonts w:ascii="Cambria Math" w:hAnsi="Cambria Math" w:eastAsia="宋体" w:cs="Times New Roman"/>
                  <w:sz w:val="22"/>
                  <w:szCs w:val="22"/>
                  <w:highlight w:val="none"/>
                </w:rPr>
                <m:t>n</m:t>
              </m:r>
              <m:ctrlPr>
                <w:rPr>
                  <w:rFonts w:ascii="Cambria Math" w:hAnsi="Cambria Math" w:eastAsia="宋体" w:cs="Times New Roman"/>
                  <w:i/>
                  <w:sz w:val="22"/>
                  <w:szCs w:val="22"/>
                  <w:highlight w:val="none"/>
                </w:rPr>
              </m:ctrlPr>
            </m:sup>
            <m:e>
              <m:d>
                <m:dPr>
                  <m:ctrlPr>
                    <w:rPr>
                      <w:rFonts w:ascii="Cambria Math" w:hAnsi="Cambria Math" w:eastAsia="宋体" w:cs="Times New Roman"/>
                      <w:i/>
                      <w:sz w:val="22"/>
                      <w:szCs w:val="22"/>
                      <w:highlight w:val="none"/>
                    </w:rPr>
                  </m:ctrlPr>
                </m:dPr>
                <m:e>
                  <m:sSub>
                    <m:sSubPr>
                      <m:ctrlPr>
                        <w:rPr>
                          <w:rFonts w:ascii="Cambria Math" w:hAnsi="Cambria Math" w:eastAsia="宋体" w:cs="Times New Roman"/>
                          <w:i/>
                          <w:sz w:val="22"/>
                          <w:szCs w:val="22"/>
                          <w:highlight w:val="none"/>
                        </w:rPr>
                      </m:ctrlPr>
                    </m:sSubPr>
                    <m:e>
                      <m:r>
                        <m:rPr/>
                        <w:rPr>
                          <w:rFonts w:ascii="Cambria Math" w:hAnsi="Cambria Math" w:eastAsia="宋体" w:cs="Times New Roman"/>
                          <w:sz w:val="22"/>
                          <w:szCs w:val="22"/>
                          <w:highlight w:val="none"/>
                        </w:rPr>
                        <m:t>P</m:t>
                      </m:r>
                      <m:ctrlPr>
                        <w:rPr>
                          <w:rFonts w:ascii="Cambria Math" w:hAnsi="Cambria Math" w:eastAsia="宋体" w:cs="Times New Roman"/>
                          <w:i/>
                          <w:sz w:val="22"/>
                          <w:szCs w:val="22"/>
                          <w:highlight w:val="none"/>
                        </w:rPr>
                      </m:ctrlPr>
                    </m:e>
                    <m:sub>
                      <m:r>
                        <m:rPr/>
                        <w:rPr>
                          <w:rFonts w:ascii="Cambria Math" w:hAnsi="Cambria Math" w:eastAsia="宋体" w:cs="Times New Roman"/>
                          <w:sz w:val="22"/>
                          <w:szCs w:val="22"/>
                          <w:highlight w:val="none"/>
                        </w:rPr>
                        <m:t>Ti</m:t>
                      </m:r>
                      <m:ctrlPr>
                        <w:rPr>
                          <w:rFonts w:ascii="Cambria Math" w:hAnsi="Cambria Math" w:eastAsia="宋体" w:cs="Times New Roman"/>
                          <w:i/>
                          <w:sz w:val="22"/>
                          <w:szCs w:val="22"/>
                          <w:highlight w:val="none"/>
                        </w:rPr>
                      </m:ctrlPr>
                    </m:sub>
                  </m:sSub>
                  <m:r>
                    <m:rPr/>
                    <w:rPr>
                      <w:rFonts w:ascii="Cambria Math" w:hAnsi="Cambria Math" w:eastAsia="宋体" w:cs="Times New Roman"/>
                      <w:sz w:val="22"/>
                      <w:szCs w:val="22"/>
                      <w:highlight w:val="none"/>
                    </w:rPr>
                    <m:t>×</m:t>
                  </m:r>
                  <m:sSub>
                    <m:sSubPr>
                      <m:ctrlPr>
                        <w:rPr>
                          <w:rFonts w:ascii="Cambria Math" w:hAnsi="Cambria Math" w:eastAsia="宋体" w:cs="Times New Roman"/>
                          <w:i/>
                          <w:sz w:val="22"/>
                          <w:szCs w:val="22"/>
                          <w:highlight w:val="none"/>
                        </w:rPr>
                      </m:ctrlPr>
                    </m:sSubPr>
                    <m:e>
                      <m:r>
                        <m:rPr/>
                        <w:rPr>
                          <w:rFonts w:ascii="Cambria Math" w:hAnsi="Cambria Math" w:eastAsia="宋体" w:cs="Times New Roman"/>
                          <w:sz w:val="22"/>
                          <w:szCs w:val="22"/>
                          <w:highlight w:val="none"/>
                        </w:rPr>
                        <m:t>N</m:t>
                      </m:r>
                      <m:ctrlPr>
                        <w:rPr>
                          <w:rFonts w:ascii="Cambria Math" w:hAnsi="Cambria Math" w:eastAsia="宋体" w:cs="Times New Roman"/>
                          <w:i/>
                          <w:sz w:val="22"/>
                          <w:szCs w:val="22"/>
                          <w:highlight w:val="none"/>
                        </w:rPr>
                      </m:ctrlPr>
                    </m:e>
                    <m:sub>
                      <m:r>
                        <m:rPr/>
                        <w:rPr>
                          <w:rFonts w:ascii="Cambria Math" w:hAnsi="Cambria Math" w:eastAsia="宋体" w:cs="Times New Roman"/>
                          <w:sz w:val="22"/>
                          <w:szCs w:val="22"/>
                          <w:highlight w:val="none"/>
                        </w:rPr>
                        <m:t>i</m:t>
                      </m:r>
                      <m:ctrlPr>
                        <w:rPr>
                          <w:rFonts w:ascii="Cambria Math" w:hAnsi="Cambria Math" w:eastAsia="宋体" w:cs="Times New Roman"/>
                          <w:i/>
                          <w:sz w:val="22"/>
                          <w:szCs w:val="22"/>
                          <w:highlight w:val="none"/>
                        </w:rPr>
                      </m:ctrlPr>
                    </m:sub>
                  </m:sSub>
                  <m:r>
                    <m:rPr/>
                    <w:rPr>
                      <w:rFonts w:ascii="Cambria Math" w:hAnsi="Cambria Math" w:eastAsia="宋体" w:cs="Times New Roman"/>
                      <w:sz w:val="22"/>
                      <w:szCs w:val="22"/>
                      <w:highlight w:val="none"/>
                    </w:rPr>
                    <m:t>×</m:t>
                  </m:r>
                  <m:sSub>
                    <m:sSubPr>
                      <m:ctrlPr>
                        <w:rPr>
                          <w:rFonts w:ascii="Cambria Math" w:hAnsi="Cambria Math" w:eastAsia="宋体" w:cs="Times New Roman"/>
                          <w:i/>
                          <w:sz w:val="22"/>
                          <w:szCs w:val="22"/>
                          <w:highlight w:val="none"/>
                        </w:rPr>
                      </m:ctrlPr>
                    </m:sSubPr>
                    <m:e>
                      <m:r>
                        <m:rPr/>
                        <w:rPr>
                          <w:rFonts w:ascii="Cambria Math" w:hAnsi="Cambria Math" w:eastAsia="宋体" w:cs="Times New Roman"/>
                          <w:sz w:val="22"/>
                          <w:szCs w:val="22"/>
                          <w:highlight w:val="none"/>
                        </w:rPr>
                        <m:t>D</m:t>
                      </m:r>
                      <m:ctrlPr>
                        <w:rPr>
                          <w:rFonts w:ascii="Cambria Math" w:hAnsi="Cambria Math" w:eastAsia="宋体" w:cs="Times New Roman"/>
                          <w:i/>
                          <w:sz w:val="22"/>
                          <w:szCs w:val="22"/>
                          <w:highlight w:val="none"/>
                        </w:rPr>
                      </m:ctrlPr>
                    </m:e>
                    <m:sub>
                      <m:r>
                        <m:rPr/>
                        <w:rPr>
                          <w:rFonts w:ascii="Cambria Math" w:hAnsi="Cambria Math" w:eastAsia="宋体" w:cs="Times New Roman"/>
                          <w:sz w:val="22"/>
                          <w:szCs w:val="22"/>
                          <w:highlight w:val="none"/>
                        </w:rPr>
                        <m:t>i</m:t>
                      </m:r>
                      <m:ctrlPr>
                        <w:rPr>
                          <w:rFonts w:ascii="Cambria Math" w:hAnsi="Cambria Math" w:eastAsia="宋体" w:cs="Times New Roman"/>
                          <w:i/>
                          <w:sz w:val="22"/>
                          <w:szCs w:val="22"/>
                          <w:highlight w:val="none"/>
                        </w:rPr>
                      </m:ctrlPr>
                    </m:sub>
                  </m:sSub>
                  <m:r>
                    <m:rPr/>
                    <w:rPr>
                      <w:rFonts w:ascii="Cambria Math" w:hAnsi="Cambria Math" w:eastAsia="宋体" w:cs="Times New Roman"/>
                      <w:sz w:val="22"/>
                      <w:szCs w:val="22"/>
                      <w:highlight w:val="none"/>
                    </w:rPr>
                    <m:t>×</m:t>
                  </m:r>
                  <m:sSub>
                    <m:sSubPr>
                      <m:ctrlPr>
                        <w:rPr>
                          <w:rFonts w:ascii="Cambria Math" w:hAnsi="Cambria Math" w:eastAsia="宋体" w:cs="Times New Roman"/>
                          <w:i/>
                          <w:sz w:val="22"/>
                          <w:szCs w:val="22"/>
                          <w:highlight w:val="none"/>
                        </w:rPr>
                      </m:ctrlPr>
                    </m:sSubPr>
                    <m:e>
                      <m:r>
                        <m:rPr/>
                        <w:rPr>
                          <w:rFonts w:ascii="Cambria Math" w:hAnsi="Cambria Math" w:eastAsia="宋体" w:cs="Times New Roman"/>
                          <w:sz w:val="22"/>
                          <w:szCs w:val="22"/>
                          <w:highlight w:val="none"/>
                        </w:rPr>
                        <m:t>f</m:t>
                      </m:r>
                      <m:ctrlPr>
                        <w:rPr>
                          <w:rFonts w:ascii="Cambria Math" w:hAnsi="Cambria Math" w:eastAsia="宋体" w:cs="Times New Roman"/>
                          <w:i/>
                          <w:sz w:val="22"/>
                          <w:szCs w:val="22"/>
                          <w:highlight w:val="none"/>
                        </w:rPr>
                      </m:ctrlPr>
                    </m:e>
                    <m:sub>
                      <m:r>
                        <m:rPr/>
                        <w:rPr>
                          <w:rFonts w:ascii="Cambria Math" w:hAnsi="Cambria Math" w:eastAsia="宋体" w:cs="Times New Roman"/>
                          <w:sz w:val="22"/>
                          <w:szCs w:val="22"/>
                          <w:highlight w:val="none"/>
                        </w:rPr>
                        <m:t>i</m:t>
                      </m:r>
                      <m:ctrlPr>
                        <w:rPr>
                          <w:rFonts w:ascii="Cambria Math" w:hAnsi="Cambria Math" w:eastAsia="宋体" w:cs="Times New Roman"/>
                          <w:i/>
                          <w:sz w:val="22"/>
                          <w:szCs w:val="22"/>
                          <w:highlight w:val="none"/>
                        </w:rPr>
                      </m:ctrlPr>
                    </m:sub>
                  </m:sSub>
                  <m:ctrlPr>
                    <w:rPr>
                      <w:rFonts w:ascii="Cambria Math" w:hAnsi="Cambria Math" w:eastAsia="宋体" w:cs="Times New Roman"/>
                      <w:i/>
                      <w:sz w:val="22"/>
                      <w:szCs w:val="22"/>
                      <w:highlight w:val="none"/>
                    </w:rPr>
                  </m:ctrlPr>
                </m:e>
              </m:d>
              <m:ctrlPr>
                <w:rPr>
                  <w:rFonts w:ascii="Cambria Math" w:hAnsi="Cambria Math" w:eastAsia="宋体" w:cs="Times New Roman"/>
                  <w:i/>
                  <w:sz w:val="22"/>
                  <w:szCs w:val="22"/>
                  <w:highlight w:val="none"/>
                </w:rPr>
              </m:ctrlPr>
            </m:e>
          </m:nary>
        </m:oMath>
      </m:oMathPara>
    </w:p>
    <w:p>
      <w:pPr>
        <w:pStyle w:val="6"/>
        <w:bidi w:val="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式中C</w:t>
      </w:r>
      <w:r>
        <w:rPr>
          <w:rFonts w:hint="default" w:ascii="Times New Roman" w:hAnsi="Times New Roman" w:eastAsia="宋体" w:cs="Times New Roman"/>
          <w:sz w:val="24"/>
          <w:szCs w:val="24"/>
          <w:highlight w:val="none"/>
          <w:vertAlign w:val="subscript"/>
        </w:rPr>
        <w:t>Tt</w:t>
      </w:r>
      <w:r>
        <w:rPr>
          <w:rFonts w:hint="default" w:ascii="Times New Roman" w:hAnsi="Times New Roman" w:eastAsia="宋体" w:cs="Times New Roman"/>
          <w:sz w:val="24"/>
          <w:szCs w:val="24"/>
          <w:highlight w:val="none"/>
        </w:rPr>
        <w:t>：为客运交通的碳排放量；</w:t>
      </w:r>
    </w:p>
    <w:p>
      <w:pPr>
        <w:pStyle w:val="6"/>
        <w:bidi w:val="0"/>
        <w:ind w:firstLine="960" w:firstLineChars="400"/>
        <w:rPr>
          <w:rFonts w:hint="default" w:ascii="Times New Roman" w:hAnsi="Times New Roman" w:eastAsia="宋体" w:cs="Times New Roman"/>
          <w:sz w:val="24"/>
          <w:szCs w:val="24"/>
          <w:highlight w:val="none"/>
        </w:rPr>
      </w:pPr>
      <m:oMath>
        <m:r>
          <m:rPr>
            <m:sty m:val="p"/>
          </m:rPr>
          <w:rPr>
            <w:rFonts w:hint="default" w:ascii="Cambria Math" w:hAnsi="Cambria Math" w:eastAsia="宋体" w:cs="Times New Roman"/>
            <w:sz w:val="24"/>
            <w:szCs w:val="24"/>
            <w:highlight w:val="none"/>
          </w:rPr>
          <m:t xml:space="preserve"> </m:t>
        </m:r>
        <m:sSub>
          <m:sSubPr>
            <m:ctrlPr>
              <w:rPr>
                <w:rFonts w:hint="default" w:ascii="Cambria Math" w:hAnsi="Cambria Math" w:eastAsia="宋体" w:cs="Times New Roman"/>
                <w:sz w:val="24"/>
                <w:szCs w:val="24"/>
                <w:highlight w:val="none"/>
              </w:rPr>
            </m:ctrlPr>
          </m:sSubPr>
          <m:e>
            <m:r>
              <m:rPr>
                <m:sty m:val="p"/>
              </m:rPr>
              <w:rPr>
                <w:rFonts w:hint="default" w:ascii="Cambria Math" w:hAnsi="Cambria Math" w:eastAsia="宋体" w:cs="Times New Roman"/>
                <w:sz w:val="24"/>
                <w:szCs w:val="24"/>
                <w:highlight w:val="none"/>
              </w:rPr>
              <m:t>P</m:t>
            </m:r>
            <m:ctrlPr>
              <w:rPr>
                <w:rFonts w:hint="default" w:ascii="Cambria Math" w:hAnsi="Cambria Math" w:eastAsia="宋体" w:cs="Times New Roman"/>
                <w:sz w:val="24"/>
                <w:szCs w:val="24"/>
                <w:highlight w:val="none"/>
              </w:rPr>
            </m:ctrlPr>
          </m:e>
          <m:sub>
            <m:r>
              <m:rPr>
                <m:sty m:val="p"/>
              </m:rPr>
              <w:rPr>
                <w:rFonts w:hint="default" w:ascii="Cambria Math" w:hAnsi="Cambria Math" w:eastAsia="宋体" w:cs="Times New Roman"/>
                <w:sz w:val="24"/>
                <w:szCs w:val="24"/>
                <w:highlight w:val="none"/>
              </w:rPr>
              <m:t>Ti</m:t>
            </m:r>
            <m:ctrlPr>
              <w:rPr>
                <w:rFonts w:hint="default" w:ascii="Cambria Math" w:hAnsi="Cambria Math" w:eastAsia="宋体" w:cs="Times New Roman"/>
                <w:sz w:val="24"/>
                <w:szCs w:val="24"/>
                <w:highlight w:val="none"/>
              </w:rPr>
            </m:ctrlPr>
          </m:sub>
        </m:sSub>
      </m:oMath>
      <w:r>
        <w:rPr>
          <w:rFonts w:hint="default" w:ascii="Times New Roman" w:hAnsi="Times New Roman" w:eastAsia="宋体" w:cs="Times New Roman"/>
          <w:sz w:val="24"/>
          <w:szCs w:val="24"/>
          <w:highlight w:val="none"/>
        </w:rPr>
        <w:t>：为i类交通方式的碳排放因子</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kg/km)，铁路、公路、民航的碳排放因子分别为0.027，0.133，0.137；</w:t>
      </w:r>
    </w:p>
    <w:p>
      <w:pPr>
        <w:spacing w:line="360" w:lineRule="auto"/>
        <w:ind w:firstLine="960" w:firstLineChars="400"/>
        <w:rPr>
          <w:rFonts w:hint="default" w:ascii="Times New Roman" w:hAnsi="Times New Roman" w:eastAsia="宋体" w:cs="Times New Roman"/>
          <w:sz w:val="24"/>
          <w:szCs w:val="24"/>
          <w:highlight w:val="none"/>
        </w:rPr>
      </w:pPr>
      <m:oMath>
        <m:sSub>
          <m:sSubPr>
            <m:ctrlPr>
              <w:rPr>
                <w:rFonts w:hint="default" w:ascii="Cambria Math" w:hAnsi="Cambria Math" w:eastAsia="宋体" w:cs="Times New Roman"/>
                <w:sz w:val="24"/>
                <w:szCs w:val="24"/>
                <w:highlight w:val="none"/>
              </w:rPr>
            </m:ctrlPr>
          </m:sSubPr>
          <m:e>
            <m:r>
              <m:rPr>
                <m:sty m:val="p"/>
              </m:rPr>
              <w:rPr>
                <w:rFonts w:hint="default" w:ascii="Cambria Math" w:hAnsi="Cambria Math" w:eastAsia="宋体" w:cs="Times New Roman"/>
                <w:sz w:val="24"/>
                <w:szCs w:val="24"/>
                <w:highlight w:val="none"/>
              </w:rPr>
              <m:t>N</m:t>
            </m:r>
            <m:ctrlPr>
              <w:rPr>
                <w:rFonts w:hint="default" w:ascii="Cambria Math" w:hAnsi="Cambria Math" w:eastAsia="宋体" w:cs="Times New Roman"/>
                <w:sz w:val="24"/>
                <w:szCs w:val="24"/>
                <w:highlight w:val="none"/>
              </w:rPr>
            </m:ctrlPr>
          </m:e>
          <m:sub>
            <m:r>
              <m:rPr>
                <m:sty m:val="p"/>
              </m:rPr>
              <w:rPr>
                <w:rFonts w:hint="default" w:ascii="Cambria Math" w:hAnsi="Cambria Math" w:eastAsia="宋体" w:cs="Times New Roman"/>
                <w:sz w:val="24"/>
                <w:szCs w:val="24"/>
                <w:highlight w:val="none"/>
              </w:rPr>
              <m:t>i</m:t>
            </m:r>
            <m:ctrlPr>
              <w:rPr>
                <w:rFonts w:hint="default" w:ascii="Cambria Math" w:hAnsi="Cambria Math" w:eastAsia="宋体" w:cs="Times New Roman"/>
                <w:sz w:val="24"/>
                <w:szCs w:val="24"/>
                <w:highlight w:val="none"/>
              </w:rPr>
            </m:ctrlPr>
          </m:sub>
        </m:sSub>
      </m:oMath>
      <w:r>
        <w:rPr>
          <w:rFonts w:hint="default" w:ascii="Times New Roman" w:hAnsi="Times New Roman" w:eastAsia="宋体" w:cs="Times New Roman"/>
          <w:sz w:val="24"/>
          <w:szCs w:val="24"/>
          <w:highlight w:val="none"/>
        </w:rPr>
        <w:t>：为选择i 交通方式的旅客数量；</w:t>
      </w:r>
    </w:p>
    <w:p>
      <w:pPr>
        <w:spacing w:line="360" w:lineRule="auto"/>
        <w:ind w:firstLine="960" w:firstLineChars="400"/>
        <w:rPr>
          <w:rFonts w:hint="default" w:ascii="Times New Roman" w:hAnsi="Times New Roman" w:eastAsia="宋体" w:cs="Times New Roman"/>
          <w:sz w:val="24"/>
          <w:szCs w:val="24"/>
          <w:highlight w:val="none"/>
        </w:rPr>
      </w:pPr>
      <m:oMath>
        <m:sSub>
          <m:sSubPr>
            <m:ctrlPr>
              <w:rPr>
                <w:rFonts w:hint="default" w:ascii="Cambria Math" w:hAnsi="Cambria Math" w:eastAsia="宋体" w:cs="Times New Roman"/>
                <w:sz w:val="24"/>
                <w:szCs w:val="24"/>
                <w:highlight w:val="none"/>
              </w:rPr>
            </m:ctrlPr>
          </m:sSubPr>
          <m:e>
            <m:r>
              <m:rPr>
                <m:sty m:val="p"/>
              </m:rPr>
              <w:rPr>
                <w:rFonts w:hint="default" w:ascii="Cambria Math" w:hAnsi="Cambria Math" w:eastAsia="宋体" w:cs="Times New Roman"/>
                <w:sz w:val="24"/>
                <w:szCs w:val="24"/>
                <w:highlight w:val="none"/>
              </w:rPr>
              <m:t>D</m:t>
            </m:r>
            <m:ctrlPr>
              <w:rPr>
                <w:rFonts w:hint="default" w:ascii="Cambria Math" w:hAnsi="Cambria Math" w:eastAsia="宋体" w:cs="Times New Roman"/>
                <w:sz w:val="24"/>
                <w:szCs w:val="24"/>
                <w:highlight w:val="none"/>
              </w:rPr>
            </m:ctrlPr>
          </m:e>
          <m:sub>
            <m:r>
              <m:rPr>
                <m:sty m:val="p"/>
              </m:rPr>
              <w:rPr>
                <w:rFonts w:hint="default" w:ascii="Cambria Math" w:hAnsi="Cambria Math" w:eastAsia="宋体" w:cs="Times New Roman"/>
                <w:sz w:val="24"/>
                <w:szCs w:val="24"/>
                <w:highlight w:val="none"/>
              </w:rPr>
              <m:t>i</m:t>
            </m:r>
            <m:ctrlPr>
              <w:rPr>
                <w:rFonts w:hint="default" w:ascii="Cambria Math" w:hAnsi="Cambria Math" w:eastAsia="宋体" w:cs="Times New Roman"/>
                <w:sz w:val="24"/>
                <w:szCs w:val="24"/>
                <w:highlight w:val="none"/>
              </w:rPr>
            </m:ctrlPr>
          </m:sub>
        </m:sSub>
      </m:oMath>
      <w:r>
        <w:rPr>
          <w:rFonts w:hint="default" w:ascii="Times New Roman" w:hAnsi="Times New Roman" w:eastAsia="宋体" w:cs="Times New Roman"/>
          <w:sz w:val="24"/>
          <w:szCs w:val="24"/>
          <w:highlight w:val="none"/>
        </w:rPr>
        <w:t>：为i 交通方式的运输距离；</w:t>
      </w:r>
    </w:p>
    <w:p>
      <w:pPr>
        <w:spacing w:line="360" w:lineRule="auto"/>
        <w:ind w:firstLine="960" w:firstLineChars="400"/>
        <w:rPr>
          <w:rFonts w:hint="default" w:ascii="Times New Roman" w:hAnsi="Times New Roman" w:eastAsia="宋体" w:cs="Times New Roman"/>
          <w:sz w:val="24"/>
          <w:szCs w:val="24"/>
          <w:highlight w:val="none"/>
        </w:rPr>
      </w:pPr>
      <m:oMath>
        <m:sSub>
          <m:sSubPr>
            <m:ctrlPr>
              <w:rPr>
                <w:rFonts w:hint="default" w:ascii="Cambria Math" w:hAnsi="Cambria Math" w:eastAsia="宋体" w:cs="Times New Roman"/>
                <w:sz w:val="24"/>
                <w:szCs w:val="24"/>
                <w:highlight w:val="none"/>
              </w:rPr>
            </m:ctrlPr>
          </m:sSubPr>
          <m:e>
            <m:r>
              <m:rPr>
                <m:sty m:val="p"/>
              </m:rPr>
              <w:rPr>
                <w:rFonts w:hint="default" w:ascii="Cambria Math" w:hAnsi="Cambria Math" w:eastAsia="宋体" w:cs="Times New Roman"/>
                <w:sz w:val="24"/>
                <w:szCs w:val="24"/>
                <w:highlight w:val="none"/>
              </w:rPr>
              <m:t>N</m:t>
            </m:r>
            <m:ctrlPr>
              <w:rPr>
                <w:rFonts w:hint="default" w:ascii="Cambria Math" w:hAnsi="Cambria Math" w:eastAsia="宋体" w:cs="Times New Roman"/>
                <w:sz w:val="24"/>
                <w:szCs w:val="24"/>
                <w:highlight w:val="none"/>
              </w:rPr>
            </m:ctrlPr>
          </m:e>
          <m:sub>
            <m:r>
              <m:rPr>
                <m:sty m:val="p"/>
              </m:rPr>
              <w:rPr>
                <w:rFonts w:hint="default" w:ascii="Cambria Math" w:hAnsi="Cambria Math" w:eastAsia="宋体" w:cs="Times New Roman"/>
                <w:sz w:val="24"/>
                <w:szCs w:val="24"/>
                <w:highlight w:val="none"/>
              </w:rPr>
              <m:t>i</m:t>
            </m:r>
            <m:ctrlPr>
              <w:rPr>
                <w:rFonts w:hint="default" w:ascii="Cambria Math" w:hAnsi="Cambria Math" w:eastAsia="宋体" w:cs="Times New Roman"/>
                <w:sz w:val="24"/>
                <w:szCs w:val="24"/>
                <w:highlight w:val="none"/>
              </w:rPr>
            </m:ctrlPr>
          </m:sub>
        </m:sSub>
      </m:oMath>
      <w:r>
        <w:rPr>
          <w:rFonts w:hint="default" w:ascii="Times New Roman" w:hAnsi="Times New Roman" w:eastAsia="宋体" w:cs="Times New Roman"/>
          <w:sz w:val="24"/>
          <w:szCs w:val="24"/>
          <w:highlight w:val="none"/>
        </w:rPr>
        <w:t xml:space="preserve"> ×</w:t>
      </w:r>
      <m:oMath>
        <m:sSub>
          <m:sSubPr>
            <m:ctrlPr>
              <w:rPr>
                <w:rFonts w:hint="default" w:ascii="Cambria Math" w:hAnsi="Cambria Math" w:eastAsia="宋体" w:cs="Times New Roman"/>
                <w:sz w:val="24"/>
                <w:szCs w:val="24"/>
                <w:highlight w:val="none"/>
              </w:rPr>
            </m:ctrlPr>
          </m:sSubPr>
          <m:e>
            <m:r>
              <m:rPr>
                <m:sty m:val="p"/>
              </m:rPr>
              <w:rPr>
                <w:rFonts w:hint="default" w:ascii="Cambria Math" w:hAnsi="Cambria Math" w:eastAsia="宋体" w:cs="Times New Roman"/>
                <w:sz w:val="24"/>
                <w:szCs w:val="24"/>
                <w:highlight w:val="none"/>
              </w:rPr>
              <m:t>D</m:t>
            </m:r>
            <m:ctrlPr>
              <w:rPr>
                <w:rFonts w:hint="default" w:ascii="Cambria Math" w:hAnsi="Cambria Math" w:eastAsia="宋体" w:cs="Times New Roman"/>
                <w:sz w:val="24"/>
                <w:szCs w:val="24"/>
                <w:highlight w:val="none"/>
              </w:rPr>
            </m:ctrlPr>
          </m:e>
          <m:sub>
            <m:r>
              <m:rPr>
                <m:sty m:val="p"/>
              </m:rPr>
              <w:rPr>
                <w:rFonts w:hint="default" w:ascii="Cambria Math" w:hAnsi="Cambria Math" w:eastAsia="宋体" w:cs="Times New Roman"/>
                <w:sz w:val="24"/>
                <w:szCs w:val="24"/>
                <w:highlight w:val="none"/>
              </w:rPr>
              <m:t>i</m:t>
            </m:r>
            <m:ctrlPr>
              <w:rPr>
                <w:rFonts w:hint="default" w:ascii="Cambria Math" w:hAnsi="Cambria Math" w:eastAsia="宋体" w:cs="Times New Roman"/>
                <w:sz w:val="24"/>
                <w:szCs w:val="24"/>
                <w:highlight w:val="none"/>
              </w:rPr>
            </m:ctrlPr>
          </m:sub>
        </m:sSub>
      </m:oMath>
      <w:r>
        <w:rPr>
          <w:rFonts w:hint="eastAsia" w:hAnsi="Cambria Math" w:eastAsia="宋体" w:cs="Times New Roman"/>
          <w:i w:val="0"/>
          <w:sz w:val="24"/>
          <w:szCs w:val="24"/>
          <w:highlight w:val="none"/>
          <w:lang w:eastAsia="zh-CN"/>
        </w:rPr>
        <w:t>：</w:t>
      </w:r>
      <w:r>
        <w:rPr>
          <w:rFonts w:hint="default" w:ascii="Times New Roman" w:hAnsi="Times New Roman" w:eastAsia="宋体" w:cs="Times New Roman"/>
          <w:sz w:val="24"/>
          <w:szCs w:val="24"/>
          <w:highlight w:val="none"/>
        </w:rPr>
        <w:t>为i 交通方式的旅客周转量；</w:t>
      </w:r>
    </w:p>
    <w:p>
      <w:pPr>
        <w:spacing w:line="360" w:lineRule="auto"/>
        <w:ind w:firstLine="960" w:firstLineChars="400"/>
        <w:rPr>
          <w:rFonts w:hint="default" w:ascii="Times New Roman" w:hAnsi="Times New Roman" w:eastAsia="宋体" w:cs="Times New Roman"/>
          <w:sz w:val="24"/>
          <w:szCs w:val="24"/>
          <w:highlight w:val="none"/>
        </w:rPr>
      </w:pPr>
      <m:oMath>
        <m:sSub>
          <m:sSubPr>
            <m:ctrlPr>
              <w:rPr>
                <w:rFonts w:hint="default" w:ascii="Cambria Math" w:hAnsi="Cambria Math" w:eastAsia="宋体" w:cs="Times New Roman"/>
                <w:sz w:val="24"/>
                <w:szCs w:val="24"/>
                <w:highlight w:val="none"/>
              </w:rPr>
            </m:ctrlPr>
          </m:sSubPr>
          <m:e>
            <m:r>
              <m:rPr>
                <m:sty m:val="p"/>
              </m:rPr>
              <w:rPr>
                <w:rFonts w:hint="default" w:ascii="Cambria Math" w:hAnsi="Cambria Math" w:eastAsia="宋体" w:cs="Times New Roman"/>
                <w:sz w:val="24"/>
                <w:szCs w:val="24"/>
                <w:highlight w:val="none"/>
              </w:rPr>
              <m:t>f</m:t>
            </m:r>
            <m:ctrlPr>
              <w:rPr>
                <w:rFonts w:hint="default" w:ascii="Cambria Math" w:hAnsi="Cambria Math" w:eastAsia="宋体" w:cs="Times New Roman"/>
                <w:sz w:val="24"/>
                <w:szCs w:val="24"/>
                <w:highlight w:val="none"/>
              </w:rPr>
            </m:ctrlPr>
          </m:e>
          <m:sub>
            <m:r>
              <m:rPr>
                <m:sty m:val="p"/>
              </m:rPr>
              <w:rPr>
                <w:rFonts w:hint="default" w:ascii="Cambria Math" w:hAnsi="Cambria Math" w:eastAsia="宋体" w:cs="Times New Roman"/>
                <w:sz w:val="24"/>
                <w:szCs w:val="24"/>
                <w:highlight w:val="none"/>
              </w:rPr>
              <m:t>i</m:t>
            </m:r>
            <m:ctrlPr>
              <w:rPr>
                <w:rFonts w:hint="default" w:ascii="Cambria Math" w:hAnsi="Cambria Math" w:eastAsia="宋体" w:cs="Times New Roman"/>
                <w:sz w:val="24"/>
                <w:szCs w:val="24"/>
                <w:highlight w:val="none"/>
              </w:rPr>
            </m:ctrlPr>
          </m:sub>
        </m:sSub>
      </m:oMath>
      <w:r>
        <w:rPr>
          <w:rFonts w:hint="eastAsia" w:hAnsi="Cambria Math" w:eastAsia="宋体" w:cs="Times New Roman"/>
          <w:i w:val="0"/>
          <w:sz w:val="24"/>
          <w:szCs w:val="24"/>
          <w:highlight w:val="none"/>
          <w:lang w:eastAsia="zh-CN"/>
        </w:rPr>
        <w:t>：</w:t>
      </w:r>
      <w:r>
        <w:rPr>
          <w:rFonts w:hint="default" w:ascii="Times New Roman" w:hAnsi="Times New Roman" w:eastAsia="宋体" w:cs="Times New Roman"/>
          <w:sz w:val="24"/>
          <w:szCs w:val="24"/>
          <w:highlight w:val="none"/>
        </w:rPr>
        <w:t>为i交通方式客流量中旅游者的比例。</w:t>
      </w:r>
    </w:p>
    <w:p>
      <w:pPr>
        <w:pStyle w:val="6"/>
        <w:bidi w:val="0"/>
        <w:rPr>
          <w:color w:val="1A15F1"/>
          <w:highlight w:val="none"/>
        </w:rPr>
      </w:pPr>
      <w:r>
        <w:rPr>
          <w:rFonts w:hint="eastAsia"/>
          <w:color w:val="1A15F1"/>
          <w:highlight w:val="none"/>
          <w:lang w:val="en-US" w:eastAsia="zh-CN"/>
        </w:rPr>
        <w:t>林芝市铁路建设步伐虽持续加快，但尚未成网，全市交通出行仍主要依托公路，其次是航运，以</w:t>
      </w:r>
      <w:r>
        <w:rPr>
          <w:rFonts w:hint="eastAsia"/>
          <w:color w:val="1A15F1"/>
          <w:highlight w:val="none"/>
        </w:rPr>
        <w:t>规划末期旅游人数进行估算，结果如下：</w:t>
      </w:r>
    </w:p>
    <w:p>
      <w:pPr>
        <w:pStyle w:val="27"/>
        <w:bidi w:val="0"/>
        <w:rPr>
          <w:color w:val="1A15F1"/>
          <w:highlight w:val="none"/>
        </w:rPr>
      </w:pPr>
      <w:r>
        <w:rPr>
          <w:rFonts w:hint="eastAsia"/>
          <w:color w:val="1A15F1"/>
          <w:highlight w:val="none"/>
        </w:rPr>
        <w:t>表</w:t>
      </w:r>
      <w:r>
        <w:rPr>
          <w:rFonts w:hint="eastAsia"/>
          <w:color w:val="1A15F1"/>
          <w:highlight w:val="none"/>
          <w:lang w:val="en-US" w:eastAsia="zh-CN"/>
        </w:rPr>
        <w:t>5.4-1</w:t>
      </w:r>
      <w:r>
        <w:rPr>
          <w:rFonts w:hint="eastAsia"/>
          <w:color w:val="1A15F1"/>
          <w:highlight w:val="none"/>
        </w:rPr>
        <w:t xml:space="preserve">  规划末年</w:t>
      </w:r>
      <w:r>
        <w:rPr>
          <w:rFonts w:hint="eastAsia"/>
          <w:color w:val="1A15F1"/>
          <w:highlight w:val="none"/>
          <w:lang w:val="en-US" w:eastAsia="zh-CN"/>
        </w:rPr>
        <w:t>2025年</w:t>
      </w:r>
      <w:r>
        <w:rPr>
          <w:rFonts w:hint="eastAsia"/>
          <w:color w:val="1A15F1"/>
          <w:highlight w:val="none"/>
        </w:rPr>
        <w:t>旅游交通排放估算量</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5"/>
        <w:gridCol w:w="1731"/>
        <w:gridCol w:w="1482"/>
        <w:gridCol w:w="1315"/>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4" w:type="pct"/>
          </w:tcPr>
          <w:p>
            <w:pPr>
              <w:pStyle w:val="28"/>
              <w:keepNext w:val="0"/>
              <w:keepLines w:val="0"/>
              <w:suppressLineNumbers w:val="0"/>
              <w:bidi w:val="0"/>
              <w:spacing w:beforeAutospacing="0" w:afterAutospacing="0" w:line="276" w:lineRule="auto"/>
              <w:ind w:left="0" w:right="0"/>
              <w:rPr>
                <w:rFonts w:hint="default"/>
                <w:color w:val="1A15F1"/>
                <w:highlight w:val="none"/>
              </w:rPr>
            </w:pPr>
            <w:r>
              <w:rPr>
                <w:rFonts w:hint="eastAsia"/>
                <w:color w:val="1A15F1"/>
                <w:highlight w:val="none"/>
              </w:rPr>
              <w:t>项目</w:t>
            </w:r>
          </w:p>
        </w:tc>
        <w:tc>
          <w:tcPr>
            <w:tcW w:w="1015" w:type="pct"/>
          </w:tcPr>
          <w:p>
            <w:pPr>
              <w:pStyle w:val="28"/>
              <w:keepNext w:val="0"/>
              <w:keepLines w:val="0"/>
              <w:suppressLineNumbers w:val="0"/>
              <w:bidi w:val="0"/>
              <w:spacing w:beforeAutospacing="0" w:afterAutospacing="0" w:line="276" w:lineRule="auto"/>
              <w:ind w:left="0" w:right="0"/>
              <w:rPr>
                <w:rFonts w:hint="default"/>
                <w:color w:val="1A15F1"/>
                <w:highlight w:val="none"/>
              </w:rPr>
            </w:pPr>
            <w:r>
              <w:rPr>
                <w:rFonts w:hint="eastAsia"/>
                <w:color w:val="1A15F1"/>
                <w:highlight w:val="none"/>
              </w:rPr>
              <w:t>公路</w:t>
            </w:r>
          </w:p>
        </w:tc>
        <w:tc>
          <w:tcPr>
            <w:tcW w:w="869" w:type="pct"/>
          </w:tcPr>
          <w:p>
            <w:pPr>
              <w:pStyle w:val="28"/>
              <w:keepNext w:val="0"/>
              <w:keepLines w:val="0"/>
              <w:suppressLineNumbers w:val="0"/>
              <w:bidi w:val="0"/>
              <w:spacing w:beforeAutospacing="0" w:afterAutospacing="0" w:line="276" w:lineRule="auto"/>
              <w:ind w:left="0" w:right="0"/>
              <w:rPr>
                <w:rFonts w:hint="default"/>
                <w:color w:val="1A15F1"/>
                <w:highlight w:val="none"/>
              </w:rPr>
            </w:pPr>
            <w:r>
              <w:rPr>
                <w:rFonts w:hint="eastAsia"/>
                <w:color w:val="1A15F1"/>
                <w:highlight w:val="none"/>
              </w:rPr>
              <w:t>民航</w:t>
            </w:r>
          </w:p>
        </w:tc>
        <w:tc>
          <w:tcPr>
            <w:tcW w:w="771" w:type="pct"/>
            <w:vAlign w:val="top"/>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color w:val="1A15F1"/>
                <w:kern w:val="2"/>
                <w:sz w:val="21"/>
                <w:szCs w:val="24"/>
                <w:highlight w:val="none"/>
                <w:lang w:val="en-US" w:eastAsia="zh-CN" w:bidi="ar-SA"/>
              </w:rPr>
            </w:pPr>
            <w:r>
              <w:rPr>
                <w:rFonts w:hint="eastAsia"/>
                <w:color w:val="1A15F1"/>
                <w:highlight w:val="none"/>
              </w:rPr>
              <w:t>铁路</w:t>
            </w:r>
          </w:p>
        </w:tc>
        <w:tc>
          <w:tcPr>
            <w:tcW w:w="769" w:type="pct"/>
          </w:tcPr>
          <w:p>
            <w:pPr>
              <w:pStyle w:val="28"/>
              <w:keepNext w:val="0"/>
              <w:keepLines w:val="0"/>
              <w:suppressLineNumbers w:val="0"/>
              <w:bidi w:val="0"/>
              <w:spacing w:beforeAutospacing="0" w:afterAutospacing="0" w:line="276" w:lineRule="auto"/>
              <w:ind w:left="0" w:right="0"/>
              <w:rPr>
                <w:rFonts w:hint="default"/>
                <w:color w:val="1A15F1"/>
                <w:highlight w:val="none"/>
              </w:rPr>
            </w:pPr>
            <w:r>
              <w:rPr>
                <w:rFonts w:hint="eastAsia"/>
                <w:color w:val="1A15F1"/>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4" w:type="pct"/>
          </w:tcPr>
          <w:p>
            <w:pPr>
              <w:pStyle w:val="28"/>
              <w:keepNext w:val="0"/>
              <w:keepLines w:val="0"/>
              <w:suppressLineNumbers w:val="0"/>
              <w:bidi w:val="0"/>
              <w:spacing w:beforeAutospacing="0" w:afterAutospacing="0" w:line="276" w:lineRule="auto"/>
              <w:ind w:left="0" w:right="0"/>
              <w:rPr>
                <w:rFonts w:hint="default"/>
                <w:color w:val="1A15F1"/>
                <w:highlight w:val="none"/>
              </w:rPr>
            </w:pPr>
            <w:r>
              <w:rPr>
                <w:rFonts w:hint="eastAsia"/>
                <w:color w:val="1A15F1"/>
                <w:highlight w:val="none"/>
              </w:rPr>
              <w:t>20</w:t>
            </w:r>
            <w:r>
              <w:rPr>
                <w:rFonts w:hint="eastAsia"/>
                <w:color w:val="1A15F1"/>
                <w:highlight w:val="none"/>
                <w:lang w:val="en-US" w:eastAsia="zh-CN"/>
              </w:rPr>
              <w:t>25</w:t>
            </w:r>
            <w:r>
              <w:rPr>
                <w:rFonts w:hint="eastAsia"/>
                <w:color w:val="1A15F1"/>
                <w:highlight w:val="none"/>
              </w:rPr>
              <w:t>年游客量（万人次）</w:t>
            </w:r>
          </w:p>
        </w:tc>
        <w:tc>
          <w:tcPr>
            <w:tcW w:w="1731" w:type="dxa"/>
            <w:vAlign w:val="center"/>
          </w:tcPr>
          <w:p>
            <w:pPr>
              <w:pStyle w:val="29"/>
              <w:keepNext w:val="0"/>
              <w:keepLines w:val="0"/>
              <w:suppressLineNumbers w:val="0"/>
              <w:bidi w:val="0"/>
              <w:spacing w:before="0" w:beforeAutospacing="0" w:after="0" w:afterAutospacing="0"/>
              <w:ind w:left="0" w:right="0"/>
              <w:rPr>
                <w:rFonts w:hint="default"/>
                <w:color w:val="1A15F1"/>
                <w:highlight w:val="none"/>
                <w:lang w:val="en-US" w:eastAsia="zh-CN"/>
              </w:rPr>
            </w:pPr>
            <w:r>
              <w:rPr>
                <w:rFonts w:hint="eastAsia"/>
                <w:color w:val="1A15F1"/>
                <w:highlight w:val="none"/>
                <w:lang w:val="en-US" w:eastAsia="zh-CN"/>
              </w:rPr>
              <w:t>1588.4</w:t>
            </w:r>
          </w:p>
        </w:tc>
        <w:tc>
          <w:tcPr>
            <w:tcW w:w="1482" w:type="dxa"/>
            <w:vAlign w:val="center"/>
          </w:tcPr>
          <w:p>
            <w:pPr>
              <w:pStyle w:val="29"/>
              <w:keepNext w:val="0"/>
              <w:keepLines w:val="0"/>
              <w:suppressLineNumbers w:val="0"/>
              <w:bidi w:val="0"/>
              <w:spacing w:before="0" w:beforeAutospacing="0" w:after="0" w:afterAutospacing="0"/>
              <w:ind w:left="0" w:right="0"/>
              <w:rPr>
                <w:rFonts w:hint="default"/>
                <w:color w:val="1A15F1"/>
                <w:highlight w:val="none"/>
                <w:lang w:val="en-US" w:eastAsia="zh-CN"/>
              </w:rPr>
            </w:pPr>
            <w:r>
              <w:rPr>
                <w:rFonts w:hint="eastAsia"/>
                <w:color w:val="1A15F1"/>
                <w:highlight w:val="none"/>
                <w:lang w:val="en-US" w:eastAsia="zh-CN"/>
              </w:rPr>
              <w:t>247</w:t>
            </w:r>
          </w:p>
        </w:tc>
        <w:tc>
          <w:tcPr>
            <w:tcW w:w="1315" w:type="dxa"/>
            <w:vAlign w:val="center"/>
          </w:tcPr>
          <w:p>
            <w:pPr>
              <w:pStyle w:val="29"/>
              <w:keepNext w:val="0"/>
              <w:keepLines w:val="0"/>
              <w:suppressLineNumbers w:val="0"/>
              <w:bidi w:val="0"/>
              <w:spacing w:before="0" w:beforeAutospacing="0" w:after="0" w:afterAutospacing="0"/>
              <w:ind w:left="0" w:right="0"/>
              <w:rPr>
                <w:rFonts w:hint="default"/>
                <w:color w:val="1A15F1"/>
                <w:highlight w:val="none"/>
                <w:lang w:val="en-US" w:eastAsia="zh-CN"/>
              </w:rPr>
            </w:pPr>
            <w:r>
              <w:rPr>
                <w:rFonts w:hint="eastAsia"/>
                <w:color w:val="1A15F1"/>
                <w:highlight w:val="none"/>
                <w:lang w:val="en-US" w:eastAsia="zh-CN"/>
              </w:rPr>
              <w:t>64.6</w:t>
            </w:r>
          </w:p>
        </w:tc>
        <w:tc>
          <w:tcPr>
            <w:tcW w:w="1312" w:type="dxa"/>
            <w:vAlign w:val="center"/>
          </w:tcPr>
          <w:p>
            <w:pPr>
              <w:pStyle w:val="29"/>
              <w:keepNext w:val="0"/>
              <w:keepLines w:val="0"/>
              <w:suppressLineNumbers w:val="0"/>
              <w:bidi w:val="0"/>
              <w:spacing w:before="0" w:beforeAutospacing="0" w:after="0" w:afterAutospacing="0"/>
              <w:ind w:left="0" w:right="0"/>
              <w:rPr>
                <w:rFonts w:hint="default"/>
                <w:color w:val="1A15F1"/>
                <w:highlight w:val="none"/>
                <w:lang w:val="en-US" w:eastAsia="zh-CN"/>
              </w:rPr>
            </w:pPr>
            <w:r>
              <w:rPr>
                <w:rFonts w:hint="eastAsia"/>
                <w:color w:val="1A15F1"/>
                <w:highlight w:val="none"/>
                <w:lang w:val="en-US" w:eastAsia="zh-CN"/>
              </w:rPr>
              <w:t>1873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4" w:type="pct"/>
          </w:tcPr>
          <w:p>
            <w:pPr>
              <w:pStyle w:val="28"/>
              <w:keepNext w:val="0"/>
              <w:keepLines w:val="0"/>
              <w:suppressLineNumbers w:val="0"/>
              <w:bidi w:val="0"/>
              <w:spacing w:beforeAutospacing="0" w:afterAutospacing="0" w:line="276" w:lineRule="auto"/>
              <w:ind w:left="0" w:right="0"/>
              <w:rPr>
                <w:rFonts w:hint="default"/>
                <w:color w:val="1A15F1"/>
                <w:highlight w:val="none"/>
              </w:rPr>
            </w:pPr>
            <w:r>
              <w:rPr>
                <w:rFonts w:hint="eastAsia"/>
                <w:color w:val="1A15F1"/>
                <w:highlight w:val="none"/>
              </w:rPr>
              <w:t>旅客周转量（万人千米）</w:t>
            </w:r>
          </w:p>
        </w:tc>
        <w:tc>
          <w:tcPr>
            <w:tcW w:w="1731" w:type="dxa"/>
            <w:vAlign w:val="center"/>
          </w:tcPr>
          <w:p>
            <w:pPr>
              <w:pStyle w:val="29"/>
              <w:keepNext w:val="0"/>
              <w:keepLines w:val="0"/>
              <w:suppressLineNumbers w:val="0"/>
              <w:bidi w:val="0"/>
              <w:spacing w:before="0" w:beforeAutospacing="0" w:after="0" w:afterAutospacing="0"/>
              <w:ind w:left="0" w:right="0"/>
              <w:rPr>
                <w:rFonts w:hint="default"/>
                <w:color w:val="1A15F1"/>
                <w:highlight w:val="none"/>
                <w:lang w:val="en-US" w:eastAsia="zh-CN"/>
              </w:rPr>
            </w:pPr>
            <w:r>
              <w:rPr>
                <w:rFonts w:hint="eastAsia"/>
                <w:color w:val="1A15F1"/>
                <w:highlight w:val="none"/>
                <w:lang w:val="en-US" w:eastAsia="zh-CN"/>
              </w:rPr>
              <w:t>293772.984</w:t>
            </w:r>
          </w:p>
        </w:tc>
        <w:tc>
          <w:tcPr>
            <w:tcW w:w="1482" w:type="dxa"/>
            <w:vAlign w:val="center"/>
          </w:tcPr>
          <w:p>
            <w:pPr>
              <w:pStyle w:val="29"/>
              <w:keepNext w:val="0"/>
              <w:keepLines w:val="0"/>
              <w:suppressLineNumbers w:val="0"/>
              <w:bidi w:val="0"/>
              <w:spacing w:before="0" w:beforeAutospacing="0" w:after="0" w:afterAutospacing="0"/>
              <w:ind w:left="0" w:right="0"/>
              <w:rPr>
                <w:rFonts w:hint="default"/>
                <w:color w:val="1A15F1"/>
                <w:highlight w:val="none"/>
                <w:lang w:val="en-US" w:eastAsia="zh-CN"/>
              </w:rPr>
            </w:pPr>
            <w:r>
              <w:rPr>
                <w:rFonts w:hint="eastAsia"/>
                <w:color w:val="1A15F1"/>
                <w:highlight w:val="none"/>
                <w:lang w:val="en-US" w:eastAsia="zh-CN"/>
              </w:rPr>
              <w:t>23712</w:t>
            </w:r>
          </w:p>
        </w:tc>
        <w:tc>
          <w:tcPr>
            <w:tcW w:w="1315" w:type="dxa"/>
            <w:vAlign w:val="center"/>
          </w:tcPr>
          <w:p>
            <w:pPr>
              <w:pStyle w:val="29"/>
              <w:keepNext w:val="0"/>
              <w:keepLines w:val="0"/>
              <w:suppressLineNumbers w:val="0"/>
              <w:bidi w:val="0"/>
              <w:spacing w:before="0" w:beforeAutospacing="0" w:after="0" w:afterAutospacing="0"/>
              <w:ind w:left="0" w:right="0"/>
              <w:rPr>
                <w:rFonts w:hint="default"/>
                <w:color w:val="1A15F1"/>
                <w:highlight w:val="none"/>
                <w:lang w:val="en-US" w:eastAsia="zh-CN"/>
              </w:rPr>
            </w:pPr>
            <w:r>
              <w:rPr>
                <w:rFonts w:hint="eastAsia"/>
                <w:color w:val="1A15F1"/>
                <w:highlight w:val="none"/>
                <w:lang w:val="en-US" w:eastAsia="zh-CN"/>
              </w:rPr>
              <w:t>5620.2</w:t>
            </w:r>
          </w:p>
        </w:tc>
        <w:tc>
          <w:tcPr>
            <w:tcW w:w="1312" w:type="dxa"/>
            <w:vAlign w:val="center"/>
          </w:tcPr>
          <w:p>
            <w:pPr>
              <w:pStyle w:val="29"/>
              <w:keepNext w:val="0"/>
              <w:keepLines w:val="0"/>
              <w:suppressLineNumbers w:val="0"/>
              <w:bidi w:val="0"/>
              <w:spacing w:before="0" w:beforeAutospacing="0" w:after="0" w:afterAutospacing="0"/>
              <w:ind w:left="0" w:right="0"/>
              <w:rPr>
                <w:rFonts w:hint="default"/>
                <w:color w:val="1A15F1"/>
                <w:highlight w:val="none"/>
                <w:lang w:val="en-US" w:eastAsia="zh-CN"/>
              </w:rPr>
            </w:pPr>
            <w:r>
              <w:rPr>
                <w:rFonts w:hint="eastAsia"/>
                <w:color w:val="1A15F1"/>
                <w:highlight w:val="none"/>
                <w:lang w:val="en-US" w:eastAsia="zh-CN"/>
              </w:rPr>
              <w:t>323105.184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4" w:type="pct"/>
          </w:tcPr>
          <w:p>
            <w:pPr>
              <w:pStyle w:val="28"/>
              <w:keepNext w:val="0"/>
              <w:keepLines w:val="0"/>
              <w:suppressLineNumbers w:val="0"/>
              <w:bidi w:val="0"/>
              <w:spacing w:beforeAutospacing="0" w:afterAutospacing="0" w:line="276" w:lineRule="auto"/>
              <w:ind w:left="0" w:right="0"/>
              <w:rPr>
                <w:rFonts w:hint="default"/>
                <w:color w:val="1A15F1"/>
                <w:highlight w:val="none"/>
              </w:rPr>
            </w:pPr>
            <w:r>
              <w:rPr>
                <w:rFonts w:hint="eastAsia"/>
                <w:color w:val="1A15F1"/>
                <w:highlight w:val="none"/>
              </w:rPr>
              <w:t>交通碳排放量（万t/a）</w:t>
            </w:r>
          </w:p>
        </w:tc>
        <w:tc>
          <w:tcPr>
            <w:tcW w:w="1731" w:type="dxa"/>
            <w:vAlign w:val="center"/>
          </w:tcPr>
          <w:p>
            <w:pPr>
              <w:pStyle w:val="29"/>
              <w:keepNext w:val="0"/>
              <w:keepLines w:val="0"/>
              <w:suppressLineNumbers w:val="0"/>
              <w:bidi w:val="0"/>
              <w:spacing w:before="0" w:beforeAutospacing="0" w:after="0" w:afterAutospacing="0"/>
              <w:ind w:left="0" w:right="0"/>
              <w:rPr>
                <w:rFonts w:hint="default"/>
                <w:color w:val="1A15F1"/>
                <w:highlight w:val="none"/>
                <w:lang w:val="en-US" w:eastAsia="zh-CN"/>
              </w:rPr>
            </w:pPr>
            <w:r>
              <w:rPr>
                <w:rFonts w:hint="eastAsia"/>
                <w:color w:val="1A15F1"/>
                <w:highlight w:val="none"/>
                <w:lang w:val="en-US" w:eastAsia="zh-CN"/>
              </w:rPr>
              <w:t>39.0716</w:t>
            </w:r>
          </w:p>
        </w:tc>
        <w:tc>
          <w:tcPr>
            <w:tcW w:w="1482" w:type="dxa"/>
            <w:vAlign w:val="center"/>
          </w:tcPr>
          <w:p>
            <w:pPr>
              <w:pStyle w:val="29"/>
              <w:keepNext w:val="0"/>
              <w:keepLines w:val="0"/>
              <w:suppressLineNumbers w:val="0"/>
              <w:bidi w:val="0"/>
              <w:spacing w:before="0" w:beforeAutospacing="0" w:after="0" w:afterAutospacing="0"/>
              <w:ind w:left="0" w:right="0"/>
              <w:rPr>
                <w:rFonts w:hint="default"/>
                <w:color w:val="1A15F1"/>
                <w:highlight w:val="none"/>
                <w:lang w:val="en-US" w:eastAsia="zh-CN"/>
              </w:rPr>
            </w:pPr>
            <w:r>
              <w:rPr>
                <w:rFonts w:hint="eastAsia"/>
                <w:color w:val="1A15F1"/>
                <w:highlight w:val="none"/>
                <w:lang w:val="en-US" w:eastAsia="zh-CN"/>
              </w:rPr>
              <w:t>3.2452</w:t>
            </w:r>
          </w:p>
        </w:tc>
        <w:tc>
          <w:tcPr>
            <w:tcW w:w="1315" w:type="dxa"/>
            <w:vAlign w:val="center"/>
          </w:tcPr>
          <w:p>
            <w:pPr>
              <w:pStyle w:val="29"/>
              <w:keepNext w:val="0"/>
              <w:keepLines w:val="0"/>
              <w:suppressLineNumbers w:val="0"/>
              <w:bidi w:val="0"/>
              <w:spacing w:before="0" w:beforeAutospacing="0" w:after="0" w:afterAutospacing="0"/>
              <w:ind w:left="0" w:right="0"/>
              <w:rPr>
                <w:rFonts w:hint="default"/>
                <w:color w:val="1A15F1"/>
                <w:highlight w:val="none"/>
                <w:lang w:val="en-US" w:eastAsia="zh-CN"/>
              </w:rPr>
            </w:pPr>
            <w:r>
              <w:rPr>
                <w:rFonts w:hint="eastAsia"/>
                <w:color w:val="1A15F1"/>
                <w:highlight w:val="none"/>
                <w:lang w:val="en-US" w:eastAsia="zh-CN"/>
              </w:rPr>
              <w:t>0.152</w:t>
            </w:r>
          </w:p>
        </w:tc>
        <w:tc>
          <w:tcPr>
            <w:tcW w:w="1312" w:type="dxa"/>
            <w:vAlign w:val="center"/>
          </w:tcPr>
          <w:p>
            <w:pPr>
              <w:pStyle w:val="29"/>
              <w:keepNext w:val="0"/>
              <w:keepLines w:val="0"/>
              <w:suppressLineNumbers w:val="0"/>
              <w:bidi w:val="0"/>
              <w:spacing w:before="0" w:beforeAutospacing="0" w:after="0" w:afterAutospacing="0"/>
              <w:ind w:left="0" w:right="0"/>
              <w:rPr>
                <w:rFonts w:hint="default"/>
                <w:color w:val="1A15F1"/>
                <w:highlight w:val="none"/>
                <w:lang w:val="en-US" w:eastAsia="zh-CN"/>
              </w:rPr>
            </w:pPr>
            <w:r>
              <w:rPr>
                <w:rFonts w:hint="eastAsia"/>
                <w:color w:val="1A15F1"/>
                <w:highlight w:val="none"/>
                <w:lang w:val="en-US" w:eastAsia="zh-CN"/>
              </w:rPr>
              <w:t>42.4688</w:t>
            </w:r>
          </w:p>
        </w:tc>
      </w:tr>
    </w:tbl>
    <w:p>
      <w:pPr>
        <w:pStyle w:val="6"/>
        <w:bidi w:val="0"/>
        <w:rPr>
          <w:rFonts w:hint="eastAsia"/>
          <w:color w:val="1A15F1"/>
          <w:highlight w:val="none"/>
        </w:rPr>
      </w:pPr>
      <w:r>
        <w:rPr>
          <w:rFonts w:hint="eastAsia"/>
          <w:color w:val="1A15F1"/>
          <w:highlight w:val="none"/>
        </w:rPr>
        <w:t>随着</w:t>
      </w:r>
      <w:r>
        <w:rPr>
          <w:rFonts w:hint="eastAsia"/>
          <w:color w:val="1A15F1"/>
          <w:highlight w:val="none"/>
          <w:lang w:val="en-US" w:eastAsia="zh-CN"/>
        </w:rPr>
        <w:t>林芝市</w:t>
      </w:r>
      <w:r>
        <w:rPr>
          <w:rFonts w:hint="eastAsia"/>
          <w:color w:val="1A15F1"/>
          <w:highlight w:val="none"/>
        </w:rPr>
        <w:t>交通项目的推进，路网的建设，铁路运输比例可能在</w:t>
      </w:r>
      <w:r>
        <w:rPr>
          <w:rFonts w:hint="eastAsia"/>
          <w:color w:val="1A15F1"/>
          <w:highlight w:val="none"/>
          <w:lang w:val="en-US" w:eastAsia="zh-CN"/>
        </w:rPr>
        <w:t>规划</w:t>
      </w:r>
      <w:r>
        <w:rPr>
          <w:rFonts w:hint="eastAsia"/>
          <w:color w:val="1A15F1"/>
          <w:highlight w:val="none"/>
        </w:rPr>
        <w:t>期间有所增加，旅游交通排放量会有所降低。</w:t>
      </w:r>
    </w:p>
    <w:p>
      <w:pPr>
        <w:pStyle w:val="6"/>
        <w:bidi w:val="0"/>
        <w:rPr>
          <w:highlight w:val="none"/>
        </w:rPr>
      </w:pPr>
      <w:r>
        <w:rPr>
          <w:rFonts w:hint="eastAsia" w:hAnsi="Cambria Math" w:eastAsia="宋体" w:cs="Times New Roman"/>
          <w:i w:val="0"/>
          <w:sz w:val="24"/>
          <w:szCs w:val="24"/>
          <w:highlight w:val="none"/>
          <w:lang w:eastAsia="zh-CN"/>
        </w:rPr>
        <w:t>②</w:t>
      </w:r>
      <w:r>
        <w:rPr>
          <w:rFonts w:hint="eastAsia"/>
          <w:highlight w:val="none"/>
        </w:rPr>
        <w:t>旅游活动碳排放量</w:t>
      </w:r>
    </w:p>
    <w:p>
      <w:pPr>
        <w:pStyle w:val="6"/>
        <w:bidi w:val="0"/>
        <w:rPr>
          <w:highlight w:val="none"/>
        </w:rPr>
      </w:pPr>
      <w:r>
        <w:rPr>
          <w:rFonts w:hint="eastAsia"/>
          <w:highlight w:val="none"/>
        </w:rPr>
        <w:t>旅游活动碳排放量计算公式为：</w:t>
      </w:r>
    </w:p>
    <w:p>
      <w:pPr>
        <w:spacing w:line="360" w:lineRule="auto"/>
        <w:ind w:firstLine="480" w:firstLineChars="200"/>
        <w:rPr>
          <w:rFonts w:ascii="Times New Roman" w:hAnsi="Times New Roman" w:eastAsia="宋体" w:cs="Times New Roman"/>
          <w:sz w:val="24"/>
          <w:szCs w:val="24"/>
          <w:highlight w:val="none"/>
        </w:rPr>
      </w:pPr>
      <m:oMathPara>
        <m:oMath>
          <m:sSub>
            <m:sSubPr>
              <m:ctrlPr>
                <w:rPr>
                  <w:rFonts w:ascii="Cambria Math" w:hAnsi="Cambria Math" w:eastAsia="宋体" w:cs="Times New Roman"/>
                  <w:sz w:val="24"/>
                  <w:szCs w:val="24"/>
                  <w:highlight w:val="none"/>
                </w:rPr>
              </m:ctrlPr>
            </m:sSubPr>
            <m:e>
              <m:r>
                <m:rPr/>
                <w:rPr>
                  <w:rFonts w:ascii="Cambria Math" w:hAnsi="Cambria Math" w:eastAsia="宋体" w:cs="Times New Roman"/>
                  <w:sz w:val="24"/>
                  <w:szCs w:val="24"/>
                  <w:highlight w:val="none"/>
                </w:rPr>
                <m:t>C</m:t>
              </m:r>
              <m:ctrlPr>
                <w:rPr>
                  <w:rFonts w:ascii="Cambria Math" w:hAnsi="Cambria Math" w:eastAsia="宋体" w:cs="Times New Roman"/>
                  <w:sz w:val="24"/>
                  <w:szCs w:val="24"/>
                  <w:highlight w:val="none"/>
                </w:rPr>
              </m:ctrlPr>
            </m:e>
            <m:sub>
              <m:r>
                <m:rPr/>
                <w:rPr>
                  <w:rFonts w:ascii="Cambria Math" w:hAnsi="Cambria Math" w:eastAsia="宋体" w:cs="Times New Roman"/>
                  <w:sz w:val="24"/>
                  <w:szCs w:val="24"/>
                  <w:highlight w:val="none"/>
                </w:rPr>
                <m:t>Rt</m:t>
              </m:r>
              <m:ctrlPr>
                <w:rPr>
                  <w:rFonts w:ascii="Cambria Math" w:hAnsi="Cambria Math" w:eastAsia="宋体" w:cs="Times New Roman"/>
                  <w:sz w:val="24"/>
                  <w:szCs w:val="24"/>
                  <w:highlight w:val="none"/>
                </w:rPr>
              </m:ctrlPr>
            </m:sub>
          </m:sSub>
          <m:r>
            <m:rPr/>
            <w:rPr>
              <w:rFonts w:ascii="Cambria Math" w:hAnsi="Cambria Math" w:eastAsia="宋体" w:cs="Times New Roman"/>
              <w:sz w:val="24"/>
              <w:szCs w:val="24"/>
              <w:highlight w:val="none"/>
            </w:rPr>
            <m:t>=</m:t>
          </m:r>
          <m:nary>
            <m:naryPr>
              <m:chr m:val="∑"/>
              <m:limLoc m:val="undOvr"/>
              <m:ctrlPr>
                <w:rPr>
                  <w:rFonts w:ascii="Cambria Math" w:hAnsi="Cambria Math" w:eastAsia="宋体" w:cs="Times New Roman"/>
                  <w:i/>
                  <w:sz w:val="24"/>
                  <w:szCs w:val="24"/>
                  <w:highlight w:val="none"/>
                </w:rPr>
              </m:ctrlPr>
            </m:naryPr>
            <m:sub>
              <m:r>
                <m:rPr/>
                <w:rPr>
                  <w:rFonts w:ascii="Cambria Math" w:hAnsi="Cambria Math" w:eastAsia="宋体" w:cs="Times New Roman"/>
                  <w:sz w:val="24"/>
                  <w:szCs w:val="24"/>
                  <w:highlight w:val="none"/>
                </w:rPr>
                <m:t>i=1</m:t>
              </m:r>
              <m:ctrlPr>
                <w:rPr>
                  <w:rFonts w:ascii="Cambria Math" w:hAnsi="Cambria Math" w:eastAsia="宋体" w:cs="Times New Roman"/>
                  <w:i/>
                  <w:sz w:val="24"/>
                  <w:szCs w:val="24"/>
                  <w:highlight w:val="none"/>
                </w:rPr>
              </m:ctrlPr>
            </m:sub>
            <m:sup>
              <m:r>
                <m:rPr/>
                <w:rPr>
                  <w:rFonts w:ascii="Cambria Math" w:hAnsi="Cambria Math" w:eastAsia="宋体" w:cs="Times New Roman"/>
                  <w:sz w:val="24"/>
                  <w:szCs w:val="24"/>
                  <w:highlight w:val="none"/>
                </w:rPr>
                <m:t>n</m:t>
              </m:r>
              <m:ctrlPr>
                <w:rPr>
                  <w:rFonts w:ascii="Cambria Math" w:hAnsi="Cambria Math" w:eastAsia="宋体" w:cs="Times New Roman"/>
                  <w:i/>
                  <w:sz w:val="24"/>
                  <w:szCs w:val="24"/>
                  <w:highlight w:val="none"/>
                </w:rPr>
              </m:ctrlPr>
            </m:sup>
            <m:e>
              <m:d>
                <m:dPr>
                  <m:ctrlPr>
                    <w:rPr>
                      <w:rFonts w:ascii="Cambria Math" w:hAnsi="Cambria Math" w:eastAsia="宋体" w:cs="Times New Roman"/>
                      <w:i/>
                      <w:sz w:val="24"/>
                      <w:szCs w:val="24"/>
                      <w:highlight w:val="none"/>
                    </w:rPr>
                  </m:ctrlPr>
                </m:dPr>
                <m:e>
                  <m:sSub>
                    <m:sSubPr>
                      <m:ctrlPr>
                        <w:rPr>
                          <w:rFonts w:ascii="Cambria Math" w:hAnsi="Cambria Math" w:eastAsia="宋体" w:cs="Times New Roman"/>
                          <w:i/>
                          <w:sz w:val="24"/>
                          <w:szCs w:val="24"/>
                          <w:highlight w:val="none"/>
                        </w:rPr>
                      </m:ctrlPr>
                    </m:sSubPr>
                    <m:e>
                      <m:r>
                        <m:rPr/>
                        <w:rPr>
                          <w:rFonts w:ascii="Cambria Math" w:hAnsi="Cambria Math" w:eastAsia="宋体" w:cs="Times New Roman"/>
                          <w:sz w:val="24"/>
                          <w:szCs w:val="24"/>
                          <w:highlight w:val="none"/>
                        </w:rPr>
                        <m:t>N</m:t>
                      </m:r>
                      <m:ctrlPr>
                        <w:rPr>
                          <w:rFonts w:ascii="Cambria Math" w:hAnsi="Cambria Math" w:eastAsia="宋体" w:cs="Times New Roman"/>
                          <w:i/>
                          <w:sz w:val="24"/>
                          <w:szCs w:val="24"/>
                          <w:highlight w:val="none"/>
                        </w:rPr>
                      </m:ctrlPr>
                    </m:e>
                    <m:sub>
                      <m:r>
                        <m:rPr/>
                        <w:rPr>
                          <w:rFonts w:ascii="Cambria Math" w:hAnsi="Cambria Math" w:eastAsia="宋体" w:cs="Times New Roman"/>
                          <w:sz w:val="24"/>
                          <w:szCs w:val="24"/>
                          <w:highlight w:val="none"/>
                        </w:rPr>
                        <m:t>t</m:t>
                      </m:r>
                      <m:ctrlPr>
                        <w:rPr>
                          <w:rFonts w:ascii="Cambria Math" w:hAnsi="Cambria Math" w:eastAsia="宋体" w:cs="Times New Roman"/>
                          <w:i/>
                          <w:sz w:val="24"/>
                          <w:szCs w:val="24"/>
                          <w:highlight w:val="none"/>
                        </w:rPr>
                      </m:ctrlPr>
                    </m:sub>
                  </m:sSub>
                  <m:r>
                    <m:rPr/>
                    <w:rPr>
                      <w:rFonts w:ascii="Cambria Math" w:hAnsi="Cambria Math" w:eastAsia="宋体" w:cs="Times New Roman"/>
                      <w:sz w:val="24"/>
                      <w:szCs w:val="24"/>
                      <w:highlight w:val="none"/>
                    </w:rPr>
                    <m:t>×</m:t>
                  </m:r>
                  <m:sSub>
                    <m:sSubPr>
                      <m:ctrlPr>
                        <w:rPr>
                          <w:rFonts w:ascii="Cambria Math" w:hAnsi="Cambria Math" w:eastAsia="宋体" w:cs="Times New Roman"/>
                          <w:i/>
                          <w:sz w:val="24"/>
                          <w:szCs w:val="24"/>
                          <w:highlight w:val="none"/>
                        </w:rPr>
                      </m:ctrlPr>
                    </m:sSubPr>
                    <m:e>
                      <m:r>
                        <m:rPr/>
                        <w:rPr>
                          <w:rFonts w:ascii="Cambria Math" w:hAnsi="Cambria Math" w:eastAsia="宋体" w:cs="Times New Roman"/>
                          <w:sz w:val="24"/>
                          <w:szCs w:val="24"/>
                          <w:highlight w:val="none"/>
                        </w:rPr>
                        <m:t>w</m:t>
                      </m:r>
                      <m:ctrlPr>
                        <w:rPr>
                          <w:rFonts w:ascii="Cambria Math" w:hAnsi="Cambria Math" w:eastAsia="宋体" w:cs="Times New Roman"/>
                          <w:i/>
                          <w:sz w:val="24"/>
                          <w:szCs w:val="24"/>
                          <w:highlight w:val="none"/>
                        </w:rPr>
                      </m:ctrlPr>
                    </m:e>
                    <m:sub>
                      <m:r>
                        <m:rPr/>
                        <w:rPr>
                          <w:rFonts w:ascii="Cambria Math" w:hAnsi="Cambria Math" w:eastAsia="宋体" w:cs="Times New Roman"/>
                          <w:sz w:val="24"/>
                          <w:szCs w:val="24"/>
                          <w:highlight w:val="none"/>
                        </w:rPr>
                        <m:t>i</m:t>
                      </m:r>
                      <m:ctrlPr>
                        <w:rPr>
                          <w:rFonts w:ascii="Cambria Math" w:hAnsi="Cambria Math" w:eastAsia="宋体" w:cs="Times New Roman"/>
                          <w:i/>
                          <w:sz w:val="24"/>
                          <w:szCs w:val="24"/>
                          <w:highlight w:val="none"/>
                        </w:rPr>
                      </m:ctrlPr>
                    </m:sub>
                  </m:sSub>
                  <m:r>
                    <m:rPr/>
                    <w:rPr>
                      <w:rFonts w:ascii="Cambria Math" w:hAnsi="Cambria Math" w:eastAsia="宋体" w:cs="Times New Roman"/>
                      <w:sz w:val="24"/>
                      <w:szCs w:val="24"/>
                      <w:highlight w:val="none"/>
                    </w:rPr>
                    <m:t>×</m:t>
                  </m:r>
                  <m:sSub>
                    <m:sSubPr>
                      <m:ctrlPr>
                        <w:rPr>
                          <w:rFonts w:ascii="Cambria Math" w:hAnsi="Cambria Math" w:eastAsia="宋体" w:cs="Times New Roman"/>
                          <w:i/>
                          <w:sz w:val="24"/>
                          <w:szCs w:val="24"/>
                          <w:highlight w:val="none"/>
                        </w:rPr>
                      </m:ctrlPr>
                    </m:sSubPr>
                    <m:e>
                      <m:r>
                        <m:rPr/>
                        <w:rPr>
                          <w:rFonts w:ascii="Cambria Math" w:hAnsi="Cambria Math" w:eastAsia="宋体" w:cs="Times New Roman"/>
                          <w:sz w:val="24"/>
                          <w:szCs w:val="24"/>
                          <w:highlight w:val="none"/>
                        </w:rPr>
                        <m:t>P</m:t>
                      </m:r>
                      <m:ctrlPr>
                        <w:rPr>
                          <w:rFonts w:ascii="Cambria Math" w:hAnsi="Cambria Math" w:eastAsia="宋体" w:cs="Times New Roman"/>
                          <w:i/>
                          <w:sz w:val="24"/>
                          <w:szCs w:val="24"/>
                          <w:highlight w:val="none"/>
                        </w:rPr>
                      </m:ctrlPr>
                    </m:e>
                    <m:sub>
                      <m:r>
                        <m:rPr/>
                        <w:rPr>
                          <w:rFonts w:ascii="Cambria Math" w:hAnsi="Cambria Math" w:eastAsia="宋体" w:cs="Times New Roman"/>
                          <w:sz w:val="24"/>
                          <w:szCs w:val="24"/>
                          <w:highlight w:val="none"/>
                        </w:rPr>
                        <m:t>Ri</m:t>
                      </m:r>
                      <m:ctrlPr>
                        <w:rPr>
                          <w:rFonts w:ascii="Cambria Math" w:hAnsi="Cambria Math" w:eastAsia="宋体" w:cs="Times New Roman"/>
                          <w:i/>
                          <w:sz w:val="24"/>
                          <w:szCs w:val="24"/>
                          <w:highlight w:val="none"/>
                        </w:rPr>
                      </m:ctrlPr>
                    </m:sub>
                  </m:sSub>
                  <m:ctrlPr>
                    <w:rPr>
                      <w:rFonts w:ascii="Cambria Math" w:hAnsi="Cambria Math" w:eastAsia="宋体" w:cs="Times New Roman"/>
                      <w:i/>
                      <w:sz w:val="24"/>
                      <w:szCs w:val="24"/>
                      <w:highlight w:val="none"/>
                    </w:rPr>
                  </m:ctrlPr>
                </m:e>
              </m:d>
              <m:ctrlPr>
                <w:rPr>
                  <w:rFonts w:ascii="Cambria Math" w:hAnsi="Cambria Math" w:eastAsia="宋体" w:cs="Times New Roman"/>
                  <w:i/>
                  <w:sz w:val="24"/>
                  <w:szCs w:val="24"/>
                  <w:highlight w:val="none"/>
                </w:rPr>
              </m:ctrlPr>
            </m:e>
          </m:nary>
        </m:oMath>
      </m:oMathPara>
    </w:p>
    <w:p>
      <w:pPr>
        <w:pStyle w:val="6"/>
        <w:bidi w:val="0"/>
        <w:rPr>
          <w:highlight w:val="none"/>
        </w:rPr>
      </w:pPr>
      <w:r>
        <w:rPr>
          <w:rFonts w:hint="eastAsia"/>
          <w:highlight w:val="none"/>
        </w:rPr>
        <w:t>式中</w:t>
      </w:r>
      <w:r>
        <w:rPr>
          <w:rFonts w:hint="eastAsia"/>
          <w:highlight w:val="none"/>
          <w:lang w:eastAsia="zh-CN"/>
        </w:rPr>
        <w:t>：</w:t>
      </w:r>
      <m:oMath>
        <m:r>
          <m:rPr>
            <m:sty m:val="p"/>
          </m:rPr>
          <w:rPr>
            <w:rFonts w:ascii="Cambria Math" w:hAnsi="Cambria Math"/>
            <w:highlight w:val="none"/>
          </w:rPr>
          <m:t xml:space="preserve"> </m:t>
        </m:r>
        <m:sSub>
          <m:sSubPr>
            <m:ctrlPr>
              <w:rPr>
                <w:rFonts w:ascii="Cambria Math" w:hAnsi="Cambria Math"/>
                <w:highlight w:val="none"/>
              </w:rPr>
            </m:ctrlPr>
          </m:sSubPr>
          <m:e>
            <m:r>
              <m:rPr>
                <m:sty m:val="p"/>
              </m:rPr>
              <w:rPr>
                <w:rFonts w:ascii="Cambria Math" w:hAnsi="Cambria Math"/>
                <w:highlight w:val="none"/>
              </w:rPr>
              <m:t>C</m:t>
            </m:r>
            <m:ctrlPr>
              <w:rPr>
                <w:rFonts w:ascii="Cambria Math" w:hAnsi="Cambria Math"/>
                <w:highlight w:val="none"/>
              </w:rPr>
            </m:ctrlPr>
          </m:e>
          <m:sub>
            <m:r>
              <m:rPr>
                <m:sty m:val="p"/>
              </m:rPr>
              <w:rPr>
                <w:rFonts w:ascii="Cambria Math" w:hAnsi="Cambria Math"/>
                <w:highlight w:val="none"/>
              </w:rPr>
              <m:t>Rt</m:t>
            </m:r>
            <m:ctrlPr>
              <w:rPr>
                <w:rFonts w:ascii="Cambria Math" w:hAnsi="Cambria Math"/>
                <w:highlight w:val="none"/>
              </w:rPr>
            </m:ctrlPr>
          </m:sub>
        </m:sSub>
      </m:oMath>
      <w:r>
        <w:rPr>
          <w:highlight w:val="none"/>
        </w:rPr>
        <w:t>：</w:t>
      </w:r>
      <w:r>
        <w:rPr>
          <w:rFonts w:hint="eastAsia"/>
          <w:highlight w:val="none"/>
        </w:rPr>
        <w:t>为旅游活动碳排放量；</w:t>
      </w:r>
    </w:p>
    <w:p>
      <w:pPr>
        <w:pStyle w:val="6"/>
        <w:bidi w:val="0"/>
        <w:ind w:firstLine="720" w:firstLineChars="300"/>
        <w:rPr>
          <w:highlight w:val="none"/>
        </w:rPr>
      </w:pPr>
      <m:oMath>
        <m:r>
          <m:rPr>
            <m:sty m:val="p"/>
          </m:rPr>
          <w:rPr>
            <w:rFonts w:ascii="Cambria Math" w:hAnsi="Cambria Math"/>
            <w:highlight w:val="none"/>
          </w:rPr>
          <m:t xml:space="preserve">          </m:t>
        </m:r>
        <m:sSub>
          <m:sSubPr>
            <m:ctrlPr>
              <w:rPr>
                <w:rFonts w:ascii="Cambria Math" w:hAnsi="Cambria Math"/>
                <w:highlight w:val="none"/>
              </w:rPr>
            </m:ctrlPr>
          </m:sSubPr>
          <m:e>
            <m:r>
              <m:rPr>
                <m:sty m:val="p"/>
              </m:rPr>
              <w:rPr>
                <w:rFonts w:ascii="Cambria Math" w:hAnsi="Cambria Math"/>
                <w:highlight w:val="none"/>
              </w:rPr>
              <m:t>N</m:t>
            </m:r>
            <m:ctrlPr>
              <w:rPr>
                <w:rFonts w:ascii="Cambria Math" w:hAnsi="Cambria Math"/>
                <w:highlight w:val="none"/>
              </w:rPr>
            </m:ctrlPr>
          </m:e>
          <m:sub>
            <m:r>
              <m:rPr>
                <m:sty m:val="p"/>
              </m:rPr>
              <w:rPr>
                <w:rFonts w:ascii="Cambria Math" w:hAnsi="Cambria Math"/>
                <w:highlight w:val="none"/>
              </w:rPr>
              <m:t>t</m:t>
            </m:r>
            <m:ctrlPr>
              <w:rPr>
                <w:rFonts w:ascii="Cambria Math" w:hAnsi="Cambria Math"/>
                <w:highlight w:val="none"/>
              </w:rPr>
            </m:ctrlPr>
          </m:sub>
        </m:sSub>
      </m:oMath>
      <w:r>
        <w:rPr>
          <w:highlight w:val="none"/>
        </w:rPr>
        <w:t>：</w:t>
      </w:r>
      <w:r>
        <w:rPr>
          <w:rFonts w:hint="eastAsia"/>
          <w:highlight w:val="none"/>
        </w:rPr>
        <w:t>为</w:t>
      </w:r>
      <w:r>
        <w:rPr>
          <w:highlight w:val="none"/>
        </w:rPr>
        <w:t xml:space="preserve">t </w:t>
      </w:r>
      <w:r>
        <w:rPr>
          <w:rFonts w:hint="eastAsia"/>
          <w:highlight w:val="none"/>
        </w:rPr>
        <w:t>时期的游客总数；</w:t>
      </w:r>
    </w:p>
    <w:p>
      <w:pPr>
        <w:pStyle w:val="6"/>
        <w:bidi w:val="0"/>
        <w:ind w:firstLine="1200" w:firstLineChars="500"/>
        <w:rPr>
          <w:highlight w:val="none"/>
        </w:rPr>
      </w:pPr>
      <m:oMath>
        <m:sSub>
          <m:sSubPr>
            <m:ctrlPr>
              <w:rPr>
                <w:rFonts w:ascii="Cambria Math" w:hAnsi="Cambria Math"/>
                <w:highlight w:val="none"/>
              </w:rPr>
            </m:ctrlPr>
          </m:sSubPr>
          <m:e>
            <m:r>
              <m:rPr>
                <m:sty m:val="p"/>
              </m:rPr>
              <w:rPr>
                <w:rFonts w:ascii="Cambria Math" w:hAnsi="Cambria Math"/>
                <w:highlight w:val="none"/>
              </w:rPr>
              <m:t>w</m:t>
            </m:r>
            <m:ctrlPr>
              <w:rPr>
                <w:rFonts w:ascii="Cambria Math" w:hAnsi="Cambria Math"/>
                <w:highlight w:val="none"/>
              </w:rPr>
            </m:ctrlPr>
          </m:e>
          <m:sub>
            <m:r>
              <m:rPr>
                <m:sty m:val="p"/>
              </m:rPr>
              <w:rPr>
                <w:rFonts w:ascii="Cambria Math" w:hAnsi="Cambria Math"/>
                <w:highlight w:val="none"/>
              </w:rPr>
              <m:t>i</m:t>
            </m:r>
            <m:ctrlPr>
              <w:rPr>
                <w:rFonts w:ascii="Cambria Math" w:hAnsi="Cambria Math"/>
                <w:highlight w:val="none"/>
              </w:rPr>
            </m:ctrlPr>
          </m:sub>
        </m:sSub>
      </m:oMath>
      <w:r>
        <w:rPr>
          <w:highlight w:val="none"/>
        </w:rPr>
        <w:t>：</w:t>
      </w:r>
      <w:r>
        <w:rPr>
          <w:rFonts w:hint="eastAsia"/>
          <w:highlight w:val="none"/>
        </w:rPr>
        <w:t>为</w:t>
      </w:r>
      <w:r>
        <w:rPr>
          <w:highlight w:val="none"/>
        </w:rPr>
        <w:t xml:space="preserve">i </w:t>
      </w:r>
      <w:r>
        <w:rPr>
          <w:rFonts w:hint="eastAsia"/>
          <w:highlight w:val="none"/>
        </w:rPr>
        <w:t>类出游目的的游客比例；</w:t>
      </w:r>
      <w:r>
        <w:rPr>
          <w:highlight w:val="none"/>
        </w:rPr>
        <w:t xml:space="preserve"> </w:t>
      </w:r>
    </w:p>
    <w:p>
      <w:pPr>
        <w:pStyle w:val="6"/>
        <w:bidi w:val="0"/>
        <w:ind w:firstLine="1200" w:firstLineChars="500"/>
        <w:rPr>
          <w:highlight w:val="none"/>
        </w:rPr>
      </w:pPr>
      <m:oMath>
        <m:sSub>
          <m:sSubPr>
            <m:ctrlPr>
              <w:rPr>
                <w:rFonts w:ascii="Cambria Math" w:hAnsi="Cambria Math"/>
                <w:highlight w:val="none"/>
              </w:rPr>
            </m:ctrlPr>
          </m:sSubPr>
          <m:e>
            <m:r>
              <m:rPr>
                <m:sty m:val="p"/>
              </m:rPr>
              <w:rPr>
                <w:rFonts w:ascii="Cambria Math" w:hAnsi="Cambria Math"/>
                <w:highlight w:val="none"/>
              </w:rPr>
              <m:t>P</m:t>
            </m:r>
            <m:ctrlPr>
              <w:rPr>
                <w:rFonts w:ascii="Cambria Math" w:hAnsi="Cambria Math"/>
                <w:highlight w:val="none"/>
              </w:rPr>
            </m:ctrlPr>
          </m:e>
          <m:sub>
            <m:r>
              <m:rPr>
                <m:sty m:val="p"/>
              </m:rPr>
              <w:rPr>
                <w:rFonts w:ascii="Cambria Math" w:hAnsi="Cambria Math"/>
                <w:highlight w:val="none"/>
              </w:rPr>
              <m:t>Ri</m:t>
            </m:r>
            <m:ctrlPr>
              <w:rPr>
                <w:rFonts w:ascii="Cambria Math" w:hAnsi="Cambria Math"/>
                <w:highlight w:val="none"/>
              </w:rPr>
            </m:ctrlPr>
          </m:sub>
        </m:sSub>
      </m:oMath>
      <w:r>
        <w:rPr>
          <w:highlight w:val="none"/>
        </w:rPr>
        <w:t xml:space="preserve"> </w:t>
      </w:r>
      <w:r>
        <w:rPr>
          <w:rFonts w:hint="eastAsia"/>
          <w:highlight w:val="none"/>
        </w:rPr>
        <w:t>：为</w:t>
      </w:r>
      <w:r>
        <w:rPr>
          <w:highlight w:val="none"/>
        </w:rPr>
        <w:t xml:space="preserve">i </w:t>
      </w:r>
      <w:r>
        <w:rPr>
          <w:rFonts w:hint="eastAsia"/>
          <w:highlight w:val="none"/>
        </w:rPr>
        <w:t>类活动的单位碳排放系数</w:t>
      </w:r>
      <w:r>
        <w:rPr>
          <w:highlight w:val="none"/>
        </w:rPr>
        <w:t xml:space="preserve">( kg / </w:t>
      </w:r>
      <w:r>
        <w:rPr>
          <w:rFonts w:hint="eastAsia"/>
          <w:highlight w:val="none"/>
        </w:rPr>
        <w:t>人</w:t>
      </w:r>
      <w:r>
        <w:rPr>
          <w:highlight w:val="none"/>
        </w:rPr>
        <w:t xml:space="preserve">) </w:t>
      </w:r>
      <w:r>
        <w:rPr>
          <w:rFonts w:hint="eastAsia"/>
          <w:highlight w:val="none"/>
        </w:rPr>
        <w:t>。</w:t>
      </w:r>
    </w:p>
    <w:p>
      <w:pPr>
        <w:pStyle w:val="6"/>
        <w:bidi w:val="0"/>
        <w:rPr>
          <w:color w:val="1A15F1"/>
          <w:highlight w:val="none"/>
        </w:rPr>
      </w:pPr>
      <w:r>
        <w:rPr>
          <w:rFonts w:hint="eastAsia"/>
          <w:highlight w:val="none"/>
        </w:rPr>
        <w:t>按照规划末年旅游人数，分别根据入境旅游者和国内游客的来</w:t>
      </w:r>
      <w:r>
        <w:rPr>
          <w:rFonts w:hint="eastAsia"/>
          <w:highlight w:val="none"/>
          <w:lang w:val="en-US" w:eastAsia="zh-CN"/>
        </w:rPr>
        <w:t>林芝</w:t>
      </w:r>
      <w:r>
        <w:rPr>
          <w:rFonts w:hint="eastAsia"/>
          <w:highlight w:val="none"/>
        </w:rPr>
        <w:t>目的计算其碳排放量。其根据《</w:t>
      </w:r>
      <w:r>
        <w:rPr>
          <w:highlight w:val="none"/>
        </w:rPr>
        <w:t>Decoupling Indicators of</w:t>
      </w:r>
      <w:r>
        <w:rPr>
          <w:rFonts w:hint="eastAsia"/>
          <w:highlight w:val="none"/>
        </w:rPr>
        <w:t xml:space="preserve"> </w:t>
      </w:r>
      <w:r>
        <w:rPr>
          <w:highlight w:val="none"/>
        </w:rPr>
        <w:t>CO2 Emissions from the Tourism Industry in China》研究结论，其</w:t>
      </w:r>
      <w:r>
        <w:rPr>
          <w:rFonts w:hint="eastAsia"/>
          <w:highlight w:val="none"/>
        </w:rPr>
        <w:t>中观光旅游、休闲度假、商务会议、探亲访友及其他旅游活动的碳排放系数分别为0.417、1.67、0.786、0.591、0.172kg/人。由于缺乏对</w:t>
      </w:r>
      <w:r>
        <w:rPr>
          <w:rFonts w:hint="eastAsia"/>
          <w:highlight w:val="none"/>
          <w:lang w:val="en-US" w:eastAsia="zh-CN"/>
        </w:rPr>
        <w:t>林</w:t>
      </w:r>
      <w:r>
        <w:rPr>
          <w:rFonts w:hint="eastAsia"/>
          <w:color w:val="1A15F1"/>
          <w:highlight w:val="none"/>
          <w:lang w:val="en-US" w:eastAsia="zh-CN"/>
        </w:rPr>
        <w:t>芝市</w:t>
      </w:r>
      <w:r>
        <w:rPr>
          <w:rFonts w:hint="eastAsia"/>
          <w:color w:val="1A15F1"/>
          <w:highlight w:val="none"/>
        </w:rPr>
        <w:t>旅游目的人次比例相关研究，本次评价取平均值0.73kg/人次进行计算，结果如下：</w:t>
      </w:r>
    </w:p>
    <w:p>
      <w:pPr>
        <w:pStyle w:val="27"/>
        <w:bidi w:val="0"/>
        <w:rPr>
          <w:color w:val="1A15F1"/>
          <w:highlight w:val="none"/>
        </w:rPr>
      </w:pPr>
      <w:r>
        <w:rPr>
          <w:rFonts w:hint="eastAsia"/>
          <w:color w:val="1A15F1"/>
          <w:highlight w:val="none"/>
        </w:rPr>
        <w:t>表</w:t>
      </w:r>
      <w:r>
        <w:rPr>
          <w:rFonts w:hint="eastAsia"/>
          <w:color w:val="1A15F1"/>
          <w:highlight w:val="none"/>
          <w:lang w:val="en-US" w:eastAsia="zh-CN"/>
        </w:rPr>
        <w:t>5.4-2</w:t>
      </w:r>
      <w:r>
        <w:rPr>
          <w:rFonts w:hint="eastAsia"/>
          <w:color w:val="1A15F1"/>
          <w:highlight w:val="none"/>
        </w:rPr>
        <w:t xml:space="preserve">  规划末年</w:t>
      </w:r>
      <w:r>
        <w:rPr>
          <w:rFonts w:hint="eastAsia"/>
          <w:color w:val="1A15F1"/>
          <w:highlight w:val="none"/>
          <w:lang w:eastAsia="zh-CN"/>
        </w:rPr>
        <w:t>（</w:t>
      </w:r>
      <w:r>
        <w:rPr>
          <w:rFonts w:hint="eastAsia"/>
          <w:color w:val="1A15F1"/>
          <w:highlight w:val="none"/>
          <w:lang w:val="en-US" w:eastAsia="zh-CN"/>
        </w:rPr>
        <w:t>2025年</w:t>
      </w:r>
      <w:r>
        <w:rPr>
          <w:rFonts w:hint="eastAsia"/>
          <w:color w:val="1A15F1"/>
          <w:highlight w:val="none"/>
          <w:lang w:eastAsia="zh-CN"/>
        </w:rPr>
        <w:t>）</w:t>
      </w:r>
      <w:r>
        <w:rPr>
          <w:rFonts w:hint="eastAsia"/>
          <w:color w:val="1A15F1"/>
          <w:highlight w:val="none"/>
        </w:rPr>
        <w:t>旅游活动排放估算量</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1"/>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8" w:type="pct"/>
          </w:tcPr>
          <w:p>
            <w:pPr>
              <w:pStyle w:val="28"/>
              <w:keepNext w:val="0"/>
              <w:keepLines w:val="0"/>
              <w:suppressLineNumbers w:val="0"/>
              <w:bidi w:val="0"/>
              <w:spacing w:beforeAutospacing="0" w:afterAutospacing="0" w:line="276" w:lineRule="auto"/>
              <w:ind w:left="0" w:right="0"/>
              <w:rPr>
                <w:rFonts w:hint="default"/>
                <w:color w:val="1A15F1"/>
                <w:highlight w:val="none"/>
              </w:rPr>
            </w:pPr>
            <w:r>
              <w:rPr>
                <w:rFonts w:hint="eastAsia"/>
                <w:color w:val="1A15F1"/>
                <w:highlight w:val="none"/>
              </w:rPr>
              <w:t>项目</w:t>
            </w:r>
          </w:p>
        </w:tc>
        <w:tc>
          <w:tcPr>
            <w:tcW w:w="1381" w:type="pct"/>
          </w:tcPr>
          <w:p>
            <w:pPr>
              <w:pStyle w:val="28"/>
              <w:keepNext w:val="0"/>
              <w:keepLines w:val="0"/>
              <w:suppressLineNumbers w:val="0"/>
              <w:bidi w:val="0"/>
              <w:spacing w:beforeAutospacing="0" w:afterAutospacing="0" w:line="276" w:lineRule="auto"/>
              <w:ind w:left="0" w:right="0"/>
              <w:rPr>
                <w:rFonts w:hint="default"/>
                <w:color w:val="1A15F1"/>
                <w:highlight w:val="none"/>
              </w:rPr>
            </w:pPr>
            <w:r>
              <w:rPr>
                <w:rFonts w:hint="eastAsia"/>
                <w:color w:val="1A15F1"/>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8" w:type="pct"/>
          </w:tcPr>
          <w:p>
            <w:pPr>
              <w:pStyle w:val="28"/>
              <w:keepNext w:val="0"/>
              <w:keepLines w:val="0"/>
              <w:suppressLineNumbers w:val="0"/>
              <w:bidi w:val="0"/>
              <w:spacing w:beforeAutospacing="0" w:afterAutospacing="0" w:line="276" w:lineRule="auto"/>
              <w:ind w:left="0" w:right="0"/>
              <w:rPr>
                <w:rFonts w:hint="default"/>
                <w:color w:val="1A15F1"/>
                <w:highlight w:val="none"/>
              </w:rPr>
            </w:pPr>
            <w:r>
              <w:rPr>
                <w:rFonts w:hint="eastAsia"/>
                <w:color w:val="1A15F1"/>
                <w:highlight w:val="none"/>
                <w:lang w:val="en-US" w:eastAsia="zh-CN"/>
              </w:rPr>
              <w:t>2025</w:t>
            </w:r>
            <w:r>
              <w:rPr>
                <w:rFonts w:hint="eastAsia"/>
                <w:color w:val="1A15F1"/>
                <w:highlight w:val="none"/>
              </w:rPr>
              <w:t>年游客量（万人次）</w:t>
            </w:r>
          </w:p>
        </w:tc>
        <w:tc>
          <w:tcPr>
            <w:tcW w:w="1381" w:type="pct"/>
          </w:tcPr>
          <w:p>
            <w:pPr>
              <w:pStyle w:val="28"/>
              <w:keepNext w:val="0"/>
              <w:keepLines w:val="0"/>
              <w:suppressLineNumbers w:val="0"/>
              <w:bidi w:val="0"/>
              <w:spacing w:beforeAutospacing="0" w:afterAutospacing="0" w:line="276" w:lineRule="auto"/>
              <w:ind w:left="0" w:right="0"/>
              <w:rPr>
                <w:rFonts w:hint="default" w:eastAsia="宋体"/>
                <w:color w:val="1A15F1"/>
                <w:highlight w:val="none"/>
                <w:lang w:val="en-US" w:eastAsia="zh-CN"/>
              </w:rPr>
            </w:pPr>
            <w:r>
              <w:rPr>
                <w:rFonts w:hint="eastAsia"/>
                <w:color w:val="1A15F1"/>
                <w:highlight w:val="none"/>
                <w:lang w:val="en-US" w:eastAsia="zh-CN"/>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8" w:type="pct"/>
          </w:tcPr>
          <w:p>
            <w:pPr>
              <w:pStyle w:val="28"/>
              <w:keepNext w:val="0"/>
              <w:keepLines w:val="0"/>
              <w:suppressLineNumbers w:val="0"/>
              <w:bidi w:val="0"/>
              <w:spacing w:beforeAutospacing="0" w:afterAutospacing="0" w:line="276" w:lineRule="auto"/>
              <w:ind w:left="0" w:right="0"/>
              <w:rPr>
                <w:rFonts w:hint="default"/>
                <w:color w:val="1A15F1"/>
                <w:highlight w:val="none"/>
              </w:rPr>
            </w:pPr>
            <w:r>
              <w:rPr>
                <w:rFonts w:hint="eastAsia"/>
                <w:color w:val="1A15F1"/>
                <w:highlight w:val="none"/>
              </w:rPr>
              <w:t>旅游活动碳排放量（万t/a）</w:t>
            </w:r>
          </w:p>
        </w:tc>
        <w:tc>
          <w:tcPr>
            <w:tcW w:w="1381" w:type="pct"/>
            <w:vAlign w:val="bottom"/>
          </w:tcPr>
          <w:p>
            <w:pPr>
              <w:pStyle w:val="28"/>
              <w:keepNext w:val="0"/>
              <w:keepLines w:val="0"/>
              <w:suppressLineNumbers w:val="0"/>
              <w:bidi w:val="0"/>
              <w:spacing w:beforeAutospacing="0" w:afterAutospacing="0" w:line="276" w:lineRule="auto"/>
              <w:ind w:left="0" w:right="0"/>
              <w:rPr>
                <w:rFonts w:hint="default" w:eastAsia="宋体"/>
                <w:color w:val="1A15F1"/>
                <w:highlight w:val="none"/>
                <w:lang w:val="en-US" w:eastAsia="zh-CN"/>
              </w:rPr>
            </w:pPr>
            <w:r>
              <w:rPr>
                <w:rFonts w:hint="eastAsia"/>
                <w:color w:val="1A15F1"/>
                <w:highlight w:val="none"/>
                <w:lang w:val="en-US" w:eastAsia="zh-CN"/>
              </w:rPr>
              <w:t>1.38</w:t>
            </w:r>
          </w:p>
        </w:tc>
      </w:tr>
    </w:tbl>
    <w:p>
      <w:pPr>
        <w:pStyle w:val="28"/>
        <w:bidi w:val="0"/>
        <w:rPr>
          <w:color w:val="1A15F1"/>
          <w:highlight w:val="none"/>
        </w:rPr>
      </w:pPr>
      <w:r>
        <w:rPr>
          <w:rFonts w:hint="eastAsia" w:hAnsi="Cambria Math" w:eastAsia="宋体" w:cs="Times New Roman"/>
          <w:i w:val="0"/>
          <w:color w:val="1A15F1"/>
          <w:sz w:val="24"/>
          <w:szCs w:val="24"/>
          <w:highlight w:val="none"/>
          <w:lang w:eastAsia="zh-CN"/>
        </w:rPr>
        <w:t>③</w:t>
      </w:r>
      <w:r>
        <w:rPr>
          <w:rFonts w:hint="eastAsia"/>
          <w:color w:val="1A15F1"/>
          <w:highlight w:val="none"/>
        </w:rPr>
        <w:t>通过上述估算，到规划末</w:t>
      </w:r>
      <w:r>
        <w:rPr>
          <w:rFonts w:hint="eastAsia"/>
          <w:color w:val="1A15F1"/>
          <w:highlight w:val="none"/>
          <w:lang w:val="en-US" w:eastAsia="zh-CN"/>
        </w:rPr>
        <w:t>2025</w:t>
      </w:r>
      <w:r>
        <w:rPr>
          <w:rFonts w:hint="eastAsia"/>
          <w:color w:val="1A15F1"/>
          <w:highlight w:val="none"/>
        </w:rPr>
        <w:t>年，交通排放量</w:t>
      </w:r>
      <w:r>
        <w:rPr>
          <w:rFonts w:hint="eastAsia"/>
          <w:color w:val="1A15F1"/>
          <w:highlight w:val="none"/>
          <w:lang w:val="en-US" w:eastAsia="zh-CN"/>
        </w:rPr>
        <w:t>及</w:t>
      </w:r>
      <w:r>
        <w:rPr>
          <w:rFonts w:hint="eastAsia"/>
          <w:color w:val="1A15F1"/>
          <w:highlight w:val="none"/>
        </w:rPr>
        <w:t>旅游活动碳排放量</w:t>
      </w:r>
      <w:r>
        <w:rPr>
          <w:rFonts w:hint="eastAsia"/>
          <w:color w:val="1A15F1"/>
          <w:highlight w:val="none"/>
          <w:lang w:val="en-US" w:eastAsia="zh-CN"/>
        </w:rPr>
        <w:t>总和</w:t>
      </w:r>
      <w:r>
        <w:rPr>
          <w:rFonts w:hint="eastAsia"/>
          <w:color w:val="1A15F1"/>
          <w:highlight w:val="none"/>
        </w:rPr>
        <w:t>约为</w:t>
      </w:r>
      <w:r>
        <w:rPr>
          <w:rFonts w:hint="eastAsia"/>
          <w:color w:val="1A15F1"/>
          <w:highlight w:val="none"/>
          <w:lang w:val="en-US" w:eastAsia="zh-CN"/>
        </w:rPr>
        <w:t>43.85</w:t>
      </w:r>
      <w:r>
        <w:rPr>
          <w:rFonts w:hint="eastAsia"/>
          <w:color w:val="1A15F1"/>
          <w:highlight w:val="none"/>
        </w:rPr>
        <w:t>万吨。</w:t>
      </w:r>
    </w:p>
    <w:p>
      <w:pPr>
        <w:pStyle w:val="5"/>
        <w:bidi w:val="0"/>
        <w:rPr>
          <w:color w:val="auto"/>
          <w:highlight w:val="none"/>
        </w:rPr>
      </w:pPr>
      <w:bookmarkStart w:id="184" w:name="_Toc11030"/>
      <w:bookmarkStart w:id="185" w:name="_Toc28003"/>
      <w:r>
        <w:rPr>
          <w:rFonts w:hint="eastAsia"/>
          <w:color w:val="auto"/>
          <w:highlight w:val="none"/>
        </w:rPr>
        <w:t>5.</w:t>
      </w:r>
      <w:r>
        <w:rPr>
          <w:rFonts w:hint="eastAsia"/>
          <w:color w:val="auto"/>
          <w:highlight w:val="none"/>
          <w:lang w:val="en-US" w:eastAsia="zh-CN"/>
        </w:rPr>
        <w:t>4</w:t>
      </w:r>
      <w:r>
        <w:rPr>
          <w:rFonts w:hint="eastAsia"/>
          <w:color w:val="auto"/>
          <w:highlight w:val="none"/>
        </w:rPr>
        <w:t>.3减少碳排放的途径</w:t>
      </w:r>
      <w:bookmarkEnd w:id="184"/>
      <w:bookmarkEnd w:id="185"/>
    </w:p>
    <w:p>
      <w:pPr>
        <w:pStyle w:val="6"/>
        <w:bidi w:val="0"/>
        <w:rPr>
          <w:color w:val="auto"/>
          <w:highlight w:val="none"/>
        </w:rPr>
      </w:pPr>
      <w:r>
        <w:rPr>
          <w:rFonts w:hint="eastAsia"/>
          <w:color w:val="auto"/>
          <w:highlight w:val="none"/>
        </w:rPr>
        <w:t>规划坚持以空间优化、资源节约、绿色生态为基本路径，将生态优势转化为经济优势和发展优势，将绿色发展全面融入文旅产业发展全过程。通过合理有序开发，加强资源环境保护，推动低碳文旅、绿色消费，降低旅游碳排放，为</w:t>
      </w:r>
      <w:r>
        <w:rPr>
          <w:rFonts w:hint="eastAsia"/>
          <w:color w:val="auto"/>
          <w:highlight w:val="none"/>
          <w:lang w:eastAsia="zh-CN"/>
        </w:rPr>
        <w:t>林芝市</w:t>
      </w:r>
      <w:r>
        <w:rPr>
          <w:rFonts w:hint="eastAsia"/>
          <w:color w:val="auto"/>
          <w:highlight w:val="none"/>
        </w:rPr>
        <w:t>创建</w:t>
      </w:r>
      <w:r>
        <w:rPr>
          <w:rFonts w:hint="eastAsia"/>
          <w:color w:val="1A15F1"/>
          <w:highlight w:val="none"/>
          <w:lang w:val="en-US" w:eastAsia="zh-CN"/>
        </w:rPr>
        <w:t>“国家全域旅游示范区”</w:t>
      </w:r>
      <w:r>
        <w:rPr>
          <w:rFonts w:hint="eastAsia"/>
          <w:color w:val="auto"/>
          <w:highlight w:val="none"/>
        </w:rPr>
        <w:t>作贡献。</w:t>
      </w:r>
    </w:p>
    <w:p>
      <w:pPr>
        <w:pStyle w:val="6"/>
        <w:bidi w:val="0"/>
        <w:rPr>
          <w:color w:val="auto"/>
          <w:highlight w:val="none"/>
        </w:rPr>
      </w:pPr>
      <w:r>
        <w:rPr>
          <w:color w:val="auto"/>
          <w:highlight w:val="none"/>
        </w:rPr>
        <w:t>低碳旅游是指在旅游系统运行过程中，应用低碳经济理论，以低能耗、低污染、低排放为原则开发和利用旅游资源与环境，实现资源利用的高效低耗与对环境损害最小化的全新旅游发展方式。主要包括：</w:t>
      </w:r>
    </w:p>
    <w:p>
      <w:pPr>
        <w:pStyle w:val="6"/>
        <w:bidi w:val="0"/>
        <w:rPr>
          <w:b/>
          <w:bCs/>
          <w:color w:val="auto"/>
          <w:highlight w:val="none"/>
        </w:rPr>
      </w:pPr>
      <w:r>
        <w:rPr>
          <w:rFonts w:hint="eastAsia"/>
          <w:b/>
          <w:bCs/>
          <w:color w:val="auto"/>
          <w:highlight w:val="none"/>
          <w:lang w:val="en-US" w:eastAsia="zh-CN"/>
        </w:rPr>
        <w:t>1、</w:t>
      </w:r>
      <w:r>
        <w:rPr>
          <w:b/>
          <w:bCs/>
          <w:color w:val="auto"/>
          <w:highlight w:val="none"/>
        </w:rPr>
        <w:t>旅游生产的低碳化</w:t>
      </w:r>
    </w:p>
    <w:p>
      <w:pPr>
        <w:pStyle w:val="6"/>
        <w:bidi w:val="0"/>
        <w:rPr>
          <w:color w:val="auto"/>
          <w:highlight w:val="none"/>
        </w:rPr>
      </w:pPr>
      <w:r>
        <w:rPr>
          <w:rFonts w:hint="eastAsia"/>
          <w:color w:val="auto"/>
          <w:highlight w:val="none"/>
        </w:rPr>
        <w:t>①</w:t>
      </w:r>
      <w:r>
        <w:rPr>
          <w:color w:val="auto"/>
          <w:highlight w:val="none"/>
        </w:rPr>
        <w:t>低碳交通设施</w:t>
      </w:r>
    </w:p>
    <w:p>
      <w:pPr>
        <w:pStyle w:val="6"/>
        <w:bidi w:val="0"/>
        <w:rPr>
          <w:color w:val="auto"/>
          <w:highlight w:val="none"/>
        </w:rPr>
      </w:pPr>
      <w:r>
        <w:rPr>
          <w:color w:val="auto"/>
          <w:highlight w:val="none"/>
        </w:rPr>
        <w:t>旅游业中的交通、住宿和活动均会带来一定量碳排放，其中以交通为最多。通过采用替代性能源，减少汽车尾气的碳排放，建设生态停车场，</w:t>
      </w:r>
      <w:r>
        <w:rPr>
          <w:rFonts w:hint="eastAsia"/>
          <w:color w:val="auto"/>
          <w:highlight w:val="none"/>
        </w:rPr>
        <w:t>在规划景区内的接待车辆使用新能源或清洁能源汽车是降低汽车尾气影响的主要措施，并建议对现有景区内燃油机动车替换</w:t>
      </w:r>
      <w:r>
        <w:rPr>
          <w:color w:val="auto"/>
          <w:highlight w:val="none"/>
        </w:rPr>
        <w:t>以及建设低碳旅游道路等途径，发展低碳旅游交通设施。</w:t>
      </w:r>
    </w:p>
    <w:p>
      <w:pPr>
        <w:pStyle w:val="6"/>
        <w:bidi w:val="0"/>
        <w:rPr>
          <w:color w:val="auto"/>
          <w:highlight w:val="none"/>
        </w:rPr>
      </w:pPr>
      <w:r>
        <w:rPr>
          <w:rFonts w:hint="eastAsia"/>
          <w:color w:val="auto"/>
          <w:highlight w:val="none"/>
        </w:rPr>
        <w:t>②</w:t>
      </w:r>
      <w:r>
        <w:rPr>
          <w:color w:val="auto"/>
          <w:highlight w:val="none"/>
        </w:rPr>
        <w:t>建设新能源科普园、游乐园、休憩园及低碳体验环境</w:t>
      </w:r>
    </w:p>
    <w:p>
      <w:pPr>
        <w:pStyle w:val="6"/>
        <w:bidi w:val="0"/>
        <w:rPr>
          <w:color w:val="auto"/>
          <w:highlight w:val="none"/>
        </w:rPr>
      </w:pPr>
      <w:r>
        <w:rPr>
          <w:color w:val="auto"/>
          <w:highlight w:val="none"/>
        </w:rPr>
        <w:t>如建设太阳能科普园、风能游乐园、休憩园、低碳产业园区、低碳社区以及夜景照明采用LED的低碳旅游吸引物。</w:t>
      </w:r>
    </w:p>
    <w:p>
      <w:pPr>
        <w:pStyle w:val="6"/>
        <w:bidi w:val="0"/>
        <w:rPr>
          <w:color w:val="auto"/>
          <w:highlight w:val="none"/>
        </w:rPr>
      </w:pPr>
      <w:r>
        <w:rPr>
          <w:rFonts w:hint="eastAsia"/>
          <w:color w:val="auto"/>
          <w:highlight w:val="none"/>
        </w:rPr>
        <w:t>③</w:t>
      </w:r>
      <w:r>
        <w:rPr>
          <w:color w:val="auto"/>
          <w:highlight w:val="none"/>
        </w:rPr>
        <w:t>低碳旅游服务与管理</w:t>
      </w:r>
    </w:p>
    <w:p>
      <w:pPr>
        <w:pStyle w:val="6"/>
        <w:bidi w:val="0"/>
        <w:rPr>
          <w:color w:val="auto"/>
          <w:highlight w:val="none"/>
        </w:rPr>
      </w:pPr>
      <w:r>
        <w:rPr>
          <w:color w:val="auto"/>
          <w:highlight w:val="none"/>
        </w:rPr>
        <w:t>如门票全部采用基于射频识别技术（RFID）的新型门票系统；客房取电卡设置能源统计装置</w:t>
      </w:r>
      <w:r>
        <w:rPr>
          <w:rFonts w:hint="eastAsia"/>
          <w:color w:val="auto"/>
          <w:highlight w:val="none"/>
          <w:lang w:eastAsia="zh-CN"/>
        </w:rPr>
        <w:t>；</w:t>
      </w:r>
      <w:r>
        <w:rPr>
          <w:color w:val="auto"/>
          <w:highlight w:val="none"/>
        </w:rPr>
        <w:t>鼓励自备洁具与寝具</w:t>
      </w:r>
      <w:r>
        <w:rPr>
          <w:rFonts w:hint="eastAsia"/>
          <w:color w:val="auto"/>
          <w:highlight w:val="none"/>
          <w:lang w:eastAsia="zh-CN"/>
        </w:rPr>
        <w:t>；</w:t>
      </w:r>
      <w:r>
        <w:rPr>
          <w:color w:val="auto"/>
          <w:highlight w:val="none"/>
        </w:rPr>
        <w:t>配置出售寝具与洁具的商店；制订节能的优惠价格；主张垃圾分类，等等。</w:t>
      </w:r>
    </w:p>
    <w:p>
      <w:pPr>
        <w:pStyle w:val="6"/>
        <w:bidi w:val="0"/>
        <w:rPr>
          <w:color w:val="auto"/>
          <w:highlight w:val="none"/>
        </w:rPr>
      </w:pPr>
      <w:r>
        <w:rPr>
          <w:rFonts w:hint="eastAsia"/>
          <w:color w:val="auto"/>
          <w:highlight w:val="none"/>
        </w:rPr>
        <w:t>（2）</w:t>
      </w:r>
      <w:r>
        <w:rPr>
          <w:color w:val="auto"/>
          <w:highlight w:val="none"/>
        </w:rPr>
        <w:t>旅游消费的低碳化</w:t>
      </w:r>
    </w:p>
    <w:p>
      <w:pPr>
        <w:pStyle w:val="6"/>
        <w:bidi w:val="0"/>
        <w:rPr>
          <w:color w:val="auto"/>
          <w:highlight w:val="none"/>
        </w:rPr>
      </w:pPr>
      <w:r>
        <w:rPr>
          <w:rFonts w:hint="eastAsia"/>
          <w:color w:val="auto"/>
          <w:highlight w:val="none"/>
        </w:rPr>
        <w:t>①</w:t>
      </w:r>
      <w:r>
        <w:rPr>
          <w:color w:val="auto"/>
          <w:highlight w:val="none"/>
        </w:rPr>
        <w:t>建设低碳源旅游活动产品和高碳汇体旅游景观</w:t>
      </w:r>
    </w:p>
    <w:p>
      <w:pPr>
        <w:pStyle w:val="6"/>
        <w:bidi w:val="0"/>
        <w:rPr>
          <w:color w:val="auto"/>
          <w:highlight w:val="none"/>
        </w:rPr>
      </w:pPr>
      <w:r>
        <w:rPr>
          <w:color w:val="auto"/>
          <w:highlight w:val="none"/>
        </w:rPr>
        <w:t>如建设各种级别的森林公园、湿地公园、</w:t>
      </w:r>
      <w:r>
        <w:rPr>
          <w:color w:val="auto"/>
          <w:highlight w:val="none"/>
        </w:rPr>
        <w:fldChar w:fldCharType="begin"/>
      </w:r>
      <w:r>
        <w:rPr>
          <w:color w:val="auto"/>
          <w:highlight w:val="none"/>
        </w:rPr>
        <w:instrText xml:space="preserve"> HYPERLINK "https://baike.baidu.com/item/%E9%A3%8E%E6%99%AF%E5%90%8D%E8%83%9C%E5%8C%BA/10914183" \t "_blank" </w:instrText>
      </w:r>
      <w:r>
        <w:rPr>
          <w:color w:val="auto"/>
          <w:highlight w:val="none"/>
        </w:rPr>
        <w:fldChar w:fldCharType="separate"/>
      </w:r>
      <w:r>
        <w:rPr>
          <w:color w:val="auto"/>
          <w:highlight w:val="none"/>
        </w:rPr>
        <w:t>风景名胜区</w:t>
      </w:r>
      <w:r>
        <w:rPr>
          <w:color w:val="auto"/>
          <w:highlight w:val="none"/>
        </w:rPr>
        <w:fldChar w:fldCharType="end"/>
      </w:r>
      <w:r>
        <w:rPr>
          <w:color w:val="auto"/>
          <w:highlight w:val="none"/>
        </w:rPr>
        <w:t>、地质公园、升级改造景区旅游基础设施、构建生态廊道、绿色乡村、生态城镇、建设生态环境保护体系工程，大力开发湿地生态游、珍禽观赏游、文化山水游、休闲度假游、科普科考游、陶瓷艺术游、乡风民俗游、健身养生游、娱乐、康体、宗教朝觐游等低碳旅游景观。</w:t>
      </w:r>
    </w:p>
    <w:p>
      <w:pPr>
        <w:pStyle w:val="6"/>
        <w:bidi w:val="0"/>
        <w:rPr>
          <w:color w:val="auto"/>
          <w:highlight w:val="none"/>
        </w:rPr>
      </w:pPr>
      <w:r>
        <w:rPr>
          <w:rFonts w:hint="eastAsia"/>
          <w:color w:val="auto"/>
          <w:highlight w:val="none"/>
        </w:rPr>
        <w:t>③</w:t>
      </w:r>
      <w:r>
        <w:rPr>
          <w:color w:val="auto"/>
          <w:highlight w:val="none"/>
        </w:rPr>
        <w:t>低碳旅游消费方式</w:t>
      </w:r>
    </w:p>
    <w:p>
      <w:pPr>
        <w:pStyle w:val="6"/>
        <w:bidi w:val="0"/>
        <w:rPr>
          <w:color w:val="auto"/>
          <w:highlight w:val="none"/>
        </w:rPr>
      </w:pPr>
      <w:r>
        <w:rPr>
          <w:color w:val="auto"/>
          <w:highlight w:val="none"/>
        </w:rPr>
        <w:t>低碳旅游消费方式是指旅游者在旅游消费的过程中，通过各种方式和途径来减少旅游者的个人旅游碳足迹。引导游客，倡导低碳旅游消费方式，主要包括：1）引导旅游者在进行旅游交通方式的选择中，应尽量选择低碳旅游交通方式和个人旅游碳足迹相对少的旅游线路（在诸多交通工具中，人均每公里需要的燃料飞机&gt;小轿车&gt;客车&gt;火车）；2）引导旅游者在选择旅游住宿餐饮服务时，尽量选择带有绿色标签的旅游酒店，在选择餐饮食物时应量力而行，避免剩余，并优先考虑各种绿色食品、生态食品，不使用一次性餐饮工具；3)引导旅游者在选择旅游活动时，应优先选择低碳旅游活动。</w:t>
      </w:r>
    </w:p>
    <w:p>
      <w:pPr>
        <w:pStyle w:val="4"/>
        <w:bidi w:val="0"/>
        <w:rPr>
          <w:color w:val="auto"/>
          <w:highlight w:val="none"/>
        </w:rPr>
      </w:pPr>
      <w:bookmarkStart w:id="186" w:name="_Toc16530"/>
      <w:bookmarkStart w:id="187" w:name="_Toc24184"/>
      <w:bookmarkStart w:id="188" w:name="_Toc93156034"/>
      <w:r>
        <w:rPr>
          <w:rFonts w:hint="eastAsia"/>
          <w:color w:val="auto"/>
          <w:highlight w:val="none"/>
        </w:rPr>
        <w:t>5.</w:t>
      </w:r>
      <w:r>
        <w:rPr>
          <w:rFonts w:hint="eastAsia"/>
          <w:color w:val="auto"/>
          <w:highlight w:val="none"/>
          <w:lang w:val="en-US" w:eastAsia="zh-CN"/>
        </w:rPr>
        <w:t>5</w:t>
      </w:r>
      <w:r>
        <w:rPr>
          <w:rFonts w:hint="eastAsia"/>
          <w:color w:val="auto"/>
          <w:highlight w:val="none"/>
        </w:rPr>
        <w:t>积累环境影响分析</w:t>
      </w:r>
      <w:bookmarkEnd w:id="186"/>
      <w:bookmarkEnd w:id="187"/>
    </w:p>
    <w:p>
      <w:pPr>
        <w:pStyle w:val="5"/>
        <w:bidi w:val="0"/>
        <w:rPr>
          <w:color w:val="auto"/>
          <w:highlight w:val="none"/>
        </w:rPr>
      </w:pPr>
      <w:bookmarkStart w:id="189" w:name="_Toc1955"/>
      <w:bookmarkStart w:id="190" w:name="_Toc7428"/>
      <w:r>
        <w:rPr>
          <w:rFonts w:hint="eastAsia"/>
          <w:color w:val="auto"/>
          <w:highlight w:val="none"/>
        </w:rPr>
        <w:t>5.</w:t>
      </w:r>
      <w:r>
        <w:rPr>
          <w:rFonts w:hint="eastAsia"/>
          <w:color w:val="auto"/>
          <w:highlight w:val="none"/>
          <w:lang w:val="en-US" w:eastAsia="zh-CN"/>
        </w:rPr>
        <w:t>5</w:t>
      </w:r>
      <w:r>
        <w:rPr>
          <w:rFonts w:hint="eastAsia"/>
          <w:color w:val="auto"/>
          <w:highlight w:val="none"/>
        </w:rPr>
        <w:t>.1</w:t>
      </w:r>
      <w:r>
        <w:rPr>
          <w:color w:val="auto"/>
          <w:highlight w:val="none"/>
        </w:rPr>
        <w:t>累积环境影响内涵</w:t>
      </w:r>
      <w:bookmarkEnd w:id="189"/>
      <w:bookmarkEnd w:id="190"/>
      <w:r>
        <w:rPr>
          <w:color w:val="auto"/>
          <w:highlight w:val="none"/>
        </w:rPr>
        <w:t xml:space="preserve"> </w:t>
      </w:r>
    </w:p>
    <w:p>
      <w:pPr>
        <w:pStyle w:val="6"/>
        <w:bidi w:val="0"/>
        <w:rPr>
          <w:color w:val="auto"/>
          <w:highlight w:val="none"/>
        </w:rPr>
      </w:pPr>
      <w:r>
        <w:rPr>
          <w:color w:val="auto"/>
          <w:highlight w:val="none"/>
        </w:rPr>
        <w:t>累积影响的概念最早见于美国1978年颁布的《关于</w:t>
      </w:r>
      <w:r>
        <w:rPr>
          <w:rFonts w:hint="eastAsia"/>
          <w:color w:val="auto"/>
          <w:highlight w:val="none"/>
        </w:rPr>
        <w:t>“</w:t>
      </w:r>
      <w:r>
        <w:rPr>
          <w:color w:val="auto"/>
          <w:highlight w:val="none"/>
        </w:rPr>
        <w:t>国家环境政策法</w:t>
      </w:r>
      <w:r>
        <w:rPr>
          <w:rFonts w:hint="eastAsia"/>
          <w:color w:val="auto"/>
          <w:highlight w:val="none"/>
        </w:rPr>
        <w:t>”</w:t>
      </w:r>
      <w:r>
        <w:rPr>
          <w:color w:val="auto"/>
          <w:highlight w:val="none"/>
        </w:rPr>
        <w:t>的若干规定》</w:t>
      </w:r>
      <w:r>
        <w:rPr>
          <w:rFonts w:hint="eastAsia"/>
          <w:color w:val="auto"/>
          <w:highlight w:val="none"/>
          <w:lang w:eastAsia="zh-CN"/>
        </w:rPr>
        <w:t>（</w:t>
      </w:r>
      <w:r>
        <w:rPr>
          <w:color w:val="auto"/>
          <w:highlight w:val="none"/>
        </w:rPr>
        <w:t>NatiollalEnvironmentalPoHcyAct-ReguhtioIlS，40CPR§1508.7</w:t>
      </w:r>
      <w:r>
        <w:rPr>
          <w:rFonts w:hint="eastAsia"/>
          <w:color w:val="auto"/>
          <w:highlight w:val="none"/>
          <w:lang w:eastAsia="zh-CN"/>
        </w:rPr>
        <w:t>）</w:t>
      </w:r>
      <w:r>
        <w:rPr>
          <w:color w:val="auto"/>
          <w:highlight w:val="none"/>
        </w:rPr>
        <w:t>。该法规中称累积 影响是</w:t>
      </w:r>
      <w:r>
        <w:rPr>
          <w:rFonts w:hint="eastAsia"/>
          <w:color w:val="auto"/>
          <w:highlight w:val="none"/>
        </w:rPr>
        <w:t>“</w:t>
      </w:r>
      <w:r>
        <w:rPr>
          <w:color w:val="auto"/>
          <w:highlight w:val="none"/>
        </w:rPr>
        <w:t>当一项行动与过去、现在和可以预见的将来行动结合在一起时，对环境所产生的递增的影响发生在一段时间内，单独的影响很小，但累积起来影响却很大的多项行动会导致累积影响</w:t>
      </w:r>
      <w:r>
        <w:rPr>
          <w:rFonts w:hint="eastAsia"/>
          <w:color w:val="auto"/>
          <w:highlight w:val="none"/>
        </w:rPr>
        <w:t>”</w:t>
      </w:r>
      <w:r>
        <w:rPr>
          <w:color w:val="auto"/>
          <w:highlight w:val="none"/>
        </w:rPr>
        <w:t>。这是目前引用较多，并为大多数人所接受的定义。 综合各种关于累积影响的定义可以发现，它们都基于共同的概念模型——因果关系模型，包括三个基本组成部分：累积影响源、累积过程（或累积途径）、累积效应。累积影响类型是根据累积过程的时空特征划分，1985 年美加累积影响双边研讨会将累积影响分为八类，即时间拥挤效应、空间拥挤效应、复合效应、时间滞后效应、空间滞后（边界扩展）效应、阈值效应、间接效应及蚕食（破碎）效应，累积影响途径主要如图5-1所示：</w:t>
      </w:r>
    </w:p>
    <w:p>
      <w:pPr>
        <w:spacing w:line="360" w:lineRule="auto"/>
        <w:jc w:val="center"/>
        <w:rPr>
          <w:rFonts w:ascii="Times New Roman" w:hAnsi="Times New Roman" w:eastAsia="宋体" w:cs="Times New Roman"/>
          <w:color w:val="FF0000"/>
          <w:sz w:val="28"/>
          <w:szCs w:val="28"/>
          <w:highlight w:val="none"/>
        </w:rPr>
      </w:pPr>
      <w:r>
        <w:rPr>
          <w:rFonts w:ascii="Times New Roman" w:hAnsi="Times New Roman" w:eastAsia="宋体" w:cs="Times New Roman"/>
          <w:color w:val="FF0000"/>
          <w:sz w:val="28"/>
          <w:szCs w:val="28"/>
          <w:highlight w:val="none"/>
        </w:rPr>
        <w:drawing>
          <wp:inline distT="0" distB="0" distL="0" distR="0">
            <wp:extent cx="4880610" cy="2047240"/>
            <wp:effectExtent l="0" t="0" r="1524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4880610" cy="2047240"/>
                    </a:xfrm>
                    <a:prstGeom prst="rect">
                      <a:avLst/>
                    </a:prstGeom>
                  </pic:spPr>
                </pic:pic>
              </a:graphicData>
            </a:graphic>
          </wp:inline>
        </w:drawing>
      </w:r>
    </w:p>
    <w:p>
      <w:pPr>
        <w:pStyle w:val="34"/>
        <w:bidi w:val="0"/>
        <w:rPr>
          <w:highlight w:val="none"/>
        </w:rPr>
      </w:pPr>
      <w:r>
        <w:rPr>
          <w:highlight w:val="none"/>
        </w:rPr>
        <w:t>图</w:t>
      </w:r>
      <w:r>
        <w:rPr>
          <w:rFonts w:hint="eastAsia"/>
          <w:highlight w:val="none"/>
          <w:lang w:val="en-US" w:eastAsia="zh-CN"/>
        </w:rPr>
        <w:t>5.5-1</w:t>
      </w:r>
      <w:r>
        <w:rPr>
          <w:highlight w:val="none"/>
        </w:rPr>
        <w:t xml:space="preserve"> </w:t>
      </w:r>
      <w:r>
        <w:rPr>
          <w:rFonts w:hint="eastAsia"/>
          <w:highlight w:val="none"/>
        </w:rPr>
        <w:t xml:space="preserve"> </w:t>
      </w:r>
      <w:r>
        <w:rPr>
          <w:highlight w:val="none"/>
        </w:rPr>
        <w:t>累积影响基本途径分类</w:t>
      </w:r>
    </w:p>
    <w:p>
      <w:pPr>
        <w:pStyle w:val="6"/>
        <w:bidi w:val="0"/>
        <w:rPr>
          <w:color w:val="auto"/>
          <w:highlight w:val="none"/>
        </w:rPr>
      </w:pPr>
      <w:r>
        <w:rPr>
          <w:color w:val="auto"/>
          <w:highlight w:val="none"/>
        </w:rPr>
        <w:t>在一个系统中，累积影响源可能通过几种途径同时发生作用，或者某一途径的发生会激发（或阻碍）另一途径的作用。在不同时空尺度、不同阶段，环境影响的累积 途径也存在很大差异，可见复杂性与动态性是引起累积环境变化的各种途径的内在属性。</w:t>
      </w:r>
    </w:p>
    <w:p>
      <w:pPr>
        <w:pStyle w:val="5"/>
        <w:bidi w:val="0"/>
        <w:rPr>
          <w:highlight w:val="none"/>
        </w:rPr>
      </w:pPr>
      <w:bookmarkStart w:id="191" w:name="_Toc23762"/>
      <w:bookmarkStart w:id="192" w:name="_Toc7995"/>
      <w:r>
        <w:rPr>
          <w:rFonts w:hint="eastAsia"/>
          <w:highlight w:val="none"/>
        </w:rPr>
        <w:t>5.</w:t>
      </w:r>
      <w:r>
        <w:rPr>
          <w:rFonts w:hint="eastAsia"/>
          <w:highlight w:val="none"/>
          <w:lang w:val="en-US" w:eastAsia="zh-CN"/>
        </w:rPr>
        <w:t>5</w:t>
      </w:r>
      <w:r>
        <w:rPr>
          <w:rFonts w:hint="eastAsia"/>
          <w:highlight w:val="none"/>
        </w:rPr>
        <w:t>.2</w:t>
      </w:r>
      <w:r>
        <w:rPr>
          <w:highlight w:val="none"/>
        </w:rPr>
        <w:t>累积环境影响因子识别</w:t>
      </w:r>
      <w:bookmarkEnd w:id="191"/>
      <w:bookmarkEnd w:id="192"/>
    </w:p>
    <w:p>
      <w:pPr>
        <w:pStyle w:val="6"/>
        <w:bidi w:val="0"/>
        <w:rPr>
          <w:highlight w:val="none"/>
        </w:rPr>
      </w:pPr>
      <w:r>
        <w:rPr>
          <w:highlight w:val="none"/>
        </w:rPr>
        <w:t>根据</w:t>
      </w:r>
      <w:r>
        <w:rPr>
          <w:rFonts w:hint="eastAsia"/>
          <w:highlight w:val="none"/>
        </w:rPr>
        <w:t>本次</w:t>
      </w:r>
      <w:r>
        <w:rPr>
          <w:highlight w:val="none"/>
        </w:rPr>
        <w:t>规划定位及规划本身环境影响识别、结果预测、分析评价，结合区域环境质量现状，利用单一矩阵法进行本规划活动与区域其他可预见的相关规划活动累积环境影响因子识别，结果见下表。</w:t>
      </w:r>
    </w:p>
    <w:p>
      <w:pPr>
        <w:pStyle w:val="27"/>
        <w:bidi w:val="0"/>
        <w:rPr>
          <w:highlight w:val="none"/>
        </w:rPr>
      </w:pPr>
      <w:r>
        <w:rPr>
          <w:highlight w:val="none"/>
        </w:rPr>
        <w:t>表</w:t>
      </w:r>
      <w:r>
        <w:rPr>
          <w:rFonts w:hint="eastAsia"/>
          <w:highlight w:val="none"/>
          <w:lang w:val="en-US" w:eastAsia="zh-CN"/>
        </w:rPr>
        <w:t>5.5-1</w:t>
      </w:r>
      <w:r>
        <w:rPr>
          <w:rFonts w:hint="eastAsia"/>
          <w:highlight w:val="none"/>
        </w:rPr>
        <w:t xml:space="preserve">  </w:t>
      </w:r>
      <w:r>
        <w:rPr>
          <w:highlight w:val="none"/>
        </w:rPr>
        <w:t>累积环境影响因子识别</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1125"/>
        <w:gridCol w:w="1138"/>
        <w:gridCol w:w="1138"/>
        <w:gridCol w:w="1138"/>
        <w:gridCol w:w="1139"/>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1" w:type="dxa"/>
            <w:vMerge w:val="restart"/>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内容</w:t>
            </w:r>
          </w:p>
        </w:tc>
        <w:tc>
          <w:tcPr>
            <w:tcW w:w="6817" w:type="dxa"/>
            <w:gridSpan w:val="6"/>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环境要素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1" w:type="dxa"/>
            <w:vMerge w:val="continue"/>
            <w:vAlign w:val="center"/>
          </w:tcPr>
          <w:p>
            <w:pPr>
              <w:pStyle w:val="28"/>
              <w:keepNext w:val="0"/>
              <w:keepLines w:val="0"/>
              <w:suppressLineNumbers w:val="0"/>
              <w:bidi w:val="0"/>
              <w:spacing w:beforeAutospacing="0" w:afterAutospacing="0" w:line="276" w:lineRule="auto"/>
              <w:ind w:left="0" w:right="0"/>
              <w:rPr>
                <w:rFonts w:hint="default"/>
                <w:highlight w:val="none"/>
              </w:rPr>
            </w:pPr>
          </w:p>
        </w:tc>
        <w:tc>
          <w:tcPr>
            <w:tcW w:w="1125" w:type="dxa"/>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环境空气</w:t>
            </w:r>
          </w:p>
        </w:tc>
        <w:tc>
          <w:tcPr>
            <w:tcW w:w="1138" w:type="dxa"/>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地表水</w:t>
            </w:r>
          </w:p>
        </w:tc>
        <w:tc>
          <w:tcPr>
            <w:tcW w:w="1138" w:type="dxa"/>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土壤</w:t>
            </w:r>
          </w:p>
        </w:tc>
        <w:tc>
          <w:tcPr>
            <w:tcW w:w="1138" w:type="dxa"/>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生态</w:t>
            </w:r>
          </w:p>
        </w:tc>
        <w:tc>
          <w:tcPr>
            <w:tcW w:w="1139" w:type="dxa"/>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水资源</w:t>
            </w:r>
          </w:p>
        </w:tc>
        <w:tc>
          <w:tcPr>
            <w:tcW w:w="1139" w:type="dxa"/>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旅游资源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1" w:type="dxa"/>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本规划</w:t>
            </w:r>
          </w:p>
        </w:tc>
        <w:tc>
          <w:tcPr>
            <w:tcW w:w="1125" w:type="dxa"/>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－L1</w:t>
            </w:r>
          </w:p>
        </w:tc>
        <w:tc>
          <w:tcPr>
            <w:tcW w:w="1138" w:type="dxa"/>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－L</w:t>
            </w:r>
            <w:r>
              <w:rPr>
                <w:rFonts w:hint="eastAsia"/>
                <w:highlight w:val="none"/>
              </w:rPr>
              <w:t>2</w:t>
            </w:r>
          </w:p>
        </w:tc>
        <w:tc>
          <w:tcPr>
            <w:tcW w:w="1138" w:type="dxa"/>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－L</w:t>
            </w:r>
            <w:r>
              <w:rPr>
                <w:rFonts w:hint="eastAsia"/>
                <w:highlight w:val="none"/>
              </w:rPr>
              <w:t>1</w:t>
            </w:r>
          </w:p>
        </w:tc>
        <w:tc>
          <w:tcPr>
            <w:tcW w:w="1138" w:type="dxa"/>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－L</w:t>
            </w:r>
            <w:r>
              <w:rPr>
                <w:rFonts w:hint="eastAsia"/>
                <w:highlight w:val="none"/>
              </w:rPr>
              <w:t>2</w:t>
            </w:r>
          </w:p>
        </w:tc>
        <w:tc>
          <w:tcPr>
            <w:tcW w:w="1139" w:type="dxa"/>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－L</w:t>
            </w:r>
            <w:r>
              <w:rPr>
                <w:rFonts w:hint="eastAsia"/>
                <w:highlight w:val="none"/>
              </w:rPr>
              <w:t>2</w:t>
            </w:r>
          </w:p>
        </w:tc>
        <w:tc>
          <w:tcPr>
            <w:tcW w:w="1139" w:type="dxa"/>
            <w:vAlign w:val="center"/>
          </w:tcPr>
          <w:p>
            <w:pPr>
              <w:pStyle w:val="28"/>
              <w:keepNext w:val="0"/>
              <w:keepLines w:val="0"/>
              <w:suppressLineNumbers w:val="0"/>
              <w:bidi w:val="0"/>
              <w:spacing w:beforeAutospacing="0" w:afterAutospacing="0" w:line="276" w:lineRule="auto"/>
              <w:ind w:left="0" w:right="0"/>
              <w:rPr>
                <w:rFonts w:hint="default"/>
                <w:highlight w:val="none"/>
              </w:rPr>
            </w:pPr>
            <w:r>
              <w:rPr>
                <w:rFonts w:hint="default"/>
                <w:highlight w:val="none"/>
              </w:rPr>
              <w:t>＋L2</w:t>
            </w:r>
          </w:p>
        </w:tc>
      </w:tr>
    </w:tbl>
    <w:p>
      <w:pPr>
        <w:pStyle w:val="34"/>
        <w:bidi w:val="0"/>
        <w:rPr>
          <w:highlight w:val="none"/>
        </w:rPr>
      </w:pPr>
      <w:r>
        <w:rPr>
          <w:highlight w:val="none"/>
        </w:rPr>
        <w:t>注：上表中</w:t>
      </w:r>
      <w:r>
        <w:rPr>
          <w:rFonts w:hint="eastAsia"/>
          <w:highlight w:val="none"/>
        </w:rPr>
        <w:t>“</w:t>
      </w:r>
      <w:r>
        <w:rPr>
          <w:highlight w:val="none"/>
        </w:rPr>
        <w:t>L</w:t>
      </w:r>
      <w:r>
        <w:rPr>
          <w:rFonts w:hint="eastAsia"/>
          <w:highlight w:val="none"/>
        </w:rPr>
        <w:t>”</w:t>
      </w:r>
      <w:r>
        <w:rPr>
          <w:highlight w:val="none"/>
        </w:rPr>
        <w:t>表示累积效应，</w:t>
      </w:r>
      <w:r>
        <w:rPr>
          <w:rFonts w:hint="eastAsia"/>
          <w:highlight w:val="none"/>
        </w:rPr>
        <w:t>“+”</w:t>
      </w:r>
      <w:r>
        <w:rPr>
          <w:highlight w:val="none"/>
        </w:rPr>
        <w:t>表示有利累积效应，</w:t>
      </w:r>
      <w:r>
        <w:rPr>
          <w:rFonts w:hint="eastAsia"/>
          <w:highlight w:val="none"/>
        </w:rPr>
        <w:t>“</w:t>
      </w:r>
      <w:r>
        <w:rPr>
          <w:highlight w:val="none"/>
        </w:rPr>
        <w:t>－</w:t>
      </w:r>
      <w:r>
        <w:rPr>
          <w:rFonts w:hint="eastAsia"/>
          <w:highlight w:val="none"/>
        </w:rPr>
        <w:t>”</w:t>
      </w:r>
      <w:r>
        <w:rPr>
          <w:highlight w:val="none"/>
        </w:rPr>
        <w:t>表示不利累积效应，</w:t>
      </w:r>
      <w:r>
        <w:rPr>
          <w:rFonts w:hint="eastAsia"/>
          <w:highlight w:val="none"/>
        </w:rPr>
        <w:t>“1”</w:t>
      </w:r>
      <w:r>
        <w:rPr>
          <w:highlight w:val="none"/>
        </w:rPr>
        <w:t>表示累积效应一般，</w:t>
      </w:r>
      <w:r>
        <w:rPr>
          <w:rFonts w:hint="eastAsia"/>
          <w:highlight w:val="none"/>
        </w:rPr>
        <w:t>“2”</w:t>
      </w:r>
      <w:r>
        <w:rPr>
          <w:highlight w:val="none"/>
        </w:rPr>
        <w:t>表示累积效应显著，</w:t>
      </w:r>
      <w:r>
        <w:rPr>
          <w:rFonts w:hint="eastAsia"/>
          <w:highlight w:val="none"/>
        </w:rPr>
        <w:t>“0”</w:t>
      </w:r>
      <w:r>
        <w:rPr>
          <w:highlight w:val="none"/>
        </w:rPr>
        <w:t xml:space="preserve">表示轻微影响或不影响。 </w:t>
      </w:r>
    </w:p>
    <w:p>
      <w:pPr>
        <w:pStyle w:val="6"/>
        <w:bidi w:val="0"/>
        <w:rPr>
          <w:color w:val="auto"/>
          <w:highlight w:val="none"/>
        </w:rPr>
      </w:pPr>
      <w:r>
        <w:rPr>
          <w:color w:val="auto"/>
          <w:highlight w:val="none"/>
        </w:rPr>
        <w:t>根据以上识别结果，分析各主题的权重，评价认为，在可预见的其他活动中，与</w:t>
      </w:r>
      <w:r>
        <w:rPr>
          <w:rFonts w:hint="eastAsia"/>
          <w:color w:val="auto"/>
          <w:highlight w:val="none"/>
        </w:rPr>
        <w:t>本</w:t>
      </w:r>
      <w:r>
        <w:rPr>
          <w:color w:val="auto"/>
          <w:highlight w:val="none"/>
        </w:rPr>
        <w:t>规划活动密切相关的主要是环境要素中的地表水和生态，及资源要素中的水资源</w:t>
      </w:r>
    </w:p>
    <w:p>
      <w:pPr>
        <w:pStyle w:val="6"/>
        <w:bidi w:val="0"/>
        <w:rPr>
          <w:color w:val="auto"/>
          <w:highlight w:val="none"/>
        </w:rPr>
      </w:pPr>
      <w:r>
        <w:rPr>
          <w:color w:val="auto"/>
          <w:highlight w:val="none"/>
        </w:rPr>
        <w:t xml:space="preserve">利用上述分析结果，得出规划范围内累积环境影响主要评价因子为： </w:t>
      </w:r>
    </w:p>
    <w:p>
      <w:pPr>
        <w:pStyle w:val="6"/>
        <w:bidi w:val="0"/>
        <w:rPr>
          <w:color w:val="auto"/>
          <w:highlight w:val="none"/>
        </w:rPr>
      </w:pPr>
      <w:r>
        <w:rPr>
          <w:color w:val="auto"/>
          <w:highlight w:val="none"/>
        </w:rPr>
        <w:t>P1：地表水累积环境影响，以时间尺度为主 ；</w:t>
      </w:r>
    </w:p>
    <w:p>
      <w:pPr>
        <w:pStyle w:val="6"/>
        <w:bidi w:val="0"/>
        <w:rPr>
          <w:color w:val="auto"/>
          <w:highlight w:val="none"/>
        </w:rPr>
      </w:pPr>
      <w:r>
        <w:rPr>
          <w:color w:val="auto"/>
          <w:highlight w:val="none"/>
        </w:rPr>
        <w:t>P2：水资源累积环境影响，以时间尺度为主 ；</w:t>
      </w:r>
    </w:p>
    <w:p>
      <w:pPr>
        <w:pStyle w:val="6"/>
        <w:bidi w:val="0"/>
        <w:rPr>
          <w:color w:val="auto"/>
          <w:highlight w:val="none"/>
        </w:rPr>
      </w:pPr>
      <w:r>
        <w:rPr>
          <w:color w:val="auto"/>
          <w:highlight w:val="none"/>
        </w:rPr>
        <w:t>P3：生态累积环境影响，以时间尺度为主。</w:t>
      </w:r>
    </w:p>
    <w:p>
      <w:pPr>
        <w:pStyle w:val="5"/>
        <w:bidi w:val="0"/>
        <w:rPr>
          <w:highlight w:val="none"/>
        </w:rPr>
      </w:pPr>
      <w:bookmarkStart w:id="193" w:name="_Toc1363"/>
      <w:bookmarkStart w:id="194" w:name="_Toc18224"/>
      <w:r>
        <w:rPr>
          <w:highlight w:val="none"/>
        </w:rPr>
        <w:t>5.</w:t>
      </w:r>
      <w:r>
        <w:rPr>
          <w:rFonts w:hint="eastAsia"/>
          <w:highlight w:val="none"/>
          <w:lang w:val="en-US" w:eastAsia="zh-CN"/>
        </w:rPr>
        <w:t>5</w:t>
      </w:r>
      <w:r>
        <w:rPr>
          <w:highlight w:val="none"/>
        </w:rPr>
        <w:t>.3累积环境影响评价</w:t>
      </w:r>
      <w:bookmarkEnd w:id="193"/>
      <w:bookmarkEnd w:id="194"/>
      <w:r>
        <w:rPr>
          <w:highlight w:val="none"/>
        </w:rPr>
        <w:t xml:space="preserve"> </w:t>
      </w:r>
    </w:p>
    <w:p>
      <w:pPr>
        <w:pStyle w:val="6"/>
        <w:bidi w:val="0"/>
        <w:rPr>
          <w:color w:val="auto"/>
          <w:highlight w:val="none"/>
        </w:rPr>
      </w:pPr>
      <w:r>
        <w:rPr>
          <w:color w:val="auto"/>
          <w:highlight w:val="none"/>
        </w:rPr>
        <w:t>（1）P1累积环境影响评价</w:t>
      </w:r>
    </w:p>
    <w:p>
      <w:pPr>
        <w:pStyle w:val="6"/>
        <w:bidi w:val="0"/>
        <w:rPr>
          <w:highlight w:val="none"/>
        </w:rPr>
      </w:pPr>
      <w:r>
        <w:rPr>
          <w:rFonts w:hint="eastAsia"/>
          <w:highlight w:val="none"/>
        </w:rPr>
        <w:t>林芝市</w:t>
      </w:r>
      <w:r>
        <w:rPr>
          <w:rFonts w:hint="eastAsia"/>
          <w:highlight w:val="none"/>
          <w:lang w:val="en-US" w:eastAsia="zh-CN"/>
        </w:rPr>
        <w:t>2020年</w:t>
      </w:r>
      <w:r>
        <w:rPr>
          <w:rFonts w:hint="eastAsia"/>
          <w:highlight w:val="none"/>
        </w:rPr>
        <w:t>共设置地表水常规监测断面20个</w:t>
      </w:r>
      <w:r>
        <w:rPr>
          <w:rFonts w:hint="eastAsia"/>
          <w:highlight w:val="none"/>
          <w:lang w:eastAsia="zh-CN"/>
        </w:rPr>
        <w:t>，均达到《地表水环境质量标准》（GB3838-2002）Ⅲ类标准要求。</w:t>
      </w:r>
    </w:p>
    <w:p>
      <w:pPr>
        <w:pStyle w:val="6"/>
        <w:bidi w:val="0"/>
        <w:rPr>
          <w:color w:val="auto"/>
          <w:highlight w:val="none"/>
        </w:rPr>
      </w:pPr>
      <w:r>
        <w:rPr>
          <w:color w:val="auto"/>
          <w:highlight w:val="none"/>
        </w:rPr>
        <w:t>根据规划发展方向及重点，环评建议规划区依托城市建成区而建的规划项目（未确定选址的），选址首先考虑已敷设污水收集管网的区域，旅游区内产生的废水经过预处理达到《污水综合排放标准》（GB8978-1996）三级标准及《污水排入城镇下水道 水质标准》（GB/T1962-2015）一级</w:t>
      </w:r>
      <w:r>
        <w:rPr>
          <w:rFonts w:hint="eastAsia"/>
          <w:color w:val="auto"/>
          <w:highlight w:val="none"/>
        </w:rPr>
        <w:t>A</w:t>
      </w:r>
      <w:r>
        <w:rPr>
          <w:color w:val="auto"/>
          <w:highlight w:val="none"/>
        </w:rPr>
        <w:t>等级标准后排入市政污水管网，最终进入污水处理厂进行处理。无法依托市政污水管网的，或选址位于远离城市建成区的规划项目，各景区配套生态污水处理站或小型污水处理站，并要求污水经处理达到《城市污水再生利用 城市杂用水水质》（GB/T18920-2002）标准后回用，回用不完部分处理达到《城镇污水处理厂污染物排放标准》（GB18918-2002）一级</w:t>
      </w:r>
      <w:r>
        <w:rPr>
          <w:rFonts w:hint="eastAsia"/>
          <w:color w:val="auto"/>
          <w:highlight w:val="none"/>
        </w:rPr>
        <w:t>A</w:t>
      </w:r>
      <w:r>
        <w:rPr>
          <w:color w:val="auto"/>
          <w:highlight w:val="none"/>
        </w:rPr>
        <w:t>标准排放。规划区内已开发的景区配套建设污水处理站，已建有污水处理站的，提倡改进污水处理工艺，将 处理后达到回用标准的回用于景观、绿化及洒水降尘等，减少排放量，剩余达到《城镇污水处理厂污染物排放标准》（GB18918-2002）一级</w:t>
      </w:r>
      <w:r>
        <w:rPr>
          <w:rFonts w:hint="eastAsia"/>
          <w:color w:val="auto"/>
          <w:highlight w:val="none"/>
        </w:rPr>
        <w:t>A</w:t>
      </w:r>
      <w:r>
        <w:rPr>
          <w:color w:val="auto"/>
          <w:highlight w:val="none"/>
        </w:rPr>
        <w:t>标后排放。</w:t>
      </w:r>
    </w:p>
    <w:p>
      <w:pPr>
        <w:pStyle w:val="6"/>
        <w:bidi w:val="0"/>
        <w:rPr>
          <w:rFonts w:hint="eastAsia"/>
          <w:color w:val="auto"/>
          <w:highlight w:val="none"/>
          <w:lang w:val="en-US" w:eastAsia="zh-CN"/>
        </w:rPr>
      </w:pPr>
      <w:r>
        <w:rPr>
          <w:rFonts w:hint="eastAsia"/>
          <w:color w:val="auto"/>
          <w:highlight w:val="none"/>
          <w:lang w:val="en-US" w:eastAsia="zh-CN"/>
        </w:rPr>
        <w:t>（2）P2累积环境影响评价</w:t>
      </w:r>
    </w:p>
    <w:p>
      <w:pPr>
        <w:pStyle w:val="6"/>
        <w:bidi w:val="0"/>
        <w:rPr>
          <w:rFonts w:hint="eastAsia"/>
          <w:color w:val="auto"/>
          <w:highlight w:val="none"/>
          <w:lang w:val="en-US" w:eastAsia="zh-CN"/>
        </w:rPr>
      </w:pPr>
      <w:r>
        <w:rPr>
          <w:rFonts w:hint="eastAsia"/>
          <w:color w:val="auto"/>
          <w:highlight w:val="none"/>
        </w:rPr>
        <w:t>根据规划，</w:t>
      </w:r>
      <w:r>
        <w:rPr>
          <w:rFonts w:hint="eastAsia"/>
          <w:color w:val="auto"/>
          <w:highlight w:val="none"/>
          <w:lang w:val="en-US" w:eastAsia="zh-CN"/>
        </w:rPr>
        <w:t>2025</w:t>
      </w:r>
      <w:r>
        <w:rPr>
          <w:rFonts w:hint="eastAsia"/>
          <w:color w:val="auto"/>
          <w:highlight w:val="none"/>
        </w:rPr>
        <w:t>年预测旅游用水量约</w:t>
      </w:r>
      <w:r>
        <w:rPr>
          <w:rFonts w:hint="eastAsia"/>
          <w:color w:val="auto"/>
          <w:highlight w:val="none"/>
          <w:lang w:val="en-US" w:eastAsia="zh-CN"/>
        </w:rPr>
        <w:t>228</w:t>
      </w:r>
      <w:r>
        <w:rPr>
          <w:rFonts w:hint="eastAsia"/>
          <w:color w:val="auto"/>
          <w:highlight w:val="none"/>
        </w:rPr>
        <w:t>万m</w:t>
      </w:r>
      <w:r>
        <w:rPr>
          <w:rFonts w:hint="eastAsia"/>
          <w:color w:val="auto"/>
          <w:highlight w:val="none"/>
          <w:vertAlign w:val="superscript"/>
        </w:rPr>
        <w:t>3</w:t>
      </w:r>
      <w:r>
        <w:rPr>
          <w:rFonts w:hint="eastAsia"/>
          <w:color w:val="auto"/>
          <w:highlight w:val="none"/>
        </w:rPr>
        <w:t>，占水资源总量的</w:t>
      </w:r>
      <w:r>
        <w:rPr>
          <w:rFonts w:hint="eastAsia"/>
          <w:lang w:val="en-US" w:eastAsia="zh-CN"/>
        </w:rPr>
        <w:t>0.0009</w:t>
      </w:r>
      <w:r>
        <w:rPr>
          <w:rFonts w:hint="eastAsia"/>
        </w:rPr>
        <w:t>%</w:t>
      </w:r>
      <w:r>
        <w:rPr>
          <w:rFonts w:hint="eastAsia"/>
          <w:color w:val="auto"/>
          <w:highlight w:val="none"/>
        </w:rPr>
        <w:t>；其中用水量最大的是巴宜，2025年旅游耗水量约</w:t>
      </w:r>
      <w:r>
        <w:rPr>
          <w:rFonts w:hint="eastAsia"/>
          <w:color w:val="auto"/>
          <w:highlight w:val="none"/>
          <w:lang w:val="en-US" w:eastAsia="zh-CN"/>
        </w:rPr>
        <w:t>73.5</w:t>
      </w:r>
      <w:r>
        <w:rPr>
          <w:rFonts w:hint="eastAsia"/>
          <w:color w:val="auto"/>
          <w:highlight w:val="none"/>
        </w:rPr>
        <w:t>万m</w:t>
      </w:r>
      <w:r>
        <w:rPr>
          <w:rFonts w:hint="eastAsia"/>
          <w:color w:val="auto"/>
          <w:highlight w:val="none"/>
          <w:vertAlign w:val="superscript"/>
        </w:rPr>
        <w:t>3</w:t>
      </w:r>
      <w:r>
        <w:rPr>
          <w:rFonts w:hint="eastAsia"/>
          <w:color w:val="auto"/>
          <w:highlight w:val="none"/>
        </w:rPr>
        <w:t>，占2020年水资源总量比例约0.007%。</w:t>
      </w:r>
      <w:r>
        <w:rPr>
          <w:rFonts w:hint="eastAsia"/>
          <w:color w:val="auto"/>
          <w:highlight w:val="none"/>
          <w:lang w:val="en-US" w:eastAsia="zh-CN"/>
        </w:rPr>
        <w:t>随着规划年内的各类节水、回用水工程的增加，新水耗水量将进一步减少。由此可见，林芝市现有水资源量能够满足本规划末期旅游用水量需求。</w:t>
      </w:r>
    </w:p>
    <w:p>
      <w:pPr>
        <w:pStyle w:val="6"/>
        <w:bidi w:val="0"/>
        <w:rPr>
          <w:color w:val="auto"/>
          <w:highlight w:val="none"/>
        </w:rPr>
      </w:pPr>
      <w:r>
        <w:rPr>
          <w:color w:val="auto"/>
          <w:highlight w:val="none"/>
        </w:rPr>
        <w:t>（</w:t>
      </w:r>
      <w:r>
        <w:rPr>
          <w:rFonts w:hint="eastAsia"/>
          <w:color w:val="auto"/>
          <w:highlight w:val="none"/>
          <w:lang w:val="en-US" w:eastAsia="zh-CN"/>
        </w:rPr>
        <w:t>3</w:t>
      </w:r>
      <w:r>
        <w:rPr>
          <w:color w:val="auto"/>
          <w:highlight w:val="none"/>
        </w:rPr>
        <w:t>）P3累积环境影响</w:t>
      </w:r>
    </w:p>
    <w:p>
      <w:pPr>
        <w:pStyle w:val="6"/>
        <w:bidi w:val="0"/>
        <w:rPr>
          <w:color w:val="auto"/>
          <w:highlight w:val="none"/>
        </w:rPr>
      </w:pPr>
      <w:r>
        <w:rPr>
          <w:color w:val="auto"/>
          <w:highlight w:val="none"/>
        </w:rPr>
        <w:t>通过生态环境影响分析，</w:t>
      </w:r>
      <w:r>
        <w:rPr>
          <w:rFonts w:hint="eastAsia"/>
          <w:color w:val="auto"/>
          <w:highlight w:val="none"/>
        </w:rPr>
        <w:t>林芝市</w:t>
      </w:r>
      <w:r>
        <w:rPr>
          <w:color w:val="auto"/>
          <w:highlight w:val="none"/>
        </w:rPr>
        <w:t>是生态系统内部的均衡状态受到破坏后，人为力量难以恢复整个系统。随着规划的实施，大量项目投入建设，相关的基础设施也将开始建设，这些项目将占用大量土地，改变现有土地使用功能，对生态环境产生一定的影响，随着项目绿地工程的建设，生态环境影响有所缓解。</w:t>
      </w:r>
    </w:p>
    <w:p>
      <w:pPr>
        <w:pStyle w:val="5"/>
        <w:bidi w:val="0"/>
        <w:rPr>
          <w:rFonts w:hint="eastAsia"/>
          <w:color w:val="auto"/>
          <w:highlight w:val="none"/>
        </w:rPr>
      </w:pPr>
      <w:bookmarkStart w:id="195" w:name="_Toc19184"/>
      <w:r>
        <w:rPr>
          <w:rFonts w:hint="eastAsia"/>
          <w:color w:val="auto"/>
          <w:highlight w:val="none"/>
        </w:rPr>
        <w:t>5.</w:t>
      </w:r>
      <w:r>
        <w:rPr>
          <w:rFonts w:hint="eastAsia"/>
          <w:color w:val="auto"/>
          <w:highlight w:val="none"/>
          <w:lang w:val="en-US" w:eastAsia="zh-CN"/>
        </w:rPr>
        <w:t>5</w:t>
      </w:r>
      <w:r>
        <w:rPr>
          <w:rFonts w:hint="eastAsia"/>
          <w:color w:val="auto"/>
          <w:highlight w:val="none"/>
        </w:rPr>
        <w:t>.4对策及建议</w:t>
      </w:r>
      <w:bookmarkEnd w:id="195"/>
    </w:p>
    <w:p>
      <w:pPr>
        <w:pStyle w:val="6"/>
        <w:bidi w:val="0"/>
        <w:rPr>
          <w:rFonts w:hint="eastAsia"/>
          <w:color w:val="auto"/>
          <w:highlight w:val="none"/>
        </w:rPr>
      </w:pPr>
      <w:r>
        <w:rPr>
          <w:rFonts w:hint="eastAsia"/>
          <w:color w:val="auto"/>
          <w:highlight w:val="none"/>
        </w:rPr>
        <w:t>（1）强化环境管理，加强环境监测，建立长效监督体制；</w:t>
      </w:r>
    </w:p>
    <w:p>
      <w:pPr>
        <w:pStyle w:val="6"/>
        <w:bidi w:val="0"/>
        <w:rPr>
          <w:rFonts w:hint="eastAsia"/>
          <w:color w:val="auto"/>
          <w:highlight w:val="none"/>
        </w:rPr>
      </w:pPr>
      <w:r>
        <w:rPr>
          <w:rFonts w:hint="eastAsia"/>
          <w:color w:val="auto"/>
          <w:highlight w:val="none"/>
        </w:rPr>
        <w:t xml:space="preserve">（2）加强环境宣传教育，提高生态保护和可持续发展的环境意识。 </w:t>
      </w:r>
    </w:p>
    <w:p>
      <w:pPr>
        <w:pStyle w:val="5"/>
        <w:bidi w:val="0"/>
        <w:rPr>
          <w:rFonts w:hint="eastAsia"/>
          <w:color w:val="auto"/>
          <w:highlight w:val="none"/>
        </w:rPr>
      </w:pPr>
      <w:bookmarkStart w:id="196" w:name="_Toc30342"/>
      <w:r>
        <w:rPr>
          <w:rFonts w:hint="eastAsia"/>
          <w:color w:val="auto"/>
          <w:highlight w:val="none"/>
        </w:rPr>
        <w:t>5</w:t>
      </w:r>
      <w:r>
        <w:rPr>
          <w:rFonts w:hint="eastAsia"/>
          <w:color w:val="auto"/>
          <w:highlight w:val="none"/>
          <w:lang w:val="en-US" w:eastAsia="zh-CN"/>
        </w:rPr>
        <w:t>.5.5</w:t>
      </w:r>
      <w:r>
        <w:rPr>
          <w:rFonts w:hint="eastAsia"/>
          <w:color w:val="auto"/>
          <w:highlight w:val="none"/>
        </w:rPr>
        <w:t>遇到的困难</w:t>
      </w:r>
      <w:bookmarkEnd w:id="196"/>
    </w:p>
    <w:p>
      <w:pPr>
        <w:pStyle w:val="6"/>
        <w:bidi w:val="0"/>
        <w:rPr>
          <w:color w:val="auto"/>
          <w:highlight w:val="none"/>
        </w:rPr>
      </w:pPr>
      <w:r>
        <w:rPr>
          <w:rFonts w:hint="eastAsia"/>
          <w:color w:val="auto"/>
          <w:highlight w:val="none"/>
        </w:rPr>
        <w:t>现有的区域环境影响评价体系，尚未明确针对累积影响评价提出法定要求，关于累积影响评价缺乏相应的技术导则、明确的评价步骤和文本格式的要求。本规划累积影响评价所需的基础资料不足，在实际研究中做了假设和简化，注重于定性分析，定量略显分析不足。</w:t>
      </w:r>
    </w:p>
    <w:bookmarkEnd w:id="188"/>
    <w:p>
      <w:pPr>
        <w:pStyle w:val="6"/>
        <w:bidi w:val="0"/>
        <w:rPr>
          <w:color w:val="auto"/>
          <w:highlight w:val="none"/>
        </w:rPr>
        <w:sectPr>
          <w:pgSz w:w="11906" w:h="16838"/>
          <w:pgMar w:top="1440" w:right="1797" w:bottom="1440" w:left="1797" w:header="851" w:footer="992" w:gutter="0"/>
          <w:pgNumType w:fmt="decimal"/>
          <w:cols w:space="720" w:num="1"/>
          <w:docGrid w:linePitch="415" w:charSpace="0"/>
        </w:sectPr>
      </w:pPr>
    </w:p>
    <w:p>
      <w:pPr>
        <w:pStyle w:val="3"/>
        <w:bidi w:val="0"/>
        <w:rPr>
          <w:rFonts w:hint="eastAsia"/>
          <w:color w:val="auto"/>
          <w:highlight w:val="none"/>
        </w:rPr>
      </w:pPr>
      <w:bookmarkStart w:id="197" w:name="_Toc4664"/>
      <w:bookmarkStart w:id="198" w:name="_Toc93156053"/>
      <w:bookmarkStart w:id="199" w:name="_Toc26038"/>
      <w:r>
        <w:rPr>
          <w:rFonts w:hint="eastAsia"/>
          <w:color w:val="auto"/>
          <w:highlight w:val="none"/>
          <w:lang w:val="en-US" w:eastAsia="zh-CN"/>
        </w:rPr>
        <w:t>6</w:t>
      </w:r>
      <w:r>
        <w:rPr>
          <w:rFonts w:hint="eastAsia"/>
          <w:color w:val="auto"/>
          <w:highlight w:val="none"/>
        </w:rPr>
        <w:t>规划方案综合论证和优化调整建议</w:t>
      </w:r>
      <w:bookmarkEnd w:id="197"/>
      <w:bookmarkEnd w:id="198"/>
    </w:p>
    <w:p>
      <w:pPr>
        <w:pStyle w:val="4"/>
        <w:rPr>
          <w:rFonts w:hint="eastAsia"/>
        </w:rPr>
      </w:pPr>
      <w:bookmarkStart w:id="200" w:name="_Toc1636"/>
      <w:bookmarkStart w:id="201" w:name="_Toc23286"/>
      <w:r>
        <w:rPr>
          <w:rFonts w:hint="eastAsia"/>
          <w:lang w:val="en-US" w:eastAsia="zh-CN"/>
        </w:rPr>
        <w:t>6</w:t>
      </w:r>
      <w:r>
        <w:rPr>
          <w:rFonts w:hint="eastAsia"/>
        </w:rPr>
        <w:t>.1规划方案综合论证</w:t>
      </w:r>
      <w:bookmarkEnd w:id="200"/>
      <w:bookmarkEnd w:id="201"/>
    </w:p>
    <w:p>
      <w:pPr>
        <w:pStyle w:val="6"/>
        <w:ind w:firstLine="482"/>
        <w:rPr>
          <w:rFonts w:hint="eastAsia"/>
          <w:b/>
          <w:bCs/>
        </w:rPr>
      </w:pPr>
      <w:r>
        <w:rPr>
          <w:rFonts w:hint="eastAsia"/>
          <w:b/>
          <w:bCs/>
        </w:rPr>
        <w:t>1、规划目标与发展定位环境合理性分析</w:t>
      </w:r>
    </w:p>
    <w:p>
      <w:pPr>
        <w:pStyle w:val="6"/>
        <w:bidi w:val="0"/>
        <w:rPr>
          <w:rFonts w:hint="eastAsia"/>
          <w:color w:val="1A15F1"/>
          <w:highlight w:val="none"/>
        </w:rPr>
      </w:pPr>
      <w:r>
        <w:rPr>
          <w:rFonts w:hint="eastAsia"/>
          <w:color w:val="1A15F1"/>
          <w:lang w:eastAsia="zh-CN"/>
        </w:rPr>
        <w:t>“</w:t>
      </w:r>
      <w:r>
        <w:rPr>
          <w:rFonts w:hint="eastAsia"/>
          <w:color w:val="1A15F1"/>
        </w:rPr>
        <w:t>林芝市全域旅游发展规划（2018-2025年）</w:t>
      </w:r>
      <w:r>
        <w:rPr>
          <w:rFonts w:hint="eastAsia"/>
          <w:color w:val="1A15F1"/>
          <w:lang w:eastAsia="zh-CN"/>
        </w:rPr>
        <w:t>”</w:t>
      </w:r>
      <w:r>
        <w:rPr>
          <w:rFonts w:hint="eastAsia"/>
          <w:color w:val="1A15F1"/>
          <w:lang w:val="en-US" w:eastAsia="zh-CN"/>
        </w:rPr>
        <w:t>的</w:t>
      </w:r>
      <w:r>
        <w:rPr>
          <w:rFonts w:hint="default"/>
          <w:color w:val="1A15F1"/>
          <w:highlight w:val="none"/>
          <w:lang w:val="en-US" w:eastAsia="zh-CN"/>
        </w:rPr>
        <w:t>旅游形象定位</w:t>
      </w:r>
      <w:r>
        <w:rPr>
          <w:rFonts w:hint="eastAsia"/>
          <w:color w:val="1A15F1"/>
          <w:highlight w:val="none"/>
          <w:lang w:val="en-US" w:eastAsia="zh-CN"/>
        </w:rPr>
        <w:t>为“</w:t>
      </w:r>
      <w:r>
        <w:rPr>
          <w:rFonts w:hint="default"/>
          <w:color w:val="1A15F1"/>
          <w:highlight w:val="none"/>
          <w:lang w:val="en-US" w:eastAsia="zh-CN"/>
        </w:rPr>
        <w:t>人间净地·醉美林芝</w:t>
      </w:r>
      <w:r>
        <w:rPr>
          <w:rFonts w:hint="eastAsia"/>
          <w:color w:val="1A15F1"/>
          <w:highlight w:val="none"/>
          <w:lang w:val="en-US" w:eastAsia="zh-CN"/>
        </w:rPr>
        <w:t>”。</w:t>
      </w:r>
      <w:r>
        <w:rPr>
          <w:rFonts w:hint="eastAsia"/>
          <w:color w:val="1A15F1"/>
          <w:highlight w:val="none"/>
        </w:rPr>
        <w:t>从市场到政府，搭建全域旅游大平台</w:t>
      </w:r>
      <w:r>
        <w:rPr>
          <w:rFonts w:hint="eastAsia"/>
          <w:color w:val="1A15F1"/>
          <w:highlight w:val="none"/>
          <w:lang w:eastAsia="zh-CN"/>
        </w:rPr>
        <w:t>，</w:t>
      </w:r>
      <w:r>
        <w:rPr>
          <w:rFonts w:hint="eastAsia"/>
          <w:color w:val="1A15F1"/>
          <w:highlight w:val="none"/>
        </w:rPr>
        <w:t>激发多边协作。立足</w:t>
      </w:r>
      <w:r>
        <w:rPr>
          <w:rFonts w:hint="eastAsia"/>
          <w:color w:val="1A15F1"/>
          <w:highlight w:val="none"/>
          <w:lang w:val="en-US" w:eastAsia="zh-CN"/>
        </w:rPr>
        <w:t>林芝市</w:t>
      </w:r>
      <w:r>
        <w:rPr>
          <w:rFonts w:hint="eastAsia"/>
          <w:color w:val="1A15F1"/>
          <w:highlight w:val="none"/>
        </w:rPr>
        <w:t>自身资源、紧跟市场需求、围绕旅游体验、创新旅游产品，快速构建核心吸引力。从景区到产业，逐步培育全域旅游核心竞争力推动泛景区化旅游目的地建设，发展15个泛景区化旅游目的地，形成“一主轴三环线”旅游发展带，引导旅游产业集聚。</w:t>
      </w:r>
      <w:r>
        <w:rPr>
          <w:rFonts w:hint="eastAsia"/>
          <w:color w:val="1A15F1"/>
          <w:highlight w:val="none"/>
          <w:lang w:val="en-US" w:eastAsia="zh-CN"/>
        </w:rPr>
        <w:t>规划</w:t>
      </w:r>
      <w:r>
        <w:rPr>
          <w:rFonts w:hint="eastAsia"/>
          <w:color w:val="1A15F1"/>
          <w:highlight w:val="none"/>
        </w:rPr>
        <w:t>远期提升</w:t>
      </w:r>
      <w:r>
        <w:rPr>
          <w:rFonts w:hint="eastAsia"/>
          <w:color w:val="1A15F1"/>
          <w:highlight w:val="none"/>
          <w:lang w:val="en-US" w:eastAsia="zh-CN"/>
        </w:rPr>
        <w:t>旅游</w:t>
      </w:r>
      <w:r>
        <w:rPr>
          <w:rFonts w:hint="eastAsia"/>
          <w:color w:val="1A15F1"/>
          <w:highlight w:val="none"/>
        </w:rPr>
        <w:t>品质，逐步跨越，</w:t>
      </w:r>
      <w:r>
        <w:rPr>
          <w:rFonts w:hint="eastAsia"/>
          <w:color w:val="1A15F1"/>
          <w:highlight w:val="none"/>
          <w:lang w:val="en-US" w:eastAsia="zh-CN"/>
        </w:rPr>
        <w:t>使林芝市</w:t>
      </w:r>
      <w:r>
        <w:rPr>
          <w:rFonts w:hint="eastAsia"/>
          <w:color w:val="1A15F1"/>
          <w:highlight w:val="none"/>
        </w:rPr>
        <w:t>晋身世界级高原生态旅游度假目的地和世界级公路旅游目的地。</w:t>
      </w:r>
    </w:p>
    <w:p>
      <w:pPr>
        <w:pStyle w:val="6"/>
        <w:ind w:firstLine="480"/>
        <w:rPr>
          <w:rFonts w:hint="eastAsia"/>
        </w:rPr>
      </w:pPr>
      <w:r>
        <w:rPr>
          <w:rFonts w:hint="eastAsia"/>
          <w:color w:val="1A15F1"/>
        </w:rPr>
        <w:t>本次规划定位及目标与林芝市主体功能区划总体一致，通过采取适当开发控制策略和保护措施，与生态环境保护功能可以协调发展。同时</w:t>
      </w:r>
      <w:r>
        <w:rPr>
          <w:rFonts w:hint="eastAsia"/>
          <w:color w:val="1A15F1"/>
          <w:highlight w:val="none"/>
          <w:lang w:val="en-US" w:eastAsia="zh-CN"/>
        </w:rPr>
        <w:t>规划实施过程林芝市</w:t>
      </w:r>
      <w:r>
        <w:rPr>
          <w:rFonts w:hint="default"/>
          <w:color w:val="1A15F1"/>
          <w:highlight w:val="none"/>
          <w:lang w:val="en-US" w:eastAsia="zh-CN"/>
        </w:rPr>
        <w:t>旅游景区从封闭的旅游自循环向开放的发展方式转变，形成全产业链式发展，</w:t>
      </w:r>
      <w:r>
        <w:rPr>
          <w:rFonts w:hint="eastAsia"/>
          <w:color w:val="1A15F1"/>
          <w:highlight w:val="none"/>
          <w:lang w:val="en-US" w:eastAsia="zh-CN"/>
        </w:rPr>
        <w:t>规划的实施</w:t>
      </w:r>
      <w:r>
        <w:rPr>
          <w:rFonts w:hint="eastAsia"/>
          <w:color w:val="1A15F1"/>
          <w:highlight w:val="none"/>
        </w:rPr>
        <w:t>完善</w:t>
      </w:r>
      <w:r>
        <w:rPr>
          <w:rFonts w:hint="eastAsia"/>
          <w:color w:val="1A15F1"/>
          <w:highlight w:val="none"/>
          <w:lang w:val="en-US" w:eastAsia="zh-CN"/>
        </w:rPr>
        <w:t>了林芝市</w:t>
      </w:r>
      <w:r>
        <w:rPr>
          <w:rFonts w:hint="eastAsia"/>
          <w:color w:val="1A15F1"/>
          <w:highlight w:val="none"/>
        </w:rPr>
        <w:t>旅游产品供给体系，推动</w:t>
      </w:r>
      <w:r>
        <w:rPr>
          <w:rFonts w:hint="eastAsia"/>
          <w:color w:val="1A15F1"/>
          <w:highlight w:val="none"/>
          <w:lang w:val="en-US" w:eastAsia="zh-CN"/>
        </w:rPr>
        <w:t>林芝市</w:t>
      </w:r>
      <w:r>
        <w:rPr>
          <w:rFonts w:hint="eastAsia"/>
          <w:color w:val="1A15F1"/>
          <w:highlight w:val="none"/>
        </w:rPr>
        <w:t>“旅游+”和“+旅游”</w:t>
      </w:r>
      <w:r>
        <w:rPr>
          <w:rFonts w:hint="eastAsia"/>
          <w:color w:val="1A15F1"/>
          <w:highlight w:val="none"/>
          <w:lang w:val="en-US" w:eastAsia="zh-CN"/>
        </w:rPr>
        <w:t>体系发展</w:t>
      </w:r>
      <w:r>
        <w:rPr>
          <w:rFonts w:hint="eastAsia"/>
          <w:color w:val="1A15F1"/>
          <w:highlight w:val="none"/>
        </w:rPr>
        <w:t>，形成多产业融合发展新局面</w:t>
      </w:r>
      <w:r>
        <w:rPr>
          <w:rFonts w:hint="eastAsia"/>
        </w:rPr>
        <w:t>。规划区主要环境敏感区是林芝市内饮用水水源保护区、文物保护单位、自然保护区、森林公园、湿地公园等。从旅游规划特点看，自然保护区，森林公园、湿地公园是旅游开发的重点依托。因此，只要本规划建设内容在选址建设时，在严格执行各敏感区相关保护规定和对各敏感区采取保护措施的情况下，项目规划布局应与各敏感区规划及保护规定相协调。</w:t>
      </w:r>
    </w:p>
    <w:p>
      <w:pPr>
        <w:pStyle w:val="6"/>
        <w:ind w:firstLine="480"/>
        <w:rPr>
          <w:rFonts w:hint="eastAsia"/>
        </w:rPr>
      </w:pPr>
      <w:r>
        <w:rPr>
          <w:rFonts w:hint="eastAsia"/>
        </w:rPr>
        <w:t>本次规划在水资源、土地资源、能源等各项资源能源能够得到保障，并通过本次环评提出的环境保护措施和优化调整建议来减轻本规划方案所面临及产生的资源和环境压力的前提下，能实现旅游业远期规划的产值目标，总体来说，本次规划目标及定位基本合理。</w:t>
      </w:r>
    </w:p>
    <w:p>
      <w:pPr>
        <w:pStyle w:val="6"/>
        <w:ind w:firstLine="482"/>
        <w:rPr>
          <w:rFonts w:hint="eastAsia"/>
          <w:b/>
          <w:bCs/>
        </w:rPr>
      </w:pPr>
      <w:r>
        <w:rPr>
          <w:rFonts w:hint="eastAsia"/>
          <w:b/>
          <w:bCs/>
        </w:rPr>
        <w:t>2、规划规模的环境合理性</w:t>
      </w:r>
    </w:p>
    <w:p>
      <w:pPr>
        <w:pStyle w:val="6"/>
        <w:ind w:firstLine="480"/>
        <w:rPr>
          <w:rFonts w:hint="eastAsia"/>
          <w:color w:val="1A15F1"/>
        </w:rPr>
      </w:pPr>
      <w:r>
        <w:rPr>
          <w:rFonts w:hint="eastAsia"/>
          <w:color w:val="1A15F1"/>
        </w:rPr>
        <w:t>根据预测分析，规划末年20</w:t>
      </w:r>
      <w:r>
        <w:rPr>
          <w:rFonts w:hint="eastAsia"/>
          <w:color w:val="1A15F1"/>
          <w:lang w:val="en-US" w:eastAsia="zh-CN"/>
        </w:rPr>
        <w:t>25</w:t>
      </w:r>
      <w:r>
        <w:rPr>
          <w:rFonts w:hint="eastAsia"/>
          <w:color w:val="1A15F1"/>
        </w:rPr>
        <w:t>年，旅游车辆污染物SO</w:t>
      </w:r>
      <w:r>
        <w:rPr>
          <w:rFonts w:hint="eastAsia"/>
          <w:color w:val="1A15F1"/>
          <w:vertAlign w:val="subscript"/>
        </w:rPr>
        <w:t>2</w:t>
      </w:r>
      <w:r>
        <w:rPr>
          <w:rFonts w:hint="eastAsia"/>
          <w:color w:val="1A15F1"/>
        </w:rPr>
        <w:t>、NOx排放总量小于林芝市“三线一单”</w:t>
      </w:r>
      <w:r>
        <w:rPr>
          <w:rFonts w:hint="eastAsia"/>
          <w:color w:val="1A15F1"/>
          <w:lang w:val="en-US" w:eastAsia="zh-CN"/>
        </w:rPr>
        <w:t>2025</w:t>
      </w:r>
      <w:r>
        <w:rPr>
          <w:rFonts w:hint="eastAsia"/>
          <w:color w:val="1A15F1"/>
        </w:rPr>
        <w:t>废气污染物排放总量，满足林芝市“三线一单”要求</w:t>
      </w:r>
      <w:r>
        <w:rPr>
          <w:rFonts w:hint="eastAsia"/>
          <w:color w:val="1A15F1"/>
          <w:lang w:eastAsia="zh-CN"/>
        </w:rPr>
        <w:t>。</w:t>
      </w:r>
      <w:r>
        <w:rPr>
          <w:rFonts w:hint="eastAsia"/>
          <w:color w:val="1A15F1"/>
        </w:rPr>
        <w:t>至规划末年2025年，生活污水排放量约为</w:t>
      </w:r>
      <w:r>
        <w:rPr>
          <w:rFonts w:hint="eastAsia"/>
          <w:color w:val="00B050"/>
          <w:lang w:val="en-US" w:eastAsia="zh-CN"/>
        </w:rPr>
        <w:t>91.2</w:t>
      </w:r>
      <w:r>
        <w:rPr>
          <w:rFonts w:hint="eastAsia"/>
          <w:color w:val="00B050"/>
        </w:rPr>
        <w:t>t、</w:t>
      </w:r>
      <w:r>
        <w:rPr>
          <w:rFonts w:hint="eastAsia"/>
          <w:color w:val="00B050"/>
          <w:lang w:val="en-US" w:eastAsia="zh-CN"/>
        </w:rPr>
        <w:t>9.12</w:t>
      </w:r>
      <w:r>
        <w:rPr>
          <w:rFonts w:hint="eastAsia"/>
          <w:color w:val="00B050"/>
        </w:rPr>
        <w:t>t、</w:t>
      </w:r>
      <w:r>
        <w:rPr>
          <w:rFonts w:hint="eastAsia"/>
          <w:color w:val="00B050"/>
          <w:lang w:val="en-US" w:eastAsia="zh-CN"/>
        </w:rPr>
        <w:t>0.91</w:t>
      </w:r>
      <w:r>
        <w:rPr>
          <w:rFonts w:hint="eastAsia"/>
          <w:color w:val="00B050"/>
        </w:rPr>
        <w:t>t</w:t>
      </w:r>
      <w:r>
        <w:rPr>
          <w:rFonts w:hint="eastAsia"/>
          <w:color w:val="1A15F1"/>
        </w:rPr>
        <w:t>，分别占2025年允许排放总量的</w:t>
      </w:r>
      <w:r>
        <w:rPr>
          <w:rFonts w:hint="eastAsia"/>
          <w:color w:val="00B050"/>
          <w:lang w:val="en-US" w:eastAsia="zh-CN"/>
        </w:rPr>
        <w:t>3.04</w:t>
      </w:r>
      <w:r>
        <w:rPr>
          <w:rFonts w:hint="eastAsia"/>
          <w:color w:val="00B050"/>
        </w:rPr>
        <w:t>%、</w:t>
      </w:r>
      <w:r>
        <w:rPr>
          <w:rFonts w:hint="eastAsia"/>
          <w:color w:val="00B050"/>
          <w:lang w:val="en-US" w:eastAsia="zh-CN"/>
        </w:rPr>
        <w:t>6.18</w:t>
      </w:r>
      <w:r>
        <w:rPr>
          <w:rFonts w:hint="eastAsia"/>
          <w:color w:val="00B050"/>
        </w:rPr>
        <w:t>%、</w:t>
      </w:r>
      <w:r>
        <w:rPr>
          <w:rFonts w:hint="eastAsia"/>
          <w:color w:val="00B050"/>
          <w:lang w:val="en-US" w:eastAsia="zh-CN"/>
        </w:rPr>
        <w:t>2.54</w:t>
      </w:r>
      <w:r>
        <w:rPr>
          <w:rFonts w:hint="eastAsia"/>
          <w:color w:val="00B050"/>
        </w:rPr>
        <w:t>%</w:t>
      </w:r>
      <w:r>
        <w:rPr>
          <w:rFonts w:hint="eastAsia"/>
          <w:color w:val="1A15F1"/>
          <w:lang w:eastAsia="zh-CN"/>
        </w:rPr>
        <w:t>，</w:t>
      </w:r>
      <w:r>
        <w:rPr>
          <w:rFonts w:hint="eastAsia"/>
          <w:color w:val="1A15F1"/>
        </w:rPr>
        <w:t>本次规划环评制定了合理的污水处理方案、因地制宜的选择污水收集处理方式，以集中处理为主，不能集中处理的采取分散式定点处理，处理后有限进行回用，降低污染物排放量，</w:t>
      </w:r>
      <w:r>
        <w:rPr>
          <w:rFonts w:hint="eastAsia"/>
          <w:color w:val="1A15F1"/>
          <w:highlight w:val="none"/>
          <w:lang w:val="en-US" w:eastAsia="zh-CN"/>
        </w:rPr>
        <w:t>林芝市水</w:t>
      </w:r>
      <w:r>
        <w:rPr>
          <w:rFonts w:hint="eastAsia"/>
          <w:color w:val="1A15F1"/>
          <w:highlight w:val="none"/>
        </w:rPr>
        <w:t>环境容量可以支撑本次规划实施</w:t>
      </w:r>
      <w:r>
        <w:rPr>
          <w:rFonts w:hint="eastAsia"/>
          <w:color w:val="1A15F1"/>
        </w:rPr>
        <w:t>。在采取污染防治措施和风险防控措施后，规划实施不会对景区周边农田造成土壤污染事件，也不会对城市声环境造成影响，因此本次规划的实施不会突破当地的环境质量底线。</w:t>
      </w:r>
    </w:p>
    <w:p>
      <w:pPr>
        <w:pStyle w:val="6"/>
        <w:ind w:firstLine="480"/>
        <w:rPr>
          <w:rFonts w:hint="eastAsia"/>
          <w:color w:val="1A15F1"/>
        </w:rPr>
      </w:pPr>
      <w:r>
        <w:rPr>
          <w:rFonts w:hint="eastAsia"/>
          <w:color w:val="1A15F1"/>
        </w:rPr>
        <w:t>总体来说，从水资源环境承载力、水环境承载力、大气环境承载力等进行综合分析，均能够支撑规划发展规模，本规划规模是合理的。</w:t>
      </w:r>
    </w:p>
    <w:p>
      <w:pPr>
        <w:pStyle w:val="6"/>
        <w:ind w:firstLine="482"/>
        <w:rPr>
          <w:rFonts w:hint="eastAsia"/>
          <w:b/>
          <w:bCs/>
        </w:rPr>
      </w:pPr>
      <w:r>
        <w:rPr>
          <w:rFonts w:hint="eastAsia"/>
          <w:b/>
          <w:bCs/>
        </w:rPr>
        <w:t>3、规划空间布局的环境合理性分析</w:t>
      </w:r>
    </w:p>
    <w:p>
      <w:pPr>
        <w:pStyle w:val="6"/>
        <w:ind w:firstLine="480"/>
        <w:rPr>
          <w:rFonts w:hint="eastAsia"/>
          <w:highlight w:val="none"/>
        </w:rPr>
      </w:pPr>
      <w:r>
        <w:t>由于本次规划的项目属于概念</w:t>
      </w:r>
      <w:r>
        <w:rPr>
          <w:rFonts w:hint="eastAsia"/>
        </w:rPr>
        <w:t>性，且规划内容较为宏观；旅游资源为示意点位，无具体项目</w:t>
      </w:r>
      <w:r>
        <w:rPr>
          <w:rFonts w:hint="eastAsia"/>
          <w:highlight w:val="none"/>
        </w:rPr>
        <w:t>空间矢量分布；本次环评只能根据初步叠图分析并筛选可能涉及敏感区的建设项目，见表2.2-22。</w:t>
      </w:r>
    </w:p>
    <w:p>
      <w:pPr>
        <w:pStyle w:val="6"/>
        <w:ind w:firstLine="480"/>
        <w:rPr>
          <w:rFonts w:hint="eastAsia"/>
        </w:rPr>
      </w:pPr>
      <w:r>
        <w:rPr>
          <w:rFonts w:hint="eastAsia"/>
        </w:rPr>
        <w:t>本次</w:t>
      </w:r>
      <w:r>
        <w:rPr>
          <w:rFonts w:hint="eastAsia"/>
          <w:lang w:val="en-US" w:eastAsia="zh-CN"/>
        </w:rPr>
        <w:t>全域</w:t>
      </w:r>
      <w:r>
        <w:rPr>
          <w:rFonts w:hint="eastAsia"/>
        </w:rPr>
        <w:t>旅游规划在项目选址上避让基本农田、水源保护区及自然保护区核心区、缓冲区、湿地保育区等保护目标，按照自然保护区条例、水源地保护规定以及有关法律法规进行管制，禁止任何与资源环境保护无关的开发建设行为。</w:t>
      </w:r>
    </w:p>
    <w:p>
      <w:pPr>
        <w:pStyle w:val="6"/>
        <w:ind w:firstLine="480"/>
        <w:rPr>
          <w:rFonts w:hint="eastAsia"/>
        </w:rPr>
      </w:pPr>
      <w:r>
        <w:rPr>
          <w:rFonts w:hint="eastAsia"/>
        </w:rPr>
        <w:t>规划布局方案在依托旅游资源的同时，对相应的环境敏感区也将采取措施予以保护或提升，规划布局方案总体上是环境合理的。</w:t>
      </w:r>
    </w:p>
    <w:p>
      <w:pPr>
        <w:pStyle w:val="6"/>
        <w:ind w:firstLine="482"/>
        <w:rPr>
          <w:rFonts w:hint="eastAsia"/>
          <w:b/>
          <w:bCs/>
        </w:rPr>
      </w:pPr>
      <w:bookmarkStart w:id="202" w:name="_Toc201"/>
      <w:r>
        <w:rPr>
          <w:rFonts w:hint="eastAsia"/>
          <w:b/>
          <w:bCs/>
        </w:rPr>
        <w:t>4、规划环境目标与评价指标的可达性分析</w:t>
      </w:r>
      <w:bookmarkEnd w:id="202"/>
    </w:p>
    <w:p>
      <w:pPr>
        <w:pStyle w:val="6"/>
        <w:ind w:firstLine="480"/>
        <w:rPr>
          <w:rFonts w:hint="eastAsia"/>
        </w:rPr>
      </w:pPr>
      <w:r>
        <w:rPr>
          <w:rFonts w:hint="eastAsia"/>
        </w:rPr>
        <w:t>根据4.2章节建立的评价指标体系，结合前文环境影响预测与承载力等分析结果，对环境目标的合理性可达性进行分析，见表6.1-1。</w:t>
      </w:r>
    </w:p>
    <w:p>
      <w:pPr>
        <w:pStyle w:val="27"/>
        <w:rPr>
          <w:rFonts w:hint="eastAsia"/>
        </w:rPr>
      </w:pPr>
      <w:r>
        <w:rPr>
          <w:rFonts w:hint="eastAsia"/>
        </w:rPr>
        <w:t>表6.1-1  环境目标可达性分析一览表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2947"/>
        <w:gridCol w:w="1645"/>
        <w:gridCol w:w="2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环境主题</w:t>
            </w: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指标</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指标目标</w:t>
            </w:r>
          </w:p>
        </w:tc>
        <w:tc>
          <w:tcPr>
            <w:tcW w:w="266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可达性分析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生态空间</w:t>
            </w: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生态保护红线</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严守</w:t>
            </w:r>
          </w:p>
        </w:tc>
        <w:tc>
          <w:tcPr>
            <w:tcW w:w="266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严守红线，合理布局，可达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国土空间规划</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遵守</w:t>
            </w:r>
          </w:p>
        </w:tc>
        <w:tc>
          <w:tcPr>
            <w:tcW w:w="2662"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遵守规划，合理布局，可达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生态制度</w:t>
            </w: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生态文明建设规划</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制定并实施</w:t>
            </w:r>
          </w:p>
        </w:tc>
        <w:tc>
          <w:tcPr>
            <w:tcW w:w="2662" w:type="dxa"/>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严格执行相关规定，可达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自然资源资产负债表</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编制并实施</w:t>
            </w:r>
          </w:p>
        </w:tc>
        <w:tc>
          <w:tcPr>
            <w:tcW w:w="2662"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生态环境损害责任追究</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开展实施</w:t>
            </w:r>
          </w:p>
        </w:tc>
        <w:tc>
          <w:tcPr>
            <w:tcW w:w="2662"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排污许可证核发</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遵守实施</w:t>
            </w:r>
          </w:p>
        </w:tc>
        <w:tc>
          <w:tcPr>
            <w:tcW w:w="2662"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环境信息公开</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实施</w:t>
            </w:r>
          </w:p>
        </w:tc>
        <w:tc>
          <w:tcPr>
            <w:tcW w:w="2662"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城镇生态自然环境值指标</w:t>
            </w: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城市规划区绿化覆盖率</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40%</w:t>
            </w:r>
          </w:p>
        </w:tc>
        <w:tc>
          <w:tcPr>
            <w:tcW w:w="266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严格执行相关规定，可达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城市饮用水质达标率</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w:t>
            </w:r>
          </w:p>
        </w:tc>
        <w:tc>
          <w:tcPr>
            <w:tcW w:w="266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严格执行相关规定，可达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城市生活垃圾无害化处理率</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w:t>
            </w:r>
          </w:p>
        </w:tc>
        <w:tc>
          <w:tcPr>
            <w:tcW w:w="2662" w:type="dxa"/>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采取措施后，可达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城市生活污水集中处理率</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w:t>
            </w:r>
          </w:p>
        </w:tc>
        <w:tc>
          <w:tcPr>
            <w:tcW w:w="2662"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声环境功能区达标率</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w:t>
            </w:r>
          </w:p>
        </w:tc>
        <w:tc>
          <w:tcPr>
            <w:tcW w:w="2662"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餐饮业油烟处置率</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w:t>
            </w:r>
          </w:p>
        </w:tc>
        <w:tc>
          <w:tcPr>
            <w:tcW w:w="2662"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环境质量</w:t>
            </w: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环境空气</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各区达标</w:t>
            </w:r>
          </w:p>
        </w:tc>
        <w:tc>
          <w:tcPr>
            <w:tcW w:w="2662" w:type="dxa"/>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严格执行相关规定，可达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地表水环境</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各区达标</w:t>
            </w:r>
          </w:p>
        </w:tc>
        <w:tc>
          <w:tcPr>
            <w:tcW w:w="2662"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声环境</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各区达标</w:t>
            </w:r>
          </w:p>
        </w:tc>
        <w:tc>
          <w:tcPr>
            <w:tcW w:w="2662"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土壤环境</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各区达标</w:t>
            </w:r>
          </w:p>
        </w:tc>
        <w:tc>
          <w:tcPr>
            <w:tcW w:w="2662"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空气质量综合指数优良率</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各区达标</w:t>
            </w:r>
          </w:p>
        </w:tc>
        <w:tc>
          <w:tcPr>
            <w:tcW w:w="2662"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生态环境状况指数</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各区达标</w:t>
            </w:r>
          </w:p>
        </w:tc>
        <w:tc>
          <w:tcPr>
            <w:tcW w:w="2662"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旅游生态环境承载力</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各区达标</w:t>
            </w:r>
          </w:p>
        </w:tc>
        <w:tc>
          <w:tcPr>
            <w:tcW w:w="266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严格执行相关规定及《规划》要求后，可达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管理</w:t>
            </w: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环境管理制度与能力</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完善</w:t>
            </w:r>
          </w:p>
        </w:tc>
        <w:tc>
          <w:tcPr>
            <w:tcW w:w="266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生态旅游信息平台的完善度</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完善</w:t>
            </w:r>
          </w:p>
        </w:tc>
        <w:tc>
          <w:tcPr>
            <w:tcW w:w="266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47"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环评制度执行率</w:t>
            </w:r>
          </w:p>
        </w:tc>
        <w:tc>
          <w:tcPr>
            <w:tcW w:w="164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w:t>
            </w:r>
          </w:p>
        </w:tc>
        <w:tc>
          <w:tcPr>
            <w:tcW w:w="2662"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可达</w:t>
            </w:r>
          </w:p>
        </w:tc>
      </w:tr>
    </w:tbl>
    <w:p>
      <w:pPr>
        <w:pStyle w:val="4"/>
        <w:bidi w:val="0"/>
        <w:rPr>
          <w:color w:val="00B050"/>
        </w:rPr>
      </w:pPr>
      <w:bookmarkStart w:id="203" w:name="_Toc27181"/>
      <w:bookmarkStart w:id="204" w:name="_Toc1967"/>
      <w:r>
        <w:rPr>
          <w:rFonts w:hint="eastAsia"/>
          <w:color w:val="00B050"/>
          <w:lang w:val="en-US" w:eastAsia="zh-CN"/>
        </w:rPr>
        <w:t>6.2</w:t>
      </w:r>
      <w:r>
        <w:rPr>
          <w:rFonts w:hint="eastAsia"/>
          <w:color w:val="00B050"/>
        </w:rPr>
        <w:t>规划方案的环境效益论证</w:t>
      </w:r>
      <w:bookmarkEnd w:id="203"/>
      <w:bookmarkEnd w:id="204"/>
    </w:p>
    <w:p>
      <w:pPr>
        <w:pStyle w:val="6"/>
        <w:ind w:firstLine="480"/>
        <w:rPr>
          <w:rFonts w:hint="eastAsia"/>
        </w:rPr>
      </w:pPr>
      <w:r>
        <w:rPr>
          <w:rFonts w:hint="eastAsia"/>
        </w:rPr>
        <w:t>本次评价从维护生态功能、改善环境质量、优化区域空间格局和产业结构几方面论证规划的环境效益。</w:t>
      </w:r>
    </w:p>
    <w:p>
      <w:pPr>
        <w:pStyle w:val="6"/>
        <w:bidi w:val="0"/>
        <w:rPr>
          <w:rFonts w:hint="eastAsia"/>
          <w:b/>
          <w:bCs/>
        </w:rPr>
      </w:pPr>
      <w:r>
        <w:rPr>
          <w:rFonts w:hint="eastAsia"/>
          <w:b/>
          <w:bCs/>
          <w:lang w:val="en-US" w:eastAsia="zh-CN"/>
        </w:rPr>
        <w:t>1、</w:t>
      </w:r>
      <w:r>
        <w:rPr>
          <w:rFonts w:hint="eastAsia"/>
          <w:b/>
          <w:bCs/>
        </w:rPr>
        <w:t>维护生态功能</w:t>
      </w:r>
    </w:p>
    <w:p>
      <w:pPr>
        <w:pStyle w:val="6"/>
        <w:ind w:firstLine="480"/>
        <w:rPr>
          <w:rFonts w:hint="eastAsia"/>
        </w:rPr>
      </w:pPr>
      <w:r>
        <w:rPr>
          <w:rFonts w:hint="eastAsia"/>
        </w:rPr>
        <w:t>根据</w:t>
      </w:r>
      <w:r>
        <w:t>《</w:t>
      </w:r>
      <w:r>
        <w:rPr>
          <w:rFonts w:hint="eastAsia"/>
        </w:rPr>
        <w:t>西藏</w:t>
      </w:r>
      <w:r>
        <w:t>生态功能区划》，</w:t>
      </w:r>
      <w:r>
        <w:rPr>
          <w:rFonts w:hint="eastAsia"/>
        </w:rPr>
        <w:t>林芝市生态功能区包括：I藏东南山地热带雨林、季雨林生态区生态功能定位为</w:t>
      </w:r>
      <w:r>
        <w:t>生物多样性保护与水源涵养</w:t>
      </w:r>
      <w:r>
        <w:rPr>
          <w:rFonts w:hint="eastAsia"/>
        </w:rPr>
        <w:t>，发展与保护方向及对策：</w:t>
      </w:r>
      <w:r>
        <w:t>下游河谷地区为农业开发区</w:t>
      </w:r>
      <w:r>
        <w:rPr>
          <w:rFonts w:hint="eastAsia"/>
        </w:rPr>
        <w:t>，该区应加大</w:t>
      </w:r>
      <w:r>
        <w:t>自然保护区的</w:t>
      </w:r>
      <w:r>
        <w:rPr>
          <w:rFonts w:hint="eastAsia"/>
        </w:rPr>
        <w:t>建设和管理力度，适度发</w:t>
      </w:r>
      <w:r>
        <w:t>展生态旅游</w:t>
      </w:r>
      <w:r>
        <w:rPr>
          <w:rFonts w:hint="eastAsia"/>
        </w:rPr>
        <w:t>。II1念青唐古拉山南翼常绿阔叶林、云冷杉林生态亚区生态功能定位为谷地特色农林业的发展与水源涵养。发展与保护方向及对策：河谷区特色农林产品生产与加工，生态旅游，山地天然林和生物多样性保护及山地灾害的预防。可见，林芝市承担着水土保持、水源涵养、生物多样性保护的重要生态功能。本规划在对区域生态环境现状分析、敏感性评价基础上，提出以生态保护修复、生态管控为基础，全面加强生态环境保护与管控。并将生态要素修复与治理项目纳入近期建设重点。本规划不论从措施上还是建设时序上来说，都有利于规划示范区维护区域生态功能。</w:t>
      </w:r>
    </w:p>
    <w:p>
      <w:pPr>
        <w:pStyle w:val="6"/>
        <w:ind w:firstLine="480"/>
        <w:rPr>
          <w:rFonts w:hint="eastAsia"/>
          <w:b/>
          <w:bCs/>
        </w:rPr>
      </w:pPr>
      <w:r>
        <w:rPr>
          <w:rFonts w:hint="eastAsia"/>
          <w:b/>
          <w:bCs/>
          <w:lang w:val="en-US" w:eastAsia="zh-CN"/>
        </w:rPr>
        <w:t>2、</w:t>
      </w:r>
      <w:r>
        <w:rPr>
          <w:rFonts w:hint="eastAsia"/>
          <w:b/>
          <w:bCs/>
        </w:rPr>
        <w:t>环境质量改善</w:t>
      </w:r>
    </w:p>
    <w:p>
      <w:pPr>
        <w:pStyle w:val="6"/>
        <w:ind w:firstLine="480"/>
        <w:rPr>
          <w:rFonts w:hint="eastAsia"/>
        </w:rPr>
      </w:pPr>
      <w:r>
        <w:rPr>
          <w:rFonts w:hint="eastAsia"/>
        </w:rPr>
        <w:t>规划区发展产业为旅游业，大气污染物来自餐饮油烟、汽车尾气、公厕及垃圾收集点恶臭，水污染物主要来自于生活污水，固废主要是生活垃圾。生态旅游类开发区较之于传统的工业类开发区，属于环境友好型。通过因地制宜的选择污水收集处理方式，以集中处理为主，不能集中处理的采取分散式定点处理，生活污水得到妥善处置，不会对区域水环境造成不良影响。</w:t>
      </w:r>
    </w:p>
    <w:p>
      <w:pPr>
        <w:pStyle w:val="6"/>
        <w:ind w:firstLine="480"/>
        <w:rPr>
          <w:rFonts w:hint="eastAsia"/>
          <w:b/>
          <w:bCs/>
        </w:rPr>
      </w:pPr>
      <w:r>
        <w:rPr>
          <w:rFonts w:hint="eastAsia"/>
          <w:b/>
          <w:bCs/>
          <w:lang w:val="en-US" w:eastAsia="zh-CN"/>
        </w:rPr>
        <w:t>3、</w:t>
      </w:r>
      <w:r>
        <w:rPr>
          <w:rFonts w:hint="eastAsia"/>
          <w:b/>
          <w:bCs/>
        </w:rPr>
        <w:t>优化区域空间格局和产业结构</w:t>
      </w:r>
    </w:p>
    <w:p>
      <w:pPr>
        <w:pStyle w:val="6"/>
        <w:ind w:firstLine="480"/>
        <w:rPr>
          <w:rFonts w:hint="eastAsia"/>
          <w:color w:val="1A15F1"/>
        </w:rPr>
      </w:pPr>
      <w:r>
        <w:rPr>
          <w:rFonts w:hint="eastAsia"/>
          <w:color w:val="1A15F1"/>
          <w:lang w:eastAsia="zh-CN"/>
        </w:rPr>
        <w:t>“</w:t>
      </w:r>
      <w:r>
        <w:rPr>
          <w:rFonts w:hint="eastAsia"/>
          <w:color w:val="1A15F1"/>
        </w:rPr>
        <w:t>林芝市全域旅游发展规划（2018-2025年）</w:t>
      </w:r>
      <w:r>
        <w:rPr>
          <w:rFonts w:hint="eastAsia"/>
          <w:color w:val="1A15F1"/>
          <w:lang w:eastAsia="zh-CN"/>
        </w:rPr>
        <w:t>”</w:t>
      </w:r>
      <w:r>
        <w:rPr>
          <w:rFonts w:hint="eastAsia"/>
          <w:color w:val="1A15F1"/>
          <w:lang w:val="en-US" w:eastAsia="zh-CN"/>
        </w:rPr>
        <w:t>空间布局为</w:t>
      </w:r>
      <w:r>
        <w:rPr>
          <w:rFonts w:hint="eastAsia"/>
          <w:color w:val="1A15F1"/>
          <w:highlight w:val="none"/>
        </w:rPr>
        <w:t>“一城、一主轴三环线、六大主题旅游县、十五个泛景区化旅游目的地”。立足林芝市自身资源、紧跟市场需求、围绕旅游体验、创新旅游产品，快速构建核心吸引力。从景区到产业，逐步培育全域旅游核心竞争力推动泛景区化旅游目的地建设，发展15个泛景区化旅游目的地，形成“一主轴三环线”旅游发展带，引导旅游产业集聚。</w:t>
      </w:r>
      <w:r>
        <w:rPr>
          <w:rFonts w:hint="default"/>
          <w:color w:val="1A15F1"/>
          <w:highlight w:val="none"/>
          <w:lang w:val="en-US" w:eastAsia="zh-CN"/>
        </w:rPr>
        <w:t>形成全产业链式发展，</w:t>
      </w:r>
      <w:r>
        <w:rPr>
          <w:rFonts w:hint="eastAsia"/>
          <w:color w:val="1A15F1"/>
          <w:highlight w:val="none"/>
          <w:lang w:val="en-US" w:eastAsia="zh-CN"/>
        </w:rPr>
        <w:t>规划的实施</w:t>
      </w:r>
      <w:r>
        <w:rPr>
          <w:rFonts w:hint="eastAsia"/>
          <w:color w:val="1A15F1"/>
          <w:highlight w:val="none"/>
        </w:rPr>
        <w:t>完善</w:t>
      </w:r>
      <w:r>
        <w:rPr>
          <w:rFonts w:hint="eastAsia"/>
          <w:color w:val="1A15F1"/>
          <w:highlight w:val="none"/>
          <w:lang w:val="en-US" w:eastAsia="zh-CN"/>
        </w:rPr>
        <w:t>了林芝市</w:t>
      </w:r>
      <w:r>
        <w:rPr>
          <w:rFonts w:hint="eastAsia"/>
          <w:color w:val="1A15F1"/>
          <w:highlight w:val="none"/>
        </w:rPr>
        <w:t>旅游产品供给体系，推动</w:t>
      </w:r>
      <w:r>
        <w:rPr>
          <w:rFonts w:hint="eastAsia"/>
          <w:color w:val="1A15F1"/>
          <w:highlight w:val="none"/>
          <w:lang w:val="en-US" w:eastAsia="zh-CN"/>
        </w:rPr>
        <w:t>林芝市</w:t>
      </w:r>
      <w:r>
        <w:rPr>
          <w:rFonts w:hint="eastAsia"/>
          <w:color w:val="1A15F1"/>
          <w:highlight w:val="none"/>
        </w:rPr>
        <w:t>“旅游+”和“+旅游”</w:t>
      </w:r>
      <w:r>
        <w:rPr>
          <w:rFonts w:hint="eastAsia"/>
          <w:color w:val="1A15F1"/>
          <w:highlight w:val="none"/>
          <w:lang w:val="en-US" w:eastAsia="zh-CN"/>
        </w:rPr>
        <w:t>体系发展</w:t>
      </w:r>
      <w:r>
        <w:rPr>
          <w:rFonts w:hint="eastAsia"/>
          <w:color w:val="1A15F1"/>
          <w:highlight w:val="none"/>
        </w:rPr>
        <w:t>，形成多产业融合发展新局面</w:t>
      </w:r>
      <w:r>
        <w:rPr>
          <w:rFonts w:hint="eastAsia"/>
          <w:color w:val="1A15F1"/>
        </w:rPr>
        <w:t>。本规划的实施有利于优化区域空间布局，</w:t>
      </w:r>
      <w:r>
        <w:rPr>
          <w:rFonts w:hint="eastAsia"/>
          <w:color w:val="1A15F1"/>
          <w:lang w:val="en-US" w:eastAsia="zh-CN"/>
        </w:rPr>
        <w:t>丰富旅游体系产品</w:t>
      </w:r>
      <w:r>
        <w:rPr>
          <w:rFonts w:hint="eastAsia"/>
          <w:color w:val="1A15F1"/>
        </w:rPr>
        <w:t>。</w:t>
      </w:r>
    </w:p>
    <w:p>
      <w:pPr>
        <w:pStyle w:val="4"/>
        <w:bidi w:val="0"/>
        <w:rPr>
          <w:color w:val="auto"/>
          <w:highlight w:val="none"/>
        </w:rPr>
      </w:pPr>
      <w:bookmarkStart w:id="205" w:name="_Toc93156054"/>
      <w:bookmarkStart w:id="206" w:name="_Toc29409"/>
      <w:bookmarkStart w:id="207" w:name="_Toc7511"/>
      <w:r>
        <w:rPr>
          <w:rFonts w:hint="eastAsia"/>
          <w:color w:val="auto"/>
          <w:highlight w:val="none"/>
          <w:lang w:val="en-US" w:eastAsia="zh-CN"/>
        </w:rPr>
        <w:t>6</w:t>
      </w:r>
      <w:r>
        <w:rPr>
          <w:rFonts w:hint="eastAsia"/>
          <w:color w:val="auto"/>
          <w:highlight w:val="none"/>
        </w:rPr>
        <w:t>.</w:t>
      </w:r>
      <w:r>
        <w:rPr>
          <w:rFonts w:hint="eastAsia"/>
          <w:color w:val="auto"/>
          <w:highlight w:val="none"/>
          <w:lang w:val="en-US" w:eastAsia="zh-CN"/>
        </w:rPr>
        <w:t>3优化</w:t>
      </w:r>
      <w:r>
        <w:rPr>
          <w:color w:val="auto"/>
          <w:highlight w:val="none"/>
        </w:rPr>
        <w:t>调整建议</w:t>
      </w:r>
      <w:bookmarkEnd w:id="205"/>
      <w:bookmarkEnd w:id="206"/>
      <w:bookmarkEnd w:id="207"/>
    </w:p>
    <w:p>
      <w:pPr>
        <w:pStyle w:val="6"/>
        <w:ind w:firstLine="482"/>
        <w:rPr>
          <w:rFonts w:hint="eastAsia"/>
          <w:b/>
          <w:bCs/>
        </w:rPr>
      </w:pPr>
      <w:r>
        <w:rPr>
          <w:rFonts w:hint="eastAsia"/>
          <w:b/>
          <w:bCs/>
        </w:rPr>
        <w:t>1、现有景区问题处置建议</w:t>
      </w:r>
    </w:p>
    <w:p>
      <w:pPr>
        <w:pStyle w:val="6"/>
        <w:ind w:firstLine="480"/>
        <w:rPr>
          <w:rFonts w:hint="eastAsia"/>
        </w:rPr>
      </w:pPr>
      <w:r>
        <w:rPr>
          <w:rFonts w:hint="eastAsia"/>
        </w:rPr>
        <w:t>（1）世界柏树王园林景区处置建议</w:t>
      </w:r>
    </w:p>
    <w:p>
      <w:pPr>
        <w:pStyle w:val="6"/>
        <w:ind w:firstLine="480"/>
        <w:rPr>
          <w:rFonts w:hint="eastAsia"/>
          <w:highlight w:val="yellow"/>
        </w:rPr>
      </w:pPr>
      <w:r>
        <w:rPr>
          <w:rFonts w:hint="eastAsia"/>
        </w:rPr>
        <w:t>对于世界柏树王园林景区内的栈道和观景平台涉及林芝巴结巨柏自然保护区缓冲区，并将该部分观景平台作为景区的核心区对游客进行开放的情况，本次环评建议当地政府应按照《中华人民共和国自然保护区条例》的要求应禁止游客进入核心区及缓冲区范围内。同时建议当地政府对该保护区的功能区划和范围进行适当调整，在满足《中华人民共和国自然保护区条例》中的相关要后，才能对游客开放。如若不能调整，本次环评考虑到拆除现有的景观平台及栈道所带来的景观、生态影响较大，建议保留其景观设施，对涉及自然保护区缓冲区的观景平台及栈道进行功能调整，用于从事经自然保护区管理机构批准的非破坏性的科学研究、教学实习和标本采集活动等行为。</w:t>
      </w:r>
    </w:p>
    <w:p>
      <w:pPr>
        <w:pStyle w:val="6"/>
        <w:ind w:firstLine="480"/>
        <w:rPr>
          <w:rFonts w:hint="eastAsia"/>
        </w:rPr>
      </w:pPr>
      <w:r>
        <w:rPr>
          <w:rFonts w:hint="eastAsia"/>
        </w:rPr>
        <w:t>（2）岗云杉林景区处置建议</w:t>
      </w:r>
    </w:p>
    <w:p>
      <w:pPr>
        <w:pStyle w:val="6"/>
        <w:ind w:firstLine="480"/>
        <w:rPr>
          <w:rFonts w:hint="eastAsia"/>
        </w:rPr>
      </w:pPr>
      <w:r>
        <w:rPr>
          <w:rFonts w:hint="eastAsia"/>
        </w:rPr>
        <w:t>根据中央第四生态环境保护督察组向西藏自治区反馈督察情况，波密县岗云杉林景区部分观景台、栈道涉及西藏雅鲁藏布大峡谷国家自然保护区核心区。目前，西藏自治区人民政府、林芝市政府、波密县政府正在督促其进行整改，现已将位于核心区、缓冲区的景区全部关闭，禁止游客进入。考虑到拆除现有的景观平台及栈道所带来的景观、生态影响较大，本次环评建议保留现有位于核心区、缓冲区的全部设施，并将其功能调整为用于从事经自然保护区管理机构批准的非破坏性的科学研究、教学实习和标本采集活动的平台及通道。</w:t>
      </w:r>
    </w:p>
    <w:p>
      <w:pPr>
        <w:pStyle w:val="6"/>
        <w:ind w:firstLine="482"/>
        <w:rPr>
          <w:b/>
          <w:bCs/>
          <w:color w:val="auto"/>
          <w:highlight w:val="none"/>
        </w:rPr>
      </w:pPr>
      <w:bookmarkStart w:id="208" w:name="_Toc22236"/>
      <w:r>
        <w:rPr>
          <w:rFonts w:hint="eastAsia"/>
          <w:b/>
          <w:bCs/>
          <w:color w:val="auto"/>
          <w:highlight w:val="none"/>
        </w:rPr>
        <w:t>2、合理布局</w:t>
      </w:r>
      <w:bookmarkEnd w:id="208"/>
    </w:p>
    <w:p>
      <w:pPr>
        <w:pStyle w:val="6"/>
        <w:ind w:firstLine="480"/>
        <w:rPr>
          <w:rFonts w:hint="eastAsia"/>
          <w:color w:val="auto"/>
          <w:highlight w:val="none"/>
        </w:rPr>
      </w:pPr>
      <w:r>
        <w:rPr>
          <w:rFonts w:hint="eastAsia"/>
          <w:color w:val="auto"/>
          <w:highlight w:val="none"/>
        </w:rPr>
        <w:t>通过叠图分析，拟进行的旅游资源项目与生态保护红线存在重叠区域，详见表6.2-2。根据生态空间管控要求，自然保护地核心保护区以外的其它区域严格原则上禁止开发性、生产性建设活动，但可可允许适度的参观旅游及相关的必要公共设施建设。</w:t>
      </w:r>
    </w:p>
    <w:p>
      <w:pPr>
        <w:pStyle w:val="6"/>
        <w:ind w:firstLine="480"/>
        <w:rPr>
          <w:rFonts w:hint="eastAsia"/>
          <w:color w:val="auto"/>
          <w:highlight w:val="none"/>
        </w:rPr>
      </w:pPr>
      <w:r>
        <w:rPr>
          <w:rFonts w:hint="eastAsia"/>
          <w:color w:val="auto"/>
          <w:highlight w:val="none"/>
        </w:rPr>
        <w:t>经叠图初步筛选涉及生态红线的项目，不涉及自然保护区核心区及缓冲区。仅在保护区实验区开展对生态功能不造成破坏为前提的旅游活动，由于本次的旅游资源为示意点位，叠图分析时可能存在一定误差以及旅游资源基础设施具体实施选址落地存在差异，最终可能会影响叠图判断，因此后续规划项目实际落地时建议与生态保护红线勘界核实。</w:t>
      </w:r>
    </w:p>
    <w:p>
      <w:pPr>
        <w:pStyle w:val="6"/>
        <w:ind w:firstLine="480"/>
        <w:rPr>
          <w:rFonts w:hint="eastAsia"/>
          <w:color w:val="auto"/>
          <w:highlight w:val="none"/>
        </w:rPr>
      </w:pPr>
      <w:r>
        <w:rPr>
          <w:rFonts w:hint="eastAsia"/>
          <w:color w:val="auto"/>
          <w:highlight w:val="none"/>
        </w:rPr>
        <w:t>在规划项目实施过程中要与空间开发保护管理相衔接，实行严格的管控和保护措施，后续规划项目</w:t>
      </w:r>
      <w:r>
        <w:rPr>
          <w:color w:val="auto"/>
          <w:highlight w:val="none"/>
        </w:rPr>
        <w:t>建设时应严格按照</w:t>
      </w:r>
      <w:r>
        <w:rPr>
          <w:rFonts w:hint="eastAsia"/>
          <w:color w:val="auto"/>
          <w:highlight w:val="none"/>
        </w:rPr>
        <w:t>生态保护红线管控要求执行</w:t>
      </w:r>
      <w:bookmarkStart w:id="209" w:name="_Toc30363"/>
      <w:r>
        <w:rPr>
          <w:rFonts w:hint="eastAsia"/>
          <w:color w:val="auto"/>
          <w:highlight w:val="none"/>
        </w:rPr>
        <w:t>。</w:t>
      </w:r>
    </w:p>
    <w:p>
      <w:pPr>
        <w:pStyle w:val="6"/>
        <w:ind w:firstLine="482"/>
        <w:rPr>
          <w:b/>
          <w:bCs/>
          <w:highlight w:val="none"/>
        </w:rPr>
      </w:pPr>
      <w:r>
        <w:rPr>
          <w:rFonts w:hint="eastAsia"/>
          <w:b/>
          <w:bCs/>
          <w:highlight w:val="none"/>
        </w:rPr>
        <w:t>3、</w:t>
      </w:r>
      <w:r>
        <w:rPr>
          <w:b/>
          <w:bCs/>
          <w:highlight w:val="none"/>
        </w:rPr>
        <w:t>排水方案调整建议</w:t>
      </w:r>
      <w:bookmarkEnd w:id="209"/>
    </w:p>
    <w:p>
      <w:pPr>
        <w:pStyle w:val="6"/>
        <w:ind w:firstLine="480"/>
        <w:rPr>
          <w:rFonts w:hint="eastAsia"/>
        </w:rPr>
      </w:pPr>
      <w:r>
        <w:rPr>
          <w:rFonts w:hint="eastAsia"/>
          <w:lang w:eastAsia="zh-CN"/>
        </w:rPr>
        <w:t>“</w:t>
      </w:r>
      <w:r>
        <w:rPr>
          <w:rFonts w:hint="eastAsia"/>
        </w:rPr>
        <w:t>林芝市全域旅游发展规划（2018-2025年）</w:t>
      </w:r>
      <w:r>
        <w:rPr>
          <w:rFonts w:hint="eastAsia"/>
          <w:lang w:eastAsia="zh-CN"/>
        </w:rPr>
        <w:t>”</w:t>
      </w:r>
      <w:r>
        <w:rPr>
          <w:rFonts w:hint="eastAsia"/>
        </w:rPr>
        <w:t>中未提出废水处理方案，由于规划涉及范围较广，且各区内规划项目具有不确定性，按照情景预测，并结合目前各县建成的污水处理厂情况及各景区建成的污水处理设施，再结合本规划发展方向及目标，环评建议排水方案如下：</w:t>
      </w:r>
    </w:p>
    <w:p>
      <w:pPr>
        <w:pStyle w:val="6"/>
        <w:bidi w:val="0"/>
        <w:rPr>
          <w:rFonts w:hint="eastAsia" w:eastAsia="宋体"/>
          <w:color w:val="2A26F7"/>
          <w:lang w:eastAsia="zh-CN"/>
        </w:rPr>
      </w:pPr>
      <w:r>
        <w:rPr>
          <w:rFonts w:hint="eastAsia"/>
          <w:color w:val="2A26F7"/>
          <w:lang w:eastAsia="zh-CN"/>
        </w:rPr>
        <w:t>（</w:t>
      </w:r>
      <w:r>
        <w:rPr>
          <w:rFonts w:hint="eastAsia"/>
          <w:color w:val="2A26F7"/>
          <w:lang w:val="en-US" w:eastAsia="zh-CN"/>
        </w:rPr>
        <w:t>1</w:t>
      </w:r>
      <w:r>
        <w:rPr>
          <w:rFonts w:hint="eastAsia"/>
          <w:color w:val="2A26F7"/>
          <w:lang w:eastAsia="zh-CN"/>
        </w:rPr>
        <w:t>）规划区</w:t>
      </w:r>
      <w:r>
        <w:rPr>
          <w:rFonts w:hint="eastAsia"/>
          <w:color w:val="2A26F7"/>
          <w:lang w:val="en-US" w:eastAsia="zh-CN"/>
        </w:rPr>
        <w:t>禁止向I类</w:t>
      </w:r>
      <w:r>
        <w:rPr>
          <w:rFonts w:hint="eastAsia"/>
          <w:color w:val="2A26F7"/>
          <w:lang w:eastAsia="zh-CN"/>
        </w:rPr>
        <w:t>、</w:t>
      </w:r>
      <w:r>
        <w:rPr>
          <w:rFonts w:hint="default" w:ascii="Times New Roman" w:hAnsi="Times New Roman" w:cs="Times New Roman"/>
          <w:color w:val="2A26F7"/>
          <w:lang w:eastAsia="zh-CN"/>
        </w:rPr>
        <w:t>Ⅱ类</w:t>
      </w:r>
      <w:r>
        <w:rPr>
          <w:rFonts w:hint="eastAsia"/>
          <w:color w:val="2A26F7"/>
          <w:lang w:eastAsia="zh-CN"/>
        </w:rPr>
        <w:t>水域排放废污水，</w:t>
      </w:r>
      <w:r>
        <w:rPr>
          <w:rFonts w:hint="eastAsia"/>
          <w:color w:val="00B050"/>
          <w:highlight w:val="none"/>
          <w:lang w:val="en-US" w:eastAsia="zh-CN"/>
        </w:rPr>
        <w:t>已有排污口不能增加排放量</w:t>
      </w:r>
      <w:r>
        <w:rPr>
          <w:rFonts w:hint="eastAsia"/>
          <w:color w:val="2A26F7"/>
          <w:highlight w:val="none"/>
          <w:lang w:eastAsia="zh-CN"/>
        </w:rPr>
        <w:t>。</w:t>
      </w:r>
    </w:p>
    <w:p>
      <w:pPr>
        <w:pStyle w:val="6"/>
        <w:ind w:firstLine="480"/>
        <w:rPr>
          <w:color w:val="2A26F7"/>
        </w:rPr>
      </w:pPr>
      <w:r>
        <w:rPr>
          <w:rFonts w:hint="eastAsia"/>
          <w:color w:val="2A26F7"/>
        </w:rPr>
        <w:t>（</w:t>
      </w:r>
      <w:r>
        <w:rPr>
          <w:rFonts w:hint="eastAsia"/>
          <w:color w:val="2A26F7"/>
          <w:lang w:val="en-US" w:eastAsia="zh-CN"/>
        </w:rPr>
        <w:t>2</w:t>
      </w:r>
      <w:r>
        <w:rPr>
          <w:rFonts w:hint="eastAsia"/>
          <w:color w:val="2A26F7"/>
        </w:rPr>
        <w:t>）针对</w:t>
      </w:r>
      <w:r>
        <w:rPr>
          <w:color w:val="2A26F7"/>
        </w:rPr>
        <w:t>依托城市建成区而建的规划项目（未确定选址的），选址首先考虑已敷设污水收集管网的区域，旅游区内产生的废水经过预处理达到《污水综合排放标准》（GB8978-1996）三级标准及《污水排入城镇下水道水质标准》（GB/T1962-2015）表1（A）等级标准后排入市政污水管网，最终进入污水处理厂进行处理。</w:t>
      </w:r>
    </w:p>
    <w:p>
      <w:pPr>
        <w:pStyle w:val="6"/>
        <w:ind w:firstLine="480"/>
        <w:rPr>
          <w:rFonts w:hint="eastAsia"/>
          <w:color w:val="2A26F7"/>
        </w:rPr>
      </w:pPr>
      <w:r>
        <w:rPr>
          <w:rFonts w:hint="eastAsia"/>
          <w:color w:val="2A26F7"/>
        </w:rPr>
        <w:t>（</w:t>
      </w:r>
      <w:r>
        <w:rPr>
          <w:rFonts w:hint="eastAsia"/>
          <w:color w:val="2A26F7"/>
          <w:lang w:val="en-US" w:eastAsia="zh-CN"/>
        </w:rPr>
        <w:t>3</w:t>
      </w:r>
      <w:r>
        <w:rPr>
          <w:rFonts w:hint="eastAsia"/>
          <w:color w:val="2A26F7"/>
        </w:rPr>
        <w:t>）针对</w:t>
      </w:r>
      <w:r>
        <w:rPr>
          <w:color w:val="2A26F7"/>
        </w:rPr>
        <w:t>无法依托市政污水管网的，或选址位于远离城市建成区的规划项目，各景区配套</w:t>
      </w:r>
      <w:r>
        <w:rPr>
          <w:rFonts w:hint="eastAsia"/>
          <w:color w:val="2A26F7"/>
        </w:rPr>
        <w:t>建设</w:t>
      </w:r>
      <w:r>
        <w:rPr>
          <w:color w:val="2A26F7"/>
        </w:rPr>
        <w:t>生态污水处理站或小型污水处理站，并要求污水经处理达到《城镇污水处理厂污染物排放标准》（GB18918-2002）一级A标准部分回用于绿化和道路洒水降尘</w:t>
      </w:r>
      <w:r>
        <w:rPr>
          <w:rFonts w:hint="eastAsia"/>
          <w:color w:val="2A26F7"/>
        </w:rPr>
        <w:t>，</w:t>
      </w:r>
      <w:r>
        <w:rPr>
          <w:color w:val="2A26F7"/>
        </w:rPr>
        <w:t>回用不完的外排至附近河流</w:t>
      </w:r>
      <w:r>
        <w:rPr>
          <w:rFonts w:hint="eastAsia"/>
          <w:color w:val="2A26F7"/>
        </w:rPr>
        <w:t>。</w:t>
      </w:r>
    </w:p>
    <w:p>
      <w:pPr>
        <w:pStyle w:val="6"/>
        <w:ind w:firstLine="480"/>
        <w:rPr>
          <w:color w:val="2A26F7"/>
        </w:rPr>
      </w:pPr>
      <w:r>
        <w:rPr>
          <w:rFonts w:hint="eastAsia"/>
          <w:color w:val="2A26F7"/>
        </w:rPr>
        <w:t>（</w:t>
      </w:r>
      <w:r>
        <w:rPr>
          <w:rFonts w:hint="eastAsia"/>
          <w:color w:val="2A26F7"/>
          <w:lang w:val="en-US" w:eastAsia="zh-CN"/>
        </w:rPr>
        <w:t>4</w:t>
      </w:r>
      <w:r>
        <w:rPr>
          <w:rFonts w:hint="eastAsia"/>
          <w:color w:val="2A26F7"/>
        </w:rPr>
        <w:t>）针对</w:t>
      </w:r>
      <w:r>
        <w:rPr>
          <w:color w:val="2A26F7"/>
        </w:rPr>
        <w:t>规划区内已开发的景区配套建设污水处理站，已建有污水处理站的，提倡改进污水处理工艺，将处理后达到回用标准的</w:t>
      </w:r>
      <w:r>
        <w:rPr>
          <w:rFonts w:hint="eastAsia"/>
          <w:color w:val="2A26F7"/>
        </w:rPr>
        <w:t>中水</w:t>
      </w:r>
      <w:r>
        <w:rPr>
          <w:color w:val="2A26F7"/>
        </w:rPr>
        <w:t>回用于景观、绿化及洒水降尘等，减少排放量，剩余达到《城镇污水处理厂污染物排放标准》（GB18918-2002）一级A标后排放。</w:t>
      </w:r>
    </w:p>
    <w:p>
      <w:pPr>
        <w:pStyle w:val="6"/>
        <w:ind w:firstLine="482"/>
        <w:rPr>
          <w:rFonts w:hint="eastAsia"/>
          <w:b/>
          <w:bCs/>
        </w:rPr>
      </w:pPr>
      <w:bookmarkStart w:id="210" w:name="_Toc27071"/>
      <w:r>
        <w:rPr>
          <w:rFonts w:hint="eastAsia"/>
          <w:b/>
          <w:bCs/>
        </w:rPr>
        <w:t>4、污水</w:t>
      </w:r>
      <w:r>
        <w:rPr>
          <w:rFonts w:hint="eastAsia"/>
          <w:b/>
          <w:bCs/>
          <w:lang w:val="en-US" w:eastAsia="zh-CN"/>
        </w:rPr>
        <w:t>处理</w:t>
      </w:r>
      <w:r>
        <w:rPr>
          <w:rFonts w:hint="eastAsia"/>
          <w:b/>
          <w:bCs/>
        </w:rPr>
        <w:t>设施规划补充建议</w:t>
      </w:r>
    </w:p>
    <w:p>
      <w:pPr>
        <w:pStyle w:val="6"/>
        <w:ind w:firstLine="480"/>
        <w:rPr>
          <w:rFonts w:hint="eastAsia"/>
        </w:rPr>
      </w:pPr>
      <w:r>
        <w:rPr>
          <w:rFonts w:hint="eastAsia"/>
        </w:rPr>
        <w:t>规划区内可依托的污水集中处理工程主要集中在城市建成区或乡镇上，少数规划项目可以依托景区自建污水处理工程外，其余规划项目污水处理系统倘若不尽完善，可能对水环境造成一定污染风险。因此，污水处理方案需按规划项目的分期建设进度配套建设，并在规划中进行补充。根据旅游业发展特点，建议实施集中处理和分散处理相结合的污水处理方案。</w:t>
      </w:r>
      <w:bookmarkEnd w:id="210"/>
      <w:r>
        <w:rPr>
          <w:rFonts w:hint="eastAsia"/>
        </w:rPr>
        <w:t>对于布局在乡村的景区，首先应采取节水措施，从源头上减少污废水的排放，同时加快新建污水处理设施的修建，确保在规划实施后，该区域产生的污废水能处理达标后排放。</w:t>
      </w:r>
    </w:p>
    <w:p>
      <w:pPr>
        <w:pStyle w:val="6"/>
        <w:ind w:firstLine="480"/>
        <w:rPr>
          <w:rFonts w:hint="default"/>
          <w:b/>
          <w:bCs/>
          <w:color w:val="auto"/>
          <w:lang w:val="en-US" w:eastAsia="zh-CN"/>
        </w:rPr>
      </w:pPr>
      <w:r>
        <w:rPr>
          <w:rFonts w:hint="eastAsia"/>
          <w:b/>
          <w:bCs/>
          <w:color w:val="auto"/>
          <w:lang w:val="en-US" w:eastAsia="zh-CN"/>
        </w:rPr>
        <w:t>5、关于冰川（雪）资源开发保护的优化建议</w:t>
      </w:r>
    </w:p>
    <w:p>
      <w:pPr>
        <w:pStyle w:val="6"/>
        <w:ind w:firstLine="480"/>
        <w:rPr>
          <w:rFonts w:hint="default"/>
          <w:color w:val="auto"/>
          <w:lang w:val="en-US" w:eastAsia="zh-CN"/>
        </w:rPr>
      </w:pPr>
      <w:r>
        <w:rPr>
          <w:rFonts w:hint="eastAsia"/>
          <w:color w:val="auto"/>
          <w:lang w:val="en-US" w:eastAsia="zh-CN"/>
        </w:rPr>
        <w:t>西藏自治区生态环境厅于2022年6月24日发布了《关于进一步严格冰川（雪）资源开发生态环境保护源头管控的通知》，将重要冰川、雪山纳入水环境优先保护区域，依法禁止或限制相关开发建设活动。本次规划环评依据《关于进一步严格冰川（雪）资源开发生态环境保护源头管控的通知》（西藏自治区生态环境厅，2022年6月24日），对规划提出以下优化建议。</w:t>
      </w:r>
    </w:p>
    <w:p>
      <w:pPr>
        <w:pStyle w:val="6"/>
        <w:numPr>
          <w:ilvl w:val="0"/>
          <w:numId w:val="13"/>
        </w:numPr>
        <w:ind w:firstLine="480"/>
        <w:rPr>
          <w:rFonts w:hint="default" w:eastAsia="宋体"/>
          <w:color w:val="auto"/>
          <w:lang w:val="en-US" w:eastAsia="zh-CN"/>
        </w:rPr>
      </w:pPr>
      <w:r>
        <w:rPr>
          <w:rFonts w:hint="eastAsia"/>
          <w:color w:val="auto"/>
          <w:lang w:val="en-US" w:eastAsia="zh-CN"/>
        </w:rPr>
        <w:t>本次规划涉及冰川</w:t>
      </w:r>
      <w:r>
        <w:rPr>
          <w:color w:val="000000"/>
          <w:spacing w:val="0"/>
          <w:w w:val="100"/>
          <w:position w:val="0"/>
          <w:shd w:val="clear" w:color="auto" w:fill="auto"/>
        </w:rPr>
        <w:t>资源</w:t>
      </w:r>
      <w:r>
        <w:rPr>
          <w:rFonts w:hint="eastAsia"/>
          <w:color w:val="000000"/>
          <w:spacing w:val="0"/>
          <w:w w:val="100"/>
          <w:position w:val="0"/>
          <w:shd w:val="clear" w:color="auto" w:fill="auto"/>
          <w:lang w:val="en-US" w:eastAsia="zh-CN"/>
        </w:rPr>
        <w:t>的旅游开发项目见表6.3-1。对于涉及冰川（雪）资源开发的项目需按照《规划环境影响评价条例》、《建设项目环境保护管理条例》及《建设项目环境影响评价分类管理名录》等开展环境影响评价工作。</w:t>
      </w:r>
    </w:p>
    <w:p>
      <w:pPr>
        <w:pStyle w:val="27"/>
        <w:rPr>
          <w:rFonts w:hint="eastAsia"/>
          <w:color w:val="auto"/>
        </w:rPr>
      </w:pPr>
      <w:r>
        <w:rPr>
          <w:rFonts w:hint="eastAsia"/>
          <w:color w:val="auto"/>
        </w:rPr>
        <w:t>表</w:t>
      </w:r>
      <w:r>
        <w:rPr>
          <w:rFonts w:hint="eastAsia"/>
          <w:color w:val="auto"/>
          <w:lang w:val="en-US" w:eastAsia="zh-CN"/>
        </w:rPr>
        <w:t xml:space="preserve">6.3-1 </w:t>
      </w:r>
      <w:r>
        <w:rPr>
          <w:rFonts w:hint="eastAsia"/>
          <w:color w:val="auto"/>
        </w:rPr>
        <w:t xml:space="preserve"> 本次规划中可能涉及工</w:t>
      </w:r>
      <w:r>
        <w:rPr>
          <w:rFonts w:hint="eastAsia"/>
          <w:color w:val="auto"/>
          <w:lang w:val="en-US" w:eastAsia="zh-CN"/>
        </w:rPr>
        <w:t>冰川资源</w:t>
      </w:r>
      <w:r>
        <w:rPr>
          <w:rFonts w:hint="eastAsia"/>
          <w:color w:val="auto"/>
        </w:rPr>
        <w:t>的建设项目情况表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796"/>
        <w:gridCol w:w="1208"/>
        <w:gridCol w:w="462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r>
              <w:rPr>
                <w:rFonts w:hint="eastAsia"/>
                <w:highlight w:val="none"/>
              </w:rPr>
              <w:t>泛景区</w:t>
            </w:r>
            <w:r>
              <w:rPr>
                <w:rFonts w:hint="eastAsia"/>
                <w:highlight w:val="none"/>
                <w:lang w:val="en-US" w:eastAsia="zh-CN"/>
              </w:rPr>
              <w:t>名称</w:t>
            </w:r>
          </w:p>
        </w:tc>
        <w:tc>
          <w:tcPr>
            <w:tcW w:w="467"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行政区域</w:t>
            </w:r>
          </w:p>
        </w:tc>
        <w:tc>
          <w:tcPr>
            <w:tcW w:w="709"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景点名称</w:t>
            </w:r>
          </w:p>
        </w:tc>
        <w:tc>
          <w:tcPr>
            <w:tcW w:w="2716"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建设内容</w:t>
            </w:r>
          </w:p>
        </w:tc>
        <w:tc>
          <w:tcPr>
            <w:tcW w:w="563" w:type="pct"/>
            <w:vAlign w:val="center"/>
          </w:tcPr>
          <w:p>
            <w:pPr>
              <w:pStyle w:val="28"/>
              <w:keepNext w:val="0"/>
              <w:keepLines w:val="0"/>
              <w:suppressLineNumbers w:val="0"/>
              <w:bidi w:val="0"/>
              <w:spacing w:beforeAutospacing="0" w:afterAutospacing="0" w:line="276" w:lineRule="auto"/>
              <w:ind w:left="0" w:right="0"/>
              <w:rPr>
                <w:rFonts w:hint="default"/>
                <w:highlight w:val="none"/>
                <w:lang w:val="en-US" w:eastAsia="zh-CN"/>
              </w:rPr>
            </w:pPr>
            <w:r>
              <w:rPr>
                <w:rFonts w:hint="eastAsia"/>
                <w:highlight w:val="none"/>
                <w:lang w:val="en-US" w:eastAsia="zh-CN"/>
              </w:rPr>
              <w:t>依托资源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restar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rPr>
              <w:t>米堆冰川及周边地区</w:t>
            </w:r>
          </w:p>
        </w:tc>
        <w:tc>
          <w:tcPr>
            <w:tcW w:w="467" w:type="pct"/>
            <w:vMerge w:val="restar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波密县</w:t>
            </w:r>
          </w:p>
        </w:tc>
        <w:tc>
          <w:tcPr>
            <w:tcW w:w="709" w:type="pct"/>
            <w:vMerge w:val="restar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rPr>
              <w:t>米堆风情小镇</w:t>
            </w:r>
          </w:p>
        </w:tc>
        <w:tc>
          <w:tcPr>
            <w:tcW w:w="2716"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rPr>
              <w:t>保持米堆村原有格局和风貌，控制新建民居数量和建筑形式。结合米堆风情小镇，开展包括藏餐烹调、田间劳作、民俗歌舞等动，促进当地村民增收</w:t>
            </w:r>
          </w:p>
        </w:tc>
        <w:tc>
          <w:tcPr>
            <w:tcW w:w="563" w:type="pct"/>
            <w:vMerge w:val="restart"/>
            <w:vAlign w:val="center"/>
          </w:tcPr>
          <w:p>
            <w:pPr>
              <w:pStyle w:val="28"/>
              <w:keepNext w:val="0"/>
              <w:keepLines w:val="0"/>
              <w:suppressLineNumbers w:val="0"/>
              <w:bidi w:val="0"/>
              <w:spacing w:beforeAutospacing="0" w:afterAutospacing="0" w:line="276" w:lineRule="auto"/>
              <w:ind w:left="0" w:right="0"/>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米堆冰川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rPr>
            </w:pPr>
          </w:p>
        </w:tc>
        <w:tc>
          <w:tcPr>
            <w:tcW w:w="467"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p>
        </w:tc>
        <w:tc>
          <w:tcPr>
            <w:tcW w:w="709"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p>
        </w:tc>
        <w:tc>
          <w:tcPr>
            <w:tcW w:w="2716"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rPr>
              <w:t>开展喂马、马匹认养等多元化的活动</w:t>
            </w:r>
          </w:p>
        </w:tc>
        <w:tc>
          <w:tcPr>
            <w:tcW w:w="563" w:type="pct"/>
            <w:vMerge w:val="continue"/>
            <w:vAlign w:val="center"/>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continue"/>
          </w:tcPr>
          <w:p>
            <w:pPr>
              <w:pStyle w:val="28"/>
              <w:keepNext w:val="0"/>
              <w:keepLines w:val="0"/>
              <w:suppressLineNumbers w:val="0"/>
              <w:bidi w:val="0"/>
              <w:spacing w:beforeAutospacing="0" w:afterAutospacing="0" w:line="276" w:lineRule="auto"/>
              <w:ind w:left="0" w:right="0"/>
              <w:rPr>
                <w:rFonts w:hint="eastAsia"/>
                <w:highlight w:val="none"/>
              </w:rPr>
            </w:pPr>
          </w:p>
        </w:tc>
        <w:tc>
          <w:tcPr>
            <w:tcW w:w="467" w:type="pct"/>
            <w:vMerge w:val="continue"/>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p>
        </w:tc>
        <w:tc>
          <w:tcPr>
            <w:tcW w:w="709"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rPr>
              <w:t>山珍阁停车场</w:t>
            </w:r>
          </w:p>
        </w:tc>
        <w:tc>
          <w:tcPr>
            <w:tcW w:w="2716"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rPr>
              <w:t>新建大型社会车辆的立体化停车场，将此地改划为景区接驳电瓶车（中巴、小巴）的乘、上落客处；增设大型公共厕所。</w:t>
            </w:r>
          </w:p>
        </w:tc>
        <w:tc>
          <w:tcPr>
            <w:tcW w:w="563"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米堆冰川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continue"/>
          </w:tcPr>
          <w:p>
            <w:pPr>
              <w:pStyle w:val="28"/>
              <w:keepNext w:val="0"/>
              <w:keepLines w:val="0"/>
              <w:suppressLineNumbers w:val="0"/>
              <w:bidi w:val="0"/>
              <w:spacing w:beforeAutospacing="0" w:afterAutospacing="0" w:line="276" w:lineRule="auto"/>
              <w:ind w:left="0" w:right="0"/>
              <w:rPr>
                <w:rFonts w:hint="eastAsia"/>
                <w:highlight w:val="none"/>
              </w:rPr>
            </w:pPr>
          </w:p>
        </w:tc>
        <w:tc>
          <w:tcPr>
            <w:tcW w:w="467" w:type="pct"/>
            <w:vMerge w:val="continue"/>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p>
        </w:tc>
        <w:tc>
          <w:tcPr>
            <w:tcW w:w="709"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rPr>
              <w:t>徒步径</w:t>
            </w:r>
          </w:p>
        </w:tc>
        <w:tc>
          <w:tcPr>
            <w:tcW w:w="2716"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rPr>
              <w:t>按照4A级景区的设计标准，改造徒步径，按500米的距离设置休息廊亭，设置难度指数标识，提供线路长度、坡度和路况指引，增加公共厕所、垃圾桶等设施，避免出现地砖卡脚、马粪遍地等状况；新建观景亭</w:t>
            </w:r>
          </w:p>
        </w:tc>
        <w:tc>
          <w:tcPr>
            <w:tcW w:w="563"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米堆冰川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continue"/>
          </w:tcPr>
          <w:p>
            <w:pPr>
              <w:pStyle w:val="28"/>
              <w:keepNext w:val="0"/>
              <w:keepLines w:val="0"/>
              <w:suppressLineNumbers w:val="0"/>
              <w:bidi w:val="0"/>
              <w:spacing w:beforeAutospacing="0" w:afterAutospacing="0" w:line="276" w:lineRule="auto"/>
              <w:ind w:left="0" w:right="0"/>
              <w:rPr>
                <w:rFonts w:hint="eastAsia"/>
                <w:highlight w:val="none"/>
              </w:rPr>
            </w:pPr>
          </w:p>
        </w:tc>
        <w:tc>
          <w:tcPr>
            <w:tcW w:w="467" w:type="pct"/>
            <w:vMerge w:val="continue"/>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p>
        </w:tc>
        <w:tc>
          <w:tcPr>
            <w:tcW w:w="709"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rPr>
              <w:t>马道</w:t>
            </w:r>
          </w:p>
        </w:tc>
        <w:tc>
          <w:tcPr>
            <w:tcW w:w="2716"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rPr>
              <w:t>加强对游客和景区职员的安全教育和骑术培训，并向每位自愿参与骑马活动的游客明确责任与风险；执行更为有效的通风、除臭措施，限制马匹进入除马道以外的公共区域，避免再度出现马粪遍地的状况</w:t>
            </w:r>
          </w:p>
        </w:tc>
        <w:tc>
          <w:tcPr>
            <w:tcW w:w="563"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米堆冰川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continue"/>
          </w:tcPr>
          <w:p>
            <w:pPr>
              <w:pStyle w:val="28"/>
              <w:keepNext w:val="0"/>
              <w:keepLines w:val="0"/>
              <w:suppressLineNumbers w:val="0"/>
              <w:bidi w:val="0"/>
              <w:spacing w:beforeAutospacing="0" w:afterAutospacing="0" w:line="276" w:lineRule="auto"/>
              <w:ind w:left="0" w:right="0"/>
              <w:rPr>
                <w:rFonts w:hint="eastAsia"/>
                <w:highlight w:val="none"/>
              </w:rPr>
            </w:pPr>
          </w:p>
        </w:tc>
        <w:tc>
          <w:tcPr>
            <w:tcW w:w="467" w:type="pct"/>
            <w:vMerge w:val="continue"/>
          </w:tcPr>
          <w:p>
            <w:pPr>
              <w:pStyle w:val="28"/>
              <w:keepNext w:val="0"/>
              <w:keepLines w:val="0"/>
              <w:suppressLineNumbers w:val="0"/>
              <w:bidi w:val="0"/>
              <w:spacing w:beforeAutospacing="0" w:afterAutospacing="0" w:line="276" w:lineRule="auto"/>
              <w:ind w:left="0" w:right="0"/>
              <w:rPr>
                <w:rFonts w:hint="eastAsia"/>
                <w:highlight w:val="none"/>
                <w:lang w:val="en-US" w:eastAsia="zh-CN"/>
              </w:rPr>
            </w:pPr>
          </w:p>
        </w:tc>
        <w:tc>
          <w:tcPr>
            <w:tcW w:w="709"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rPr>
              <w:t>冰湖观景平台</w:t>
            </w:r>
          </w:p>
        </w:tc>
        <w:tc>
          <w:tcPr>
            <w:tcW w:w="2716"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rPr>
              <w:t>增设分类垃圾桶，定期清理观景平台周边的垃圾</w:t>
            </w:r>
          </w:p>
        </w:tc>
        <w:tc>
          <w:tcPr>
            <w:tcW w:w="563"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highlight w:val="none"/>
                <w:lang w:val="en-US" w:eastAsia="zh-CN"/>
              </w:rPr>
              <w:t>米堆冰川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vMerge w:val="continue"/>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p>
        </w:tc>
        <w:tc>
          <w:tcPr>
            <w:tcW w:w="467" w:type="pct"/>
            <w:vMerge w:val="continue"/>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p>
        </w:tc>
        <w:tc>
          <w:tcPr>
            <w:tcW w:w="709" w:type="pct"/>
            <w:vAlign w:val="center"/>
          </w:tcPr>
          <w:p>
            <w:pPr>
              <w:pStyle w:val="28"/>
              <w:keepNext w:val="0"/>
              <w:keepLines w:val="0"/>
              <w:suppressLineNumbers w:val="0"/>
              <w:bidi w:val="0"/>
              <w:spacing w:beforeAutospacing="0" w:afterAutospacing="0" w:line="276" w:lineRule="auto"/>
              <w:ind w:left="0" w:right="0"/>
              <w:rPr>
                <w:rFonts w:hint="eastAsia" w:eastAsia="宋体"/>
                <w:lang w:val="en-US" w:eastAsia="zh-CN"/>
              </w:rPr>
            </w:pPr>
            <w:r>
              <w:rPr>
                <w:rFonts w:hint="eastAsia"/>
                <w:lang w:val="en-US" w:eastAsia="zh-CN"/>
              </w:rPr>
              <w:t>朱西冰川</w:t>
            </w:r>
          </w:p>
        </w:tc>
        <w:tc>
          <w:tcPr>
            <w:tcW w:w="2716" w:type="pct"/>
            <w:vAlign w:val="center"/>
          </w:tcPr>
          <w:p>
            <w:pPr>
              <w:pStyle w:val="28"/>
              <w:keepNext w:val="0"/>
              <w:keepLines w:val="0"/>
              <w:suppressLineNumbers w:val="0"/>
              <w:bidi w:val="0"/>
              <w:spacing w:beforeAutospacing="0" w:afterAutospacing="0" w:line="276" w:lineRule="auto"/>
              <w:ind w:left="0" w:right="0"/>
              <w:rPr>
                <w:rFonts w:hint="eastAsia"/>
                <w:lang w:val="en-US" w:eastAsia="zh-CN"/>
              </w:rPr>
            </w:pPr>
            <w:r>
              <w:rPr>
                <w:rFonts w:hint="eastAsia"/>
              </w:rPr>
              <w:t>开展丘陵徒步及探秘科考活动，与波堆桃花沟等景区的观光型产品作互补</w:t>
            </w:r>
          </w:p>
        </w:tc>
        <w:tc>
          <w:tcPr>
            <w:tcW w:w="563" w:type="pct"/>
            <w:vAlign w:val="center"/>
          </w:tcPr>
          <w:p>
            <w:pPr>
              <w:pStyle w:val="28"/>
              <w:keepNext w:val="0"/>
              <w:keepLines w:val="0"/>
              <w:suppressLineNumbers w:val="0"/>
              <w:bidi w:val="0"/>
              <w:spacing w:beforeAutospacing="0" w:afterAutospacing="0" w:line="276" w:lineRule="auto"/>
              <w:ind w:left="0" w:leftChars="0" w:right="0" w:rightChars="0"/>
              <w:rPr>
                <w:rFonts w:hint="eastAsia" w:ascii="Times New Roman" w:hAnsi="Times New Roman" w:eastAsia="宋体" w:cs="Times New Roman"/>
                <w:kern w:val="2"/>
                <w:sz w:val="21"/>
                <w:szCs w:val="24"/>
                <w:highlight w:val="none"/>
                <w:lang w:val="en-US" w:eastAsia="zh-CN" w:bidi="ar-SA"/>
              </w:rPr>
            </w:pPr>
            <w:r>
              <w:rPr>
                <w:rFonts w:hint="eastAsia"/>
              </w:rPr>
              <w:t>结木山冰川</w:t>
            </w:r>
          </w:p>
        </w:tc>
      </w:tr>
    </w:tbl>
    <w:p>
      <w:pPr>
        <w:pStyle w:val="6"/>
        <w:numPr>
          <w:ilvl w:val="0"/>
          <w:numId w:val="13"/>
        </w:numPr>
        <w:bidi w:val="0"/>
        <w:ind w:left="0" w:leftChars="0" w:firstLine="480" w:firstLineChars="200"/>
        <w:rPr>
          <w:rFonts w:hint="eastAsia"/>
          <w:color w:val="000000"/>
          <w:spacing w:val="0"/>
          <w:w w:val="100"/>
          <w:position w:val="0"/>
          <w:shd w:val="clear" w:color="auto" w:fill="auto"/>
          <w:lang w:val="en-US" w:eastAsia="zh-CN"/>
        </w:rPr>
      </w:pPr>
      <w:r>
        <w:rPr>
          <w:rFonts w:hint="eastAsia"/>
          <w:color w:val="000000"/>
          <w:spacing w:val="0"/>
          <w:w w:val="100"/>
          <w:position w:val="0"/>
          <w:shd w:val="clear" w:color="auto" w:fill="auto"/>
          <w:lang w:val="en-US" w:eastAsia="zh-CN"/>
        </w:rPr>
        <w:t>对于县级及以上各相关部门组织编制的涉及冰川（雪）资源开发规划应依法开展规划环境影响评价，环境影响报告书在依法报送具有权限的生态环境部门审查前，应将报告书送</w:t>
      </w:r>
      <w:r>
        <w:rPr>
          <w:rFonts w:hint="eastAsia"/>
          <w:color w:val="auto"/>
          <w:lang w:val="en-US" w:eastAsia="zh-CN"/>
        </w:rPr>
        <w:t>西藏自治区生态环境厅</w:t>
      </w:r>
      <w:r>
        <w:rPr>
          <w:rFonts w:hint="eastAsia"/>
          <w:color w:val="000000"/>
          <w:spacing w:val="0"/>
          <w:w w:val="100"/>
          <w:position w:val="0"/>
          <w:shd w:val="clear" w:color="auto" w:fill="auto"/>
          <w:lang w:val="en-US" w:eastAsia="zh-CN"/>
        </w:rPr>
        <w:t>征求意见；篇章或者说明应在规划报批前，将包含篇章或说明的规划送</w:t>
      </w:r>
      <w:r>
        <w:rPr>
          <w:rFonts w:hint="eastAsia"/>
          <w:color w:val="auto"/>
          <w:lang w:val="en-US" w:eastAsia="zh-CN"/>
        </w:rPr>
        <w:t>西藏自治区生态环境厅</w:t>
      </w:r>
      <w:r>
        <w:rPr>
          <w:rFonts w:hint="eastAsia"/>
          <w:color w:val="000000"/>
          <w:spacing w:val="0"/>
          <w:w w:val="100"/>
          <w:position w:val="0"/>
          <w:shd w:val="clear" w:color="auto" w:fill="auto"/>
          <w:lang w:val="en-US" w:eastAsia="zh-CN"/>
        </w:rPr>
        <w:t>征求意见。</w:t>
      </w:r>
    </w:p>
    <w:p>
      <w:pPr>
        <w:pStyle w:val="6"/>
        <w:bidi w:val="0"/>
      </w:pPr>
      <w:r>
        <w:t>以下项目，需编制环境影响报告书（表）的，其环评文件一律报</w:t>
      </w:r>
      <w:r>
        <w:rPr>
          <w:rFonts w:hint="eastAsia"/>
          <w:color w:val="auto"/>
          <w:lang w:val="en-US" w:eastAsia="zh-CN"/>
        </w:rPr>
        <w:t>西藏自治区生态环境厅</w:t>
      </w:r>
      <w:r>
        <w:t>审批。</w:t>
      </w:r>
    </w:p>
    <w:p>
      <w:pPr>
        <w:pStyle w:val="6"/>
        <w:bidi w:val="0"/>
      </w:pPr>
      <w:r>
        <w:rPr>
          <w:rFonts w:hint="eastAsia"/>
          <w:lang w:eastAsia="zh-CN"/>
        </w:rPr>
        <w:t>①</w:t>
      </w:r>
      <w:r>
        <w:t>涉及冰川（雪）资源的观光、游览等旅游开发类建设项目；</w:t>
      </w:r>
    </w:p>
    <w:p>
      <w:pPr>
        <w:pStyle w:val="6"/>
        <w:bidi w:val="0"/>
      </w:pPr>
      <w:r>
        <w:rPr>
          <w:rFonts w:hint="eastAsia"/>
          <w:lang w:eastAsia="zh-CN"/>
        </w:rPr>
        <w:t>②</w:t>
      </w:r>
      <w:r>
        <w:t>涉及原生冰川、雪山资源的滑雪场、攀登等体育运动场馆类建设项目；</w:t>
      </w:r>
    </w:p>
    <w:p>
      <w:pPr>
        <w:pStyle w:val="6"/>
        <w:bidi w:val="0"/>
      </w:pPr>
      <w:r>
        <w:rPr>
          <w:rFonts w:hint="eastAsia"/>
          <w:lang w:eastAsia="zh-CN"/>
        </w:rPr>
        <w:t>③</w:t>
      </w:r>
      <w:r>
        <w:t>涉及直接开采冰川水资源的矿泉水开发等建设项目；</w:t>
      </w:r>
    </w:p>
    <w:p>
      <w:pPr>
        <w:pStyle w:val="6"/>
        <w:bidi w:val="0"/>
      </w:pPr>
      <w:r>
        <w:rPr>
          <w:rFonts w:hint="eastAsia"/>
          <w:lang w:eastAsia="zh-CN"/>
        </w:rPr>
        <w:t>④</w:t>
      </w:r>
      <w:r>
        <w:t>涉及直接占用或扰动冰川资源的矿产资源开发类建设项目；</w:t>
      </w:r>
    </w:p>
    <w:p>
      <w:pPr>
        <w:pStyle w:val="6"/>
        <w:ind w:firstLine="482"/>
        <w:rPr>
          <w:rFonts w:hint="eastAsia"/>
          <w:b/>
          <w:bCs/>
        </w:rPr>
      </w:pPr>
      <w:bookmarkStart w:id="211" w:name="_Toc17182"/>
      <w:r>
        <w:rPr>
          <w:rFonts w:hint="eastAsia"/>
          <w:b/>
          <w:bCs/>
        </w:rPr>
        <w:t>5、及时开展各县域的规划环评</w:t>
      </w:r>
      <w:bookmarkEnd w:id="211"/>
    </w:p>
    <w:p>
      <w:pPr>
        <w:pStyle w:val="6"/>
        <w:ind w:firstLine="480"/>
        <w:rPr>
          <w:rFonts w:hint="eastAsia"/>
          <w:highlight w:val="none"/>
          <w:lang w:val="en-US" w:eastAsia="zh-CN"/>
        </w:rPr>
      </w:pPr>
      <w:r>
        <w:rPr>
          <w:rFonts w:hint="eastAsia"/>
          <w:color w:val="00B050"/>
          <w:highlight w:val="none"/>
        </w:rPr>
        <w:t>《林芝市全域旅游发展规划（2018</w:t>
      </w:r>
      <w:r>
        <w:rPr>
          <w:rFonts w:hint="eastAsia"/>
          <w:color w:val="00B050"/>
          <w:highlight w:val="none"/>
          <w:lang w:val="en-US" w:eastAsia="zh-CN"/>
        </w:rPr>
        <w:t>~</w:t>
      </w:r>
      <w:r>
        <w:rPr>
          <w:rFonts w:hint="eastAsia"/>
          <w:color w:val="00B050"/>
          <w:highlight w:val="none"/>
        </w:rPr>
        <w:t>2025年）》是指导林芝市</w:t>
      </w:r>
      <w:r>
        <w:rPr>
          <w:rFonts w:hint="eastAsia"/>
          <w:color w:val="00B050"/>
          <w:highlight w:val="none"/>
          <w:lang w:val="en-US" w:eastAsia="zh-CN"/>
        </w:rPr>
        <w:t>全域</w:t>
      </w:r>
      <w:r>
        <w:rPr>
          <w:rFonts w:hint="eastAsia"/>
          <w:color w:val="00B050"/>
          <w:highlight w:val="none"/>
        </w:rPr>
        <w:t>旅游发展的规划，规划仅从宏观层面给出了林芝市</w:t>
      </w:r>
      <w:r>
        <w:rPr>
          <w:rFonts w:hint="eastAsia"/>
          <w:color w:val="00B050"/>
          <w:highlight w:val="none"/>
          <w:lang w:val="en-US" w:eastAsia="zh-CN"/>
        </w:rPr>
        <w:t>全域</w:t>
      </w:r>
      <w:r>
        <w:rPr>
          <w:rFonts w:hint="eastAsia"/>
          <w:color w:val="00B050"/>
          <w:highlight w:val="none"/>
        </w:rPr>
        <w:t>发展总体目标和发展方向，规划内容较为宏观，未给出定量的发展规模、指标。目前林芝市各区县已经完成了各县域</w:t>
      </w:r>
      <w:r>
        <w:rPr>
          <w:rFonts w:hint="eastAsia"/>
          <w:color w:val="00B050"/>
          <w:highlight w:val="none"/>
          <w:lang w:val="en-US" w:eastAsia="zh-CN"/>
        </w:rPr>
        <w:t>全域</w:t>
      </w:r>
      <w:r>
        <w:rPr>
          <w:rFonts w:hint="eastAsia"/>
          <w:color w:val="00B050"/>
          <w:highlight w:val="none"/>
        </w:rPr>
        <w:t>旅游总体规划，根据《中华人民共和国环境影响评价法》、《规划环境影响评价条例》等法律法规要求，《林芝市全域旅游发展规划（2018-2025年）》涉及到的各县域</w:t>
      </w:r>
      <w:r>
        <w:rPr>
          <w:rFonts w:hint="eastAsia"/>
          <w:color w:val="00B050"/>
          <w:highlight w:val="none"/>
          <w:lang w:val="en-US" w:eastAsia="zh-CN"/>
        </w:rPr>
        <w:t>全域</w:t>
      </w:r>
      <w:r>
        <w:rPr>
          <w:rFonts w:hint="eastAsia"/>
          <w:color w:val="00B050"/>
          <w:highlight w:val="none"/>
        </w:rPr>
        <w:t>旅游</w:t>
      </w:r>
      <w:r>
        <w:rPr>
          <w:rFonts w:hint="eastAsia"/>
          <w:color w:val="00B050"/>
          <w:highlight w:val="none"/>
          <w:lang w:val="en-US" w:eastAsia="zh-CN"/>
        </w:rPr>
        <w:t>发展</w:t>
      </w:r>
      <w:r>
        <w:rPr>
          <w:rFonts w:hint="eastAsia"/>
          <w:color w:val="00B050"/>
          <w:highlight w:val="none"/>
        </w:rPr>
        <w:t>规划应同步开展环境影响评价工作。</w:t>
      </w:r>
      <w:r>
        <w:rPr>
          <w:rFonts w:hint="eastAsia"/>
          <w:color w:val="00B050"/>
          <w:highlight w:val="none"/>
          <w:lang w:val="en-US" w:eastAsia="zh-CN"/>
        </w:rPr>
        <w:t>同时</w:t>
      </w:r>
      <w:r>
        <w:rPr>
          <w:rFonts w:hint="eastAsia"/>
          <w:color w:val="00B050"/>
          <w:highlight w:val="none"/>
        </w:rPr>
        <w:t>已</w:t>
      </w:r>
      <w:r>
        <w:rPr>
          <w:rFonts w:hint="eastAsia"/>
          <w:color w:val="00B050"/>
          <w:highlight w:val="none"/>
          <w:lang w:val="en-US" w:eastAsia="zh-CN"/>
        </w:rPr>
        <w:t>开展</w:t>
      </w:r>
      <w:r>
        <w:rPr>
          <w:rFonts w:hint="eastAsia"/>
          <w:color w:val="00B050"/>
          <w:highlight w:val="none"/>
        </w:rPr>
        <w:t>总规或控</w:t>
      </w:r>
      <w:r>
        <w:rPr>
          <w:rFonts w:hint="eastAsia"/>
          <w:color w:val="00B050"/>
          <w:highlight w:val="none"/>
          <w:lang w:val="en-US" w:eastAsia="zh-CN"/>
        </w:rPr>
        <w:t>性</w:t>
      </w:r>
      <w:r>
        <w:rPr>
          <w:rFonts w:hint="eastAsia"/>
          <w:color w:val="00B050"/>
          <w:highlight w:val="none"/>
        </w:rPr>
        <w:t>详规</w:t>
      </w:r>
      <w:r>
        <w:rPr>
          <w:rFonts w:hint="eastAsia"/>
          <w:color w:val="00B050"/>
          <w:highlight w:val="none"/>
          <w:lang w:val="en-US" w:eastAsia="zh-CN"/>
        </w:rPr>
        <w:t>的景区、旅游资源应</w:t>
      </w:r>
      <w:r>
        <w:rPr>
          <w:rFonts w:hint="eastAsia"/>
          <w:color w:val="00B050"/>
          <w:highlight w:val="none"/>
        </w:rPr>
        <w:t>尽快开展景区规划环境影响评价</w:t>
      </w:r>
      <w:r>
        <w:rPr>
          <w:rFonts w:hint="eastAsia"/>
          <w:color w:val="00B050"/>
          <w:highlight w:val="none"/>
          <w:lang w:val="en-US" w:eastAsia="zh-CN"/>
        </w:rPr>
        <w:t>工作。</w:t>
      </w:r>
    </w:p>
    <w:p>
      <w:pPr>
        <w:pStyle w:val="6"/>
        <w:bidi w:val="0"/>
        <w:rPr>
          <w:rFonts w:hint="eastAsia"/>
          <w:highlight w:val="none"/>
          <w:lang w:val="en-US" w:eastAsia="zh-CN"/>
        </w:rPr>
        <w:sectPr>
          <w:pgSz w:w="11906" w:h="16838"/>
          <w:pgMar w:top="1440" w:right="1800" w:bottom="1440" w:left="1800" w:header="851" w:footer="992" w:gutter="0"/>
          <w:pgNumType w:fmt="decimal"/>
          <w:cols w:space="425" w:num="1"/>
          <w:docGrid w:type="lines" w:linePitch="312" w:charSpace="0"/>
        </w:sectPr>
      </w:pPr>
    </w:p>
    <w:p>
      <w:pPr>
        <w:pStyle w:val="3"/>
        <w:bidi w:val="0"/>
        <w:rPr>
          <w:rFonts w:hint="eastAsia"/>
          <w:color w:val="auto"/>
          <w:highlight w:val="none"/>
        </w:rPr>
      </w:pPr>
      <w:bookmarkStart w:id="212" w:name="_Toc14039"/>
      <w:r>
        <w:rPr>
          <w:rFonts w:hint="eastAsia"/>
          <w:color w:val="auto"/>
          <w:highlight w:val="none"/>
          <w:lang w:val="en-US" w:eastAsia="zh-CN"/>
        </w:rPr>
        <w:t>7</w:t>
      </w:r>
      <w:r>
        <w:rPr>
          <w:rFonts w:hint="eastAsia"/>
          <w:color w:val="auto"/>
          <w:highlight w:val="none"/>
        </w:rPr>
        <w:t>环境影响减缓对策和措施</w:t>
      </w:r>
      <w:bookmarkEnd w:id="199"/>
      <w:bookmarkEnd w:id="212"/>
    </w:p>
    <w:p>
      <w:pPr>
        <w:pStyle w:val="22"/>
        <w:bidi w:val="0"/>
        <w:rPr>
          <w:highlight w:val="none"/>
        </w:rPr>
      </w:pPr>
      <w:r>
        <w:rPr>
          <w:rFonts w:hint="eastAsia"/>
          <w:highlight w:val="none"/>
        </w:rPr>
        <w:t>由于本规划存在诸多不确定性因素，本次环评仅针对后期规划实施过程中可能存在的环境问题提出相对应的减缓对策和措施。</w:t>
      </w:r>
    </w:p>
    <w:p>
      <w:pPr>
        <w:pStyle w:val="4"/>
        <w:bidi w:val="0"/>
        <w:rPr>
          <w:color w:val="auto"/>
          <w:highlight w:val="none"/>
        </w:rPr>
      </w:pPr>
      <w:bookmarkStart w:id="213" w:name="_Toc7776"/>
      <w:bookmarkStart w:id="214" w:name="_Toc4382"/>
      <w:r>
        <w:rPr>
          <w:rFonts w:hint="eastAsia"/>
          <w:color w:val="auto"/>
          <w:highlight w:val="none"/>
          <w:lang w:val="en-US" w:eastAsia="zh-CN"/>
        </w:rPr>
        <w:t>7</w:t>
      </w:r>
      <w:r>
        <w:rPr>
          <w:rFonts w:hint="eastAsia"/>
          <w:color w:val="auto"/>
          <w:highlight w:val="none"/>
        </w:rPr>
        <w:t>.1空间约束要求</w:t>
      </w:r>
      <w:bookmarkEnd w:id="213"/>
      <w:bookmarkEnd w:id="214"/>
    </w:p>
    <w:p>
      <w:pPr>
        <w:pStyle w:val="6"/>
        <w:bidi w:val="0"/>
        <w:rPr>
          <w:color w:val="auto"/>
          <w:highlight w:val="none"/>
        </w:rPr>
      </w:pPr>
      <w:r>
        <w:rPr>
          <w:rFonts w:hint="eastAsia"/>
          <w:color w:val="auto"/>
          <w:highlight w:val="none"/>
        </w:rPr>
        <w:t>由于本次规划范围为林芝市全域，规划建设项目目前还存在不确定性，需要在规划实施阶段进一步落实，应遵照《林芝市人民政府关于林芝市“三线一单”生态环境分区管控实施</w:t>
      </w:r>
      <w:r>
        <w:rPr>
          <w:rFonts w:hint="eastAsia"/>
          <w:color w:val="auto"/>
          <w:highlight w:val="none"/>
          <w:lang w:val="en-US" w:eastAsia="zh-CN"/>
        </w:rPr>
        <w:t>意见</w:t>
      </w:r>
      <w:r>
        <w:rPr>
          <w:rFonts w:hint="eastAsia"/>
          <w:color w:val="auto"/>
          <w:highlight w:val="none"/>
        </w:rPr>
        <w:t>》严格落实。</w:t>
      </w:r>
    </w:p>
    <w:p>
      <w:pPr>
        <w:pStyle w:val="27"/>
        <w:bidi w:val="0"/>
        <w:rPr>
          <w:color w:val="auto"/>
          <w:highlight w:val="none"/>
        </w:rPr>
      </w:pPr>
      <w:r>
        <w:rPr>
          <w:rFonts w:hint="eastAsia"/>
          <w:color w:val="auto"/>
          <w:highlight w:val="none"/>
        </w:rPr>
        <w:t>表</w:t>
      </w:r>
      <w:r>
        <w:rPr>
          <w:rFonts w:hint="eastAsia"/>
          <w:color w:val="auto"/>
          <w:highlight w:val="none"/>
          <w:lang w:val="en-US" w:eastAsia="zh-CN"/>
        </w:rPr>
        <w:t>7</w:t>
      </w:r>
      <w:r>
        <w:rPr>
          <w:rFonts w:hint="eastAsia"/>
          <w:color w:val="auto"/>
          <w:highlight w:val="none"/>
        </w:rPr>
        <w:t>-1  空间约束要求</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3829"/>
        <w:gridCol w:w="3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管控区</w:t>
            </w:r>
          </w:p>
        </w:tc>
        <w:tc>
          <w:tcPr>
            <w:tcW w:w="3829"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规划阶段</w:t>
            </w:r>
          </w:p>
        </w:tc>
        <w:tc>
          <w:tcPr>
            <w:tcW w:w="3735"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实施阶段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全域</w:t>
            </w:r>
          </w:p>
        </w:tc>
        <w:tc>
          <w:tcPr>
            <w:tcW w:w="7564" w:type="dxa"/>
            <w:gridSpan w:val="2"/>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应符合《</w:t>
            </w:r>
            <w:r>
              <w:rPr>
                <w:rFonts w:hint="eastAsia"/>
                <w:highlight w:val="none"/>
                <w:lang w:val="en-US" w:eastAsia="zh-CN"/>
              </w:rPr>
              <w:t>林芝市“三线一单”生态环境分区管控实施意见</w:t>
            </w:r>
            <w:r>
              <w:rPr>
                <w:rFonts w:hint="eastAsia"/>
                <w:highlight w:val="none"/>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生态红线</w:t>
            </w:r>
          </w:p>
        </w:tc>
        <w:tc>
          <w:tcPr>
            <w:tcW w:w="3829"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遵照生态红线管控要求</w:t>
            </w:r>
          </w:p>
        </w:tc>
        <w:tc>
          <w:tcPr>
            <w:tcW w:w="3735" w:type="dxa"/>
            <w:vAlign w:val="center"/>
          </w:tcPr>
          <w:p>
            <w:pPr>
              <w:pStyle w:val="29"/>
              <w:keepNext w:val="0"/>
              <w:keepLines w:val="0"/>
              <w:suppressLineNumbers w:val="0"/>
              <w:spacing w:before="0" w:beforeAutospacing="0" w:after="0" w:afterAutospacing="0"/>
              <w:ind w:left="0" w:right="0"/>
              <w:rPr>
                <w:rFonts w:hint="eastAsia"/>
                <w:color w:val="auto"/>
              </w:rPr>
            </w:pPr>
            <w:r>
              <w:rPr>
                <w:rFonts w:hint="eastAsia"/>
                <w:color w:val="auto"/>
              </w:rPr>
              <w:t>进一步落实是否涉及生态红线，严禁在规划实施过程中占用自然保护地的核心保护区。</w:t>
            </w:r>
          </w:p>
          <w:p>
            <w:pPr>
              <w:pStyle w:val="29"/>
              <w:keepNext w:val="0"/>
              <w:keepLines w:val="0"/>
              <w:suppressLineNumbers w:val="0"/>
              <w:bidi w:val="0"/>
              <w:spacing w:before="0" w:beforeAutospacing="0" w:after="0" w:afterAutospacing="0"/>
              <w:ind w:left="0" w:right="0"/>
              <w:rPr>
                <w:rFonts w:hint="default"/>
                <w:highlight w:val="none"/>
              </w:rPr>
            </w:pPr>
            <w:r>
              <w:rPr>
                <w:rFonts w:hint="eastAsia"/>
                <w:color w:val="auto"/>
              </w:rPr>
              <w:t>位于生态保护红线内的项目建设时应严格按照《林芝市“三线一单”研究报告》中生态保护红线管控要求执行。并在生态保护红线相关管控办法出台后，依据其管理规定进一步落实项目，并严格执行。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一般生态空间优先保护单元</w:t>
            </w:r>
          </w:p>
        </w:tc>
        <w:tc>
          <w:tcPr>
            <w:tcW w:w="3829"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初步判断有</w:t>
            </w:r>
            <w:r>
              <w:rPr>
                <w:rFonts w:hint="eastAsia"/>
                <w:highlight w:val="none"/>
                <w:lang w:val="en-US" w:eastAsia="zh-CN"/>
              </w:rPr>
              <w:t>42</w:t>
            </w:r>
            <w:r>
              <w:rPr>
                <w:rFonts w:hint="eastAsia"/>
                <w:highlight w:val="none"/>
              </w:rPr>
              <w:t>个项目可能涉及优先保护</w:t>
            </w:r>
            <w:r>
              <w:rPr>
                <w:rFonts w:hint="eastAsia"/>
                <w:highlight w:val="none"/>
                <w:lang w:val="en-US" w:eastAsia="zh-CN"/>
              </w:rPr>
              <w:t>单元</w:t>
            </w:r>
            <w:r>
              <w:rPr>
                <w:rFonts w:hint="eastAsia"/>
                <w:highlight w:val="none"/>
              </w:rPr>
              <w:t>，对可能涉及优先保护单元的涉及各类自然保护地遵守相关法律法规。</w:t>
            </w:r>
          </w:p>
        </w:tc>
        <w:tc>
          <w:tcPr>
            <w:tcW w:w="3735"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要求所有建设项目实施阶段应进一步落实是否涉及该管控区，并按照上述要求执行。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饮用水源地优先保护单元</w:t>
            </w:r>
          </w:p>
        </w:tc>
        <w:tc>
          <w:tcPr>
            <w:tcW w:w="3829"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不涉及饮用水水源保护区，并遵守《中华人民共和国水污染防治法》、《饮用水水源保护区污染防治管理规定》等相关规定要求。</w:t>
            </w:r>
          </w:p>
        </w:tc>
        <w:tc>
          <w:tcPr>
            <w:tcW w:w="3735"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 xml:space="preserve">建设项目实施阶段进一步落实，并按照上述要求执行。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基本农田</w:t>
            </w:r>
          </w:p>
        </w:tc>
        <w:tc>
          <w:tcPr>
            <w:tcW w:w="3829"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不占用基本农田，避让优质耕地。并遵守《基本农田保护条例》。</w:t>
            </w:r>
          </w:p>
        </w:tc>
        <w:tc>
          <w:tcPr>
            <w:tcW w:w="3735"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建设项目实施阶段进一步落实，并按照上述要求执行。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国家级自然保护区</w:t>
            </w:r>
          </w:p>
        </w:tc>
        <w:tc>
          <w:tcPr>
            <w:tcW w:w="3829"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default"/>
                <w:highlight w:val="none"/>
              </w:rPr>
              <w:t>规划可能涉及国家自然保护区</w:t>
            </w:r>
            <w:r>
              <w:rPr>
                <w:rFonts w:hint="eastAsia"/>
                <w:highlight w:val="none"/>
                <w:lang w:eastAsia="zh-CN"/>
              </w:rPr>
              <w:t>实验区</w:t>
            </w:r>
            <w:r>
              <w:rPr>
                <w:rFonts w:hint="default"/>
                <w:highlight w:val="none"/>
              </w:rPr>
              <w:t>，应</w:t>
            </w:r>
            <w:r>
              <w:rPr>
                <w:rFonts w:hint="eastAsia"/>
                <w:highlight w:val="none"/>
              </w:rPr>
              <w:t>遵照</w:t>
            </w:r>
            <w:r>
              <w:rPr>
                <w:rFonts w:hint="default"/>
                <w:highlight w:val="none"/>
              </w:rPr>
              <w:t>《</w:t>
            </w:r>
            <w:r>
              <w:rPr>
                <w:rFonts w:hint="eastAsia"/>
                <w:highlight w:val="none"/>
              </w:rPr>
              <w:t>在国家级自然保护区修筑设施审批管理暂行办法</w:t>
            </w:r>
            <w:r>
              <w:rPr>
                <w:rFonts w:hint="default"/>
                <w:highlight w:val="none"/>
              </w:rPr>
              <w:t>》（</w:t>
            </w:r>
            <w:r>
              <w:rPr>
                <w:rFonts w:hint="eastAsia"/>
                <w:highlight w:val="none"/>
              </w:rPr>
              <w:t>国家林业局第50号令</w:t>
            </w:r>
            <w:r>
              <w:rPr>
                <w:rFonts w:hint="default"/>
                <w:highlight w:val="none"/>
              </w:rPr>
              <w:t>）</w:t>
            </w:r>
            <w:r>
              <w:rPr>
                <w:rFonts w:hint="eastAsia"/>
                <w:highlight w:val="none"/>
              </w:rPr>
              <w:t>等相关规定要求</w:t>
            </w:r>
            <w:r>
              <w:rPr>
                <w:rFonts w:hint="default"/>
                <w:highlight w:val="none"/>
              </w:rPr>
              <w:t>。</w:t>
            </w:r>
          </w:p>
        </w:tc>
        <w:tc>
          <w:tcPr>
            <w:tcW w:w="3735" w:type="dxa"/>
            <w:vAlign w:val="center"/>
          </w:tcPr>
          <w:p>
            <w:pPr>
              <w:pStyle w:val="29"/>
              <w:keepNext w:val="0"/>
              <w:keepLines w:val="0"/>
              <w:suppressLineNumbers w:val="0"/>
              <w:bidi w:val="0"/>
              <w:spacing w:before="0" w:beforeAutospacing="0" w:after="0" w:afterAutospacing="0"/>
              <w:ind w:left="0" w:right="0"/>
              <w:rPr>
                <w:rFonts w:hint="default"/>
                <w:highlight w:val="none"/>
              </w:rPr>
            </w:pPr>
            <w:r>
              <w:rPr>
                <w:rFonts w:hint="eastAsia"/>
                <w:highlight w:val="none"/>
              </w:rPr>
              <w:t>建设项目实施阶段进一步落实，并按照上述要求执行。</w:t>
            </w:r>
          </w:p>
        </w:tc>
      </w:tr>
    </w:tbl>
    <w:p>
      <w:pPr>
        <w:pStyle w:val="4"/>
        <w:bidi w:val="0"/>
        <w:rPr>
          <w:color w:val="auto"/>
          <w:highlight w:val="none"/>
        </w:rPr>
      </w:pPr>
      <w:bookmarkStart w:id="215" w:name="_Toc16436"/>
      <w:bookmarkStart w:id="216" w:name="_Toc11103"/>
      <w:r>
        <w:rPr>
          <w:rFonts w:hint="eastAsia"/>
          <w:color w:val="auto"/>
          <w:highlight w:val="none"/>
          <w:lang w:val="en-US" w:eastAsia="zh-CN"/>
        </w:rPr>
        <w:t>7</w:t>
      </w:r>
      <w:r>
        <w:rPr>
          <w:rFonts w:hint="eastAsia"/>
          <w:color w:val="auto"/>
          <w:highlight w:val="none"/>
        </w:rPr>
        <w:t>.2环境准入负面清单</w:t>
      </w:r>
      <w:bookmarkEnd w:id="215"/>
      <w:bookmarkEnd w:id="216"/>
    </w:p>
    <w:p>
      <w:pPr>
        <w:pStyle w:val="6"/>
        <w:bidi w:val="0"/>
        <w:rPr>
          <w:color w:val="auto"/>
          <w:highlight w:val="none"/>
        </w:rPr>
      </w:pPr>
      <w:r>
        <w:rPr>
          <w:rFonts w:hint="eastAsia"/>
          <w:color w:val="auto"/>
          <w:highlight w:val="none"/>
        </w:rPr>
        <w:t>规划项目选址选择应避开生态红线、自然保护区核心区和缓冲区、一级水源保护区、基本农田，尽量避开自然保护区实验区、风景名胜区、森林公园、二级水源保护区、准水源保护区、居民集中区等环境敏感区域。同时，还应该考虑进出线对环境敏感区域的影响。</w:t>
      </w:r>
    </w:p>
    <w:p>
      <w:pPr>
        <w:pStyle w:val="6"/>
        <w:bidi w:val="0"/>
        <w:rPr>
          <w:color w:val="auto"/>
          <w:highlight w:val="none"/>
        </w:rPr>
      </w:pPr>
      <w:r>
        <w:rPr>
          <w:rFonts w:hint="eastAsia"/>
          <w:color w:val="auto"/>
          <w:highlight w:val="none"/>
        </w:rPr>
        <w:t>因此，规划区允许入驻与旅游相关及配套的企业，非旅游项目及工业等污染较重的工业企业不得入驻规划区。</w:t>
      </w:r>
    </w:p>
    <w:p>
      <w:pPr>
        <w:pStyle w:val="6"/>
        <w:bidi w:val="0"/>
        <w:rPr>
          <w:color w:val="auto"/>
          <w:highlight w:val="none"/>
        </w:rPr>
      </w:pPr>
      <w:r>
        <w:rPr>
          <w:rFonts w:hint="eastAsia"/>
          <w:color w:val="auto"/>
          <w:highlight w:val="none"/>
        </w:rPr>
        <w:t>规划区环境准入负面清单详见表</w:t>
      </w:r>
      <w:r>
        <w:rPr>
          <w:rFonts w:hint="eastAsia"/>
          <w:color w:val="auto"/>
          <w:highlight w:val="none"/>
          <w:lang w:val="en-US" w:eastAsia="zh-CN"/>
        </w:rPr>
        <w:t>7</w:t>
      </w:r>
      <w:r>
        <w:rPr>
          <w:rFonts w:hint="eastAsia"/>
          <w:color w:val="auto"/>
          <w:highlight w:val="none"/>
        </w:rPr>
        <w:t>-2。</w:t>
      </w:r>
    </w:p>
    <w:p>
      <w:pPr>
        <w:pStyle w:val="27"/>
        <w:bidi w:val="0"/>
        <w:rPr>
          <w:color w:val="auto"/>
          <w:highlight w:val="none"/>
        </w:rPr>
      </w:pPr>
      <w:r>
        <w:rPr>
          <w:rFonts w:hint="eastAsia"/>
          <w:color w:val="auto"/>
          <w:highlight w:val="none"/>
        </w:rPr>
        <w:t>表</w:t>
      </w:r>
      <w:r>
        <w:rPr>
          <w:rFonts w:hint="eastAsia"/>
          <w:color w:val="auto"/>
          <w:highlight w:val="none"/>
          <w:lang w:val="en-US" w:eastAsia="zh-CN"/>
        </w:rPr>
        <w:t>7</w:t>
      </w:r>
      <w:r>
        <w:rPr>
          <w:rFonts w:hint="eastAsia"/>
          <w:color w:val="auto"/>
          <w:highlight w:val="none"/>
        </w:rPr>
        <w:t>-2  规划区环境准入负面清单</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6"/>
        <w:gridCol w:w="6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pPr>
              <w:pStyle w:val="28"/>
              <w:keepNext w:val="0"/>
              <w:keepLines w:val="0"/>
              <w:suppressLineNumbers w:val="0"/>
              <w:bidi w:val="0"/>
              <w:spacing w:beforeAutospacing="0" w:afterAutospacing="0" w:line="276" w:lineRule="auto"/>
              <w:ind w:left="0" w:right="0"/>
              <w:rPr>
                <w:rFonts w:hint="default"/>
              </w:rPr>
            </w:pPr>
            <w:r>
              <w:rPr>
                <w:rFonts w:hint="default"/>
              </w:rPr>
              <w:t>项目</w:t>
            </w:r>
          </w:p>
        </w:tc>
        <w:tc>
          <w:tcPr>
            <w:tcW w:w="6010" w:type="dxa"/>
            <w:vAlign w:val="center"/>
          </w:tcPr>
          <w:p>
            <w:pPr>
              <w:pStyle w:val="28"/>
              <w:keepNext w:val="0"/>
              <w:keepLines w:val="0"/>
              <w:suppressLineNumbers w:val="0"/>
              <w:bidi w:val="0"/>
              <w:spacing w:beforeAutospacing="0" w:afterAutospacing="0" w:line="276" w:lineRule="auto"/>
              <w:ind w:left="0" w:right="0"/>
              <w:rPr>
                <w:rFonts w:hint="default"/>
              </w:rPr>
            </w:pPr>
            <w:r>
              <w:rPr>
                <w:rFonts w:hint="default"/>
              </w:rPr>
              <w:t>环保准入负面清单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restart"/>
            <w:vAlign w:val="center"/>
          </w:tcPr>
          <w:p>
            <w:pPr>
              <w:pStyle w:val="28"/>
              <w:keepNext w:val="0"/>
              <w:keepLines w:val="0"/>
              <w:suppressLineNumbers w:val="0"/>
              <w:bidi w:val="0"/>
              <w:spacing w:beforeAutospacing="0" w:afterAutospacing="0" w:line="276" w:lineRule="auto"/>
              <w:ind w:left="0" w:right="0"/>
              <w:rPr>
                <w:rFonts w:hint="default"/>
              </w:rPr>
            </w:pPr>
            <w:r>
              <w:rPr>
                <w:rFonts w:hint="eastAsia"/>
              </w:rPr>
              <w:t>禁止类</w:t>
            </w:r>
          </w:p>
        </w:tc>
        <w:tc>
          <w:tcPr>
            <w:tcW w:w="6010" w:type="dxa"/>
            <w:vAlign w:val="center"/>
          </w:tcPr>
          <w:p>
            <w:pPr>
              <w:pStyle w:val="28"/>
              <w:keepNext w:val="0"/>
              <w:keepLines w:val="0"/>
              <w:suppressLineNumbers w:val="0"/>
              <w:bidi w:val="0"/>
              <w:spacing w:beforeAutospacing="0" w:afterAutospacing="0" w:line="276" w:lineRule="auto"/>
              <w:ind w:left="0" w:right="0"/>
              <w:rPr>
                <w:rFonts w:hint="default"/>
              </w:rPr>
            </w:pPr>
            <w:r>
              <w:rPr>
                <w:rFonts w:hint="eastAsia"/>
              </w:rPr>
              <w:t>《林芝市生态环境准入清单》中禁止类项目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continue"/>
            <w:vAlign w:val="center"/>
          </w:tcPr>
          <w:p>
            <w:pPr>
              <w:pStyle w:val="28"/>
              <w:keepNext w:val="0"/>
              <w:keepLines w:val="0"/>
              <w:suppressLineNumbers w:val="0"/>
              <w:bidi w:val="0"/>
              <w:spacing w:beforeAutospacing="0" w:afterAutospacing="0" w:line="276" w:lineRule="auto"/>
              <w:ind w:left="0" w:right="0"/>
              <w:rPr>
                <w:rFonts w:hint="default"/>
              </w:rPr>
            </w:pPr>
          </w:p>
        </w:tc>
        <w:tc>
          <w:tcPr>
            <w:tcW w:w="6010" w:type="dxa"/>
            <w:vAlign w:val="center"/>
          </w:tcPr>
          <w:p>
            <w:pPr>
              <w:pStyle w:val="28"/>
              <w:keepNext w:val="0"/>
              <w:keepLines w:val="0"/>
              <w:suppressLineNumbers w:val="0"/>
              <w:bidi w:val="0"/>
              <w:spacing w:beforeAutospacing="0" w:afterAutospacing="0" w:line="276" w:lineRule="auto"/>
              <w:ind w:left="0" w:right="0"/>
              <w:rPr>
                <w:rFonts w:hint="default"/>
              </w:rPr>
            </w:pPr>
            <w:r>
              <w:rPr>
                <w:rFonts w:hint="eastAsia"/>
              </w:rPr>
              <w:t>《产业结构调整指导目录（</w:t>
            </w:r>
            <w:r>
              <w:rPr>
                <w:rFonts w:hint="default"/>
              </w:rPr>
              <w:t>20</w:t>
            </w:r>
            <w:r>
              <w:rPr>
                <w:rFonts w:hint="eastAsia"/>
              </w:rPr>
              <w:t>19）》中禁止类项目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continue"/>
            <w:vAlign w:val="center"/>
          </w:tcPr>
          <w:p>
            <w:pPr>
              <w:pStyle w:val="28"/>
              <w:keepNext w:val="0"/>
              <w:keepLines w:val="0"/>
              <w:suppressLineNumbers w:val="0"/>
              <w:bidi w:val="0"/>
              <w:spacing w:beforeAutospacing="0" w:afterAutospacing="0" w:line="276" w:lineRule="auto"/>
              <w:ind w:left="0" w:right="0"/>
              <w:rPr>
                <w:rFonts w:hint="default"/>
              </w:rPr>
            </w:pPr>
          </w:p>
        </w:tc>
        <w:tc>
          <w:tcPr>
            <w:tcW w:w="6010" w:type="dxa"/>
            <w:vAlign w:val="center"/>
          </w:tcPr>
          <w:p>
            <w:pPr>
              <w:pStyle w:val="28"/>
              <w:keepNext w:val="0"/>
              <w:keepLines w:val="0"/>
              <w:suppressLineNumbers w:val="0"/>
              <w:bidi w:val="0"/>
              <w:spacing w:beforeAutospacing="0" w:afterAutospacing="0" w:line="276" w:lineRule="auto"/>
              <w:ind w:left="0" w:right="0"/>
              <w:rPr>
                <w:rFonts w:hint="default"/>
              </w:rPr>
            </w:pPr>
            <w:r>
              <w:rPr>
                <w:rFonts w:hint="eastAsia"/>
              </w:rPr>
              <w:t>不符合规划环评生态空间约束要求的项目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continue"/>
            <w:vAlign w:val="center"/>
          </w:tcPr>
          <w:p>
            <w:pPr>
              <w:pStyle w:val="28"/>
              <w:keepNext w:val="0"/>
              <w:keepLines w:val="0"/>
              <w:suppressLineNumbers w:val="0"/>
              <w:bidi w:val="0"/>
              <w:spacing w:beforeAutospacing="0" w:afterAutospacing="0" w:line="276" w:lineRule="auto"/>
              <w:ind w:left="0" w:right="0"/>
              <w:rPr>
                <w:rFonts w:hint="default"/>
              </w:rPr>
            </w:pPr>
          </w:p>
        </w:tc>
        <w:tc>
          <w:tcPr>
            <w:tcW w:w="6010" w:type="dxa"/>
            <w:vAlign w:val="center"/>
          </w:tcPr>
          <w:p>
            <w:pPr>
              <w:pStyle w:val="28"/>
              <w:keepNext w:val="0"/>
              <w:keepLines w:val="0"/>
              <w:suppressLineNumbers w:val="0"/>
              <w:bidi w:val="0"/>
              <w:spacing w:beforeAutospacing="0" w:afterAutospacing="0" w:line="276" w:lineRule="auto"/>
              <w:ind w:left="0" w:right="0"/>
              <w:rPr>
                <w:rFonts w:hint="default"/>
              </w:rPr>
            </w:pPr>
            <w:r>
              <w:rPr>
                <w:rFonts w:hint="eastAsia"/>
              </w:rPr>
              <w:t>与主体功能区划不相符的项目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continue"/>
            <w:vAlign w:val="center"/>
          </w:tcPr>
          <w:p>
            <w:pPr>
              <w:pStyle w:val="28"/>
              <w:keepNext w:val="0"/>
              <w:keepLines w:val="0"/>
              <w:suppressLineNumbers w:val="0"/>
              <w:bidi w:val="0"/>
              <w:spacing w:beforeAutospacing="0" w:afterAutospacing="0" w:line="276" w:lineRule="auto"/>
              <w:ind w:left="0" w:right="0"/>
              <w:rPr>
                <w:rFonts w:hint="default"/>
              </w:rPr>
            </w:pPr>
          </w:p>
        </w:tc>
        <w:tc>
          <w:tcPr>
            <w:tcW w:w="6010" w:type="dxa"/>
            <w:vAlign w:val="center"/>
          </w:tcPr>
          <w:p>
            <w:pPr>
              <w:pStyle w:val="28"/>
              <w:keepNext w:val="0"/>
              <w:keepLines w:val="0"/>
              <w:suppressLineNumbers w:val="0"/>
              <w:bidi w:val="0"/>
              <w:spacing w:beforeAutospacing="0" w:afterAutospacing="0" w:line="276" w:lineRule="auto"/>
              <w:ind w:left="0" w:right="0"/>
              <w:rPr>
                <w:rFonts w:hint="default"/>
              </w:rPr>
            </w:pPr>
            <w:r>
              <w:rPr>
                <w:rFonts w:hint="eastAsia"/>
              </w:rPr>
              <w:t>污染物无法达标排放的项目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continue"/>
            <w:vAlign w:val="center"/>
          </w:tcPr>
          <w:p>
            <w:pPr>
              <w:pStyle w:val="28"/>
              <w:keepNext w:val="0"/>
              <w:keepLines w:val="0"/>
              <w:suppressLineNumbers w:val="0"/>
              <w:bidi w:val="0"/>
              <w:spacing w:beforeAutospacing="0" w:afterAutospacing="0" w:line="276" w:lineRule="auto"/>
              <w:ind w:left="0" w:right="0"/>
              <w:rPr>
                <w:rFonts w:hint="default"/>
              </w:rPr>
            </w:pPr>
          </w:p>
        </w:tc>
        <w:tc>
          <w:tcPr>
            <w:tcW w:w="6010" w:type="dxa"/>
            <w:vAlign w:val="center"/>
          </w:tcPr>
          <w:p>
            <w:pPr>
              <w:pStyle w:val="28"/>
              <w:keepNext w:val="0"/>
              <w:keepLines w:val="0"/>
              <w:suppressLineNumbers w:val="0"/>
              <w:bidi w:val="0"/>
              <w:spacing w:beforeAutospacing="0" w:afterAutospacing="0" w:line="276" w:lineRule="auto"/>
              <w:ind w:left="0" w:right="0"/>
              <w:rPr>
                <w:rFonts w:hint="default"/>
              </w:rPr>
            </w:pPr>
            <w:r>
              <w:rPr>
                <w:rFonts w:hint="eastAsia"/>
              </w:rPr>
              <w:t>涉及饮用水水源地保护区的项目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restart"/>
            <w:vAlign w:val="center"/>
          </w:tcPr>
          <w:p>
            <w:pPr>
              <w:pStyle w:val="28"/>
              <w:keepNext w:val="0"/>
              <w:keepLines w:val="0"/>
              <w:suppressLineNumbers w:val="0"/>
              <w:bidi w:val="0"/>
              <w:spacing w:beforeAutospacing="0" w:afterAutospacing="0" w:line="276" w:lineRule="auto"/>
              <w:ind w:left="0" w:right="0"/>
              <w:rPr>
                <w:rFonts w:hint="default"/>
              </w:rPr>
            </w:pPr>
            <w:r>
              <w:rPr>
                <w:rFonts w:hint="eastAsia"/>
              </w:rPr>
              <w:t>限制类</w:t>
            </w:r>
          </w:p>
        </w:tc>
        <w:tc>
          <w:tcPr>
            <w:tcW w:w="6010" w:type="dxa"/>
            <w:vAlign w:val="center"/>
          </w:tcPr>
          <w:p>
            <w:pPr>
              <w:pStyle w:val="28"/>
              <w:keepNext w:val="0"/>
              <w:keepLines w:val="0"/>
              <w:suppressLineNumbers w:val="0"/>
              <w:bidi w:val="0"/>
              <w:spacing w:beforeAutospacing="0" w:afterAutospacing="0" w:line="276" w:lineRule="auto"/>
              <w:ind w:left="0" w:right="0"/>
              <w:rPr>
                <w:rFonts w:hint="default"/>
              </w:rPr>
            </w:pPr>
            <w:r>
              <w:rPr>
                <w:rFonts w:hint="eastAsia"/>
              </w:rPr>
              <w:t>《产业结构调整指导目录（</w:t>
            </w:r>
            <w:r>
              <w:rPr>
                <w:rFonts w:hint="default"/>
              </w:rPr>
              <w:t>20</w:t>
            </w:r>
            <w:r>
              <w:rPr>
                <w:rFonts w:hint="eastAsia"/>
              </w:rPr>
              <w:t>19）》中禁止类项目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Merge w:val="continue"/>
            <w:vAlign w:val="center"/>
          </w:tcPr>
          <w:p>
            <w:pPr>
              <w:pStyle w:val="28"/>
              <w:keepNext w:val="0"/>
              <w:keepLines w:val="0"/>
              <w:suppressLineNumbers w:val="0"/>
              <w:bidi w:val="0"/>
              <w:spacing w:beforeAutospacing="0" w:afterAutospacing="0" w:line="276" w:lineRule="auto"/>
              <w:ind w:left="0" w:right="0"/>
              <w:rPr>
                <w:rFonts w:hint="default"/>
              </w:rPr>
            </w:pPr>
          </w:p>
        </w:tc>
        <w:tc>
          <w:tcPr>
            <w:tcW w:w="6010" w:type="dxa"/>
            <w:vAlign w:val="center"/>
          </w:tcPr>
          <w:p>
            <w:pPr>
              <w:pStyle w:val="28"/>
              <w:keepNext w:val="0"/>
              <w:keepLines w:val="0"/>
              <w:suppressLineNumbers w:val="0"/>
              <w:bidi w:val="0"/>
              <w:spacing w:beforeAutospacing="0" w:afterAutospacing="0" w:line="276" w:lineRule="auto"/>
              <w:ind w:left="0" w:right="0"/>
              <w:rPr>
                <w:rFonts w:hint="default"/>
              </w:rPr>
            </w:pPr>
            <w:r>
              <w:rPr>
                <w:rFonts w:hint="eastAsia"/>
              </w:rPr>
              <w:t>涉及自然保护区等环境敏感区的项目</w:t>
            </w:r>
          </w:p>
        </w:tc>
      </w:tr>
    </w:tbl>
    <w:p>
      <w:pPr>
        <w:pStyle w:val="4"/>
        <w:bidi w:val="0"/>
        <w:rPr>
          <w:rFonts w:hint="eastAsia"/>
          <w:highlight w:val="none"/>
        </w:rPr>
      </w:pPr>
      <w:bookmarkStart w:id="217" w:name="_Toc30256"/>
      <w:bookmarkStart w:id="218" w:name="_Toc18698"/>
      <w:r>
        <w:rPr>
          <w:rFonts w:hint="eastAsia"/>
          <w:highlight w:val="none"/>
          <w:lang w:val="en-US" w:eastAsia="zh-CN"/>
        </w:rPr>
        <w:t>7</w:t>
      </w:r>
      <w:r>
        <w:rPr>
          <w:rFonts w:hint="eastAsia"/>
          <w:highlight w:val="none"/>
        </w:rPr>
        <w:t>.3环境污染防治措施</w:t>
      </w:r>
      <w:bookmarkEnd w:id="217"/>
      <w:bookmarkEnd w:id="218"/>
    </w:p>
    <w:p>
      <w:pPr>
        <w:pStyle w:val="5"/>
        <w:bidi w:val="0"/>
        <w:rPr>
          <w:rFonts w:hint="default"/>
          <w:lang w:val="en-US" w:eastAsia="zh-CN"/>
        </w:rPr>
      </w:pPr>
      <w:bookmarkStart w:id="219" w:name="_Toc13233"/>
      <w:r>
        <w:rPr>
          <w:rFonts w:hint="eastAsia"/>
          <w:lang w:val="en-US" w:eastAsia="zh-CN"/>
        </w:rPr>
        <w:t>7.3.1施工期</w:t>
      </w:r>
      <w:bookmarkEnd w:id="219"/>
    </w:p>
    <w:p>
      <w:pPr>
        <w:pStyle w:val="6"/>
        <w:bidi w:val="0"/>
        <w:rPr>
          <w:rFonts w:hint="default" w:eastAsia="宋体"/>
          <w:b/>
          <w:bCs/>
          <w:lang w:val="en-US" w:eastAsia="zh-CN"/>
        </w:rPr>
      </w:pPr>
      <w:r>
        <w:rPr>
          <w:rFonts w:hint="eastAsia"/>
          <w:b/>
          <w:bCs/>
          <w:lang w:val="en-US" w:eastAsia="zh-CN"/>
        </w:rPr>
        <w:t>1、施工期环境空气防治措施</w:t>
      </w:r>
    </w:p>
    <w:p>
      <w:pPr>
        <w:pStyle w:val="6"/>
        <w:ind w:firstLine="480"/>
        <w:rPr>
          <w:rFonts w:hint="eastAsia"/>
        </w:rPr>
      </w:pPr>
      <w:r>
        <w:rPr>
          <w:rFonts w:hint="eastAsia"/>
        </w:rPr>
        <w:t>施工活动具有一定的周期性，它带来的影响是有限的。施工过程中，无论是主体建筑还是施工用地，应严格限制在总图所划定的范围内进行建设，不要对总图划定界线外的环境造成影响或破坏。对此，应做到几下几点减缓措施：</w:t>
      </w:r>
    </w:p>
    <w:p>
      <w:pPr>
        <w:pStyle w:val="6"/>
        <w:ind w:firstLine="480"/>
        <w:rPr>
          <w:rFonts w:hint="eastAsia"/>
        </w:rPr>
      </w:pPr>
      <w:r>
        <w:rPr>
          <w:rFonts w:hint="eastAsia"/>
        </w:rPr>
        <w:t>（1）施工工艺控制措施</w:t>
      </w:r>
    </w:p>
    <w:p>
      <w:pPr>
        <w:pStyle w:val="6"/>
        <w:ind w:firstLine="480"/>
        <w:rPr>
          <w:rFonts w:hint="eastAsia"/>
        </w:rPr>
      </w:pPr>
      <w:r>
        <w:rPr>
          <w:rFonts w:hint="eastAsia"/>
        </w:rPr>
        <w:t>加强施工管理，采用封闭式施工方法，设置密目安全网等围护结构，防止建筑尘土飞扬，有效地降低粉尘带来的大气污染。选用符合国家有关标准的施工机械和运输工具，使其排放的废气符合国家有关标准。沙石料提倡湿法作业，降低粉尘量。水泥采用封闭式运输，减少粉尘传播途径，搅拌点尽可能集中设置。</w:t>
      </w:r>
    </w:p>
    <w:p>
      <w:pPr>
        <w:pStyle w:val="6"/>
        <w:ind w:firstLine="480"/>
        <w:rPr>
          <w:rFonts w:hint="eastAsia"/>
        </w:rPr>
      </w:pPr>
      <w:r>
        <w:rPr>
          <w:rFonts w:hint="eastAsia"/>
        </w:rPr>
        <w:t>（2）降尘控制措施</w:t>
      </w:r>
    </w:p>
    <w:p>
      <w:pPr>
        <w:pStyle w:val="6"/>
        <w:ind w:firstLine="480"/>
        <w:rPr>
          <w:rFonts w:hint="eastAsia"/>
        </w:rPr>
      </w:pPr>
      <w:r>
        <w:rPr>
          <w:rFonts w:hint="eastAsia"/>
        </w:rPr>
        <w:t>工程露天挖土时，尽量采用施工围栏和洒水降尘，以减少挖土产生的粉尘。对施工期开挖较集中的区域，非雨日应加强洒水降尘，减少扬尘，缩短粉尘污染的时段，缩小污染范围。对土石方转运及材料运输车辆进行严格清洗，运行车辆尽可能减缓行驶速度；土石方及建筑弃渣等运输车辆，车箱遮盖严密后方可运出场外，避免对交通道路造成扬尘污染。</w:t>
      </w:r>
    </w:p>
    <w:p>
      <w:pPr>
        <w:pStyle w:val="6"/>
        <w:ind w:firstLine="480"/>
        <w:rPr>
          <w:rFonts w:hint="eastAsia"/>
        </w:rPr>
      </w:pPr>
      <w:r>
        <w:rPr>
          <w:rFonts w:hint="eastAsia"/>
        </w:rPr>
        <w:t>（3）交通粉尘的控制措施</w:t>
      </w:r>
    </w:p>
    <w:p>
      <w:pPr>
        <w:pStyle w:val="6"/>
        <w:ind w:firstLine="480"/>
        <w:rPr>
          <w:rFonts w:hint="eastAsia"/>
        </w:rPr>
      </w:pPr>
      <w:r>
        <w:rPr>
          <w:rFonts w:hint="eastAsia"/>
        </w:rPr>
        <w:t>在水泥等材料装卸过程中，应保持良好的密封状态。加强车辆的维修和保养，防止汽、柴油的泄露，保证进、排气系统畅通。施工场内的临时公路，结合水保措施，在公路两旁特别是居民敏感点、旅游景点尽量采取措施降低粉尘污染。对主要道路进行硬化，施工场地定期洒水降尘，并及时清扫及冲洗道路；对路面定期养护、清扫，晴天洒水减少粉尘。</w:t>
      </w:r>
    </w:p>
    <w:p>
      <w:pPr>
        <w:pStyle w:val="6"/>
        <w:ind w:firstLine="480"/>
        <w:rPr>
          <w:rFonts w:hint="eastAsia"/>
        </w:rPr>
      </w:pPr>
      <w:r>
        <w:rPr>
          <w:rFonts w:hint="eastAsia"/>
        </w:rPr>
        <w:t>（4）燃油废气控制措施</w:t>
      </w:r>
    </w:p>
    <w:p>
      <w:pPr>
        <w:pStyle w:val="6"/>
        <w:ind w:firstLine="480"/>
        <w:rPr>
          <w:rFonts w:hint="eastAsia"/>
        </w:rPr>
      </w:pPr>
      <w:r>
        <w:rPr>
          <w:rFonts w:hint="eastAsia"/>
        </w:rPr>
        <w:t>加强大型施工机械和车辆管理，机械应配备相应的消烟除尘的设备，运输车辆需安装尾气净化器。定期检查、维修，确保施工机械和车辆各项环保指标符合尾气排放要求。采用优质、污染小的燃油</w:t>
      </w:r>
    </w:p>
    <w:p>
      <w:pPr>
        <w:pStyle w:val="6"/>
        <w:bidi w:val="0"/>
        <w:rPr>
          <w:rFonts w:hint="eastAsia"/>
          <w:b/>
          <w:bCs/>
        </w:rPr>
      </w:pPr>
      <w:r>
        <w:rPr>
          <w:rFonts w:hint="eastAsia"/>
          <w:b/>
          <w:bCs/>
          <w:lang w:val="en-US" w:eastAsia="zh-CN"/>
        </w:rPr>
        <w:t>2、施工期</w:t>
      </w:r>
      <w:r>
        <w:rPr>
          <w:rFonts w:hint="eastAsia"/>
          <w:b/>
          <w:bCs/>
        </w:rPr>
        <w:t xml:space="preserve">水污染防治措施 </w:t>
      </w:r>
    </w:p>
    <w:p>
      <w:pPr>
        <w:pStyle w:val="6"/>
        <w:bidi w:val="0"/>
        <w:rPr>
          <w:rFonts w:hint="eastAsia"/>
        </w:rPr>
      </w:pPr>
      <w:r>
        <w:rPr>
          <w:rFonts w:hint="eastAsia"/>
        </w:rPr>
        <w:t>（1）建议规划建设施工项目釆用商品碇，不在现场搅拌混凝土，</w:t>
      </w:r>
    </w:p>
    <w:p>
      <w:pPr>
        <w:pStyle w:val="6"/>
        <w:bidi w:val="0"/>
        <w:rPr>
          <w:rFonts w:hint="eastAsia"/>
        </w:rPr>
      </w:pPr>
      <w:r>
        <w:rPr>
          <w:rFonts w:hint="eastAsia"/>
        </w:rPr>
        <w:t>（2）施工废水经过沉淀池澄清后做降尘洒水，不排放。施工期场地雨水修建临时排水沟，排入施工项目周边雨水管网或河流。</w:t>
      </w:r>
    </w:p>
    <w:p>
      <w:pPr>
        <w:pStyle w:val="6"/>
        <w:bidi w:val="0"/>
        <w:rPr>
          <w:rFonts w:hint="eastAsia"/>
        </w:rPr>
      </w:pPr>
      <w:r>
        <w:rPr>
          <w:rFonts w:hint="eastAsia"/>
        </w:rPr>
        <w:t>（3）施工人员生活污水经化粪池沉淀后排入市政管网，或经旱厕等设施处置，未经处理，不得随意排放污染周边地表水体。。</w:t>
      </w:r>
    </w:p>
    <w:p>
      <w:pPr>
        <w:spacing w:line="360" w:lineRule="auto"/>
        <w:ind w:firstLine="482" w:firstLineChars="200"/>
        <w:rPr>
          <w:rFonts w:hint="default" w:eastAsia="宋体"/>
          <w:b/>
          <w:szCs w:val="21"/>
          <w:lang w:val="en-US" w:eastAsia="zh-CN"/>
        </w:rPr>
      </w:pPr>
      <w:r>
        <w:rPr>
          <w:rFonts w:hint="eastAsia"/>
          <w:b/>
          <w:szCs w:val="21"/>
          <w:lang w:val="en-US" w:eastAsia="zh-CN"/>
        </w:rPr>
        <w:t>3、</w:t>
      </w:r>
      <w:r>
        <w:rPr>
          <w:rFonts w:hint="eastAsia"/>
          <w:b/>
          <w:szCs w:val="21"/>
        </w:rPr>
        <w:t>施工期</w:t>
      </w:r>
      <w:r>
        <w:rPr>
          <w:rFonts w:hint="eastAsia"/>
          <w:b/>
          <w:szCs w:val="21"/>
          <w:lang w:val="en-US" w:eastAsia="zh-CN"/>
        </w:rPr>
        <w:t>噪声污染防治措施</w:t>
      </w:r>
    </w:p>
    <w:p>
      <w:pPr>
        <w:spacing w:line="360" w:lineRule="auto"/>
        <w:ind w:firstLine="480" w:firstLineChars="200"/>
      </w:pPr>
      <w:r>
        <w:rPr>
          <w:rFonts w:hint="eastAsia"/>
          <w:bCs/>
          <w:szCs w:val="21"/>
        </w:rPr>
        <w:t>（1）</w:t>
      </w:r>
      <w:r>
        <w:t>避免高噪声设备同时使用，避免局部噪声级过高。施工单位按当地环境保护管理部门规定，严格执行GB12523-2011《建筑施工场界环境噪声排放标准》，合理安排施工时间，除工程必须外，一般不允许在</w:t>
      </w:r>
      <w:r>
        <w:rPr>
          <w:rFonts w:hint="eastAsia"/>
          <w:color w:val="2A26F7"/>
          <w:lang w:val="en-US" w:eastAsia="zh-CN"/>
        </w:rPr>
        <w:t>13:</w:t>
      </w:r>
      <w:r>
        <w:rPr>
          <w:color w:val="2A26F7"/>
        </w:rPr>
        <w:t>00〜</w:t>
      </w:r>
      <w:r>
        <w:rPr>
          <w:rFonts w:hint="eastAsia"/>
          <w:color w:val="2A26F7"/>
          <w:lang w:val="en-US" w:eastAsia="zh-CN"/>
        </w:rPr>
        <w:t>15:</w:t>
      </w:r>
      <w:r>
        <w:rPr>
          <w:color w:val="2A26F7"/>
        </w:rPr>
        <w:t>30</w:t>
      </w:r>
      <w:r>
        <w:t>和22</w:t>
      </w:r>
      <w:r>
        <w:rPr>
          <w:rFonts w:hint="eastAsia"/>
          <w:lang w:val="en-US" w:eastAsia="zh-CN"/>
        </w:rPr>
        <w:t>:</w:t>
      </w:r>
      <w:r>
        <w:t>00〜次日6</w:t>
      </w:r>
      <w:r>
        <w:rPr>
          <w:rFonts w:hint="eastAsia"/>
          <w:lang w:val="en-US" w:eastAsia="zh-CN"/>
        </w:rPr>
        <w:t>:</w:t>
      </w:r>
      <w:r>
        <w:t>00期间施工。对主体工程浇灌需要连续施工时，建设单位应在施工前7天征得环保部门批准同意后，在作业前2日将环保行政主管部门的证明及施工时间张贴告示，作好宣传，告知周边公众，为防止昼间施工噪声对周边环境造成影响，必须在具体规划项目四周建设临时声屏障。</w:t>
      </w:r>
    </w:p>
    <w:p>
      <w:pPr>
        <w:spacing w:line="360" w:lineRule="auto"/>
        <w:ind w:firstLine="480" w:firstLineChars="200"/>
      </w:pPr>
      <w:r>
        <w:rPr>
          <w:rFonts w:hint="eastAsia"/>
        </w:rPr>
        <w:t>（2）</w:t>
      </w:r>
      <w:r>
        <w:t>施工阶段釆用商品砕，减少混凝土拌和噪声。</w:t>
      </w:r>
    </w:p>
    <w:p>
      <w:pPr>
        <w:spacing w:line="360" w:lineRule="auto"/>
        <w:ind w:firstLine="480" w:firstLineChars="200"/>
      </w:pPr>
      <w:r>
        <w:rPr>
          <w:rFonts w:hint="eastAsia"/>
        </w:rPr>
        <w:t>（3）</w:t>
      </w:r>
      <w:r>
        <w:t>施工单位主要施工机械应釆用低噪声机械设备，并及时维修保养，严格按操作规程使用各类机械。</w:t>
      </w:r>
    </w:p>
    <w:p>
      <w:pPr>
        <w:spacing w:line="360" w:lineRule="auto"/>
        <w:ind w:firstLine="480" w:firstLineChars="200"/>
      </w:pPr>
      <w:r>
        <w:rPr>
          <w:rFonts w:hint="eastAsia"/>
        </w:rPr>
        <w:t>（4）</w:t>
      </w:r>
      <w:r>
        <w:t>加强对运输车辆的保养，避免由于故障汽车上路增大对沿线居民的噪声影响；运输车辆应控制车速，禁止鸣号，建设单位应在主要 路段在交警部门的协助下设置限速标志。且施工车辆通行应尽量以最 短距离通过城区。</w:t>
      </w:r>
    </w:p>
    <w:p>
      <w:pPr>
        <w:pStyle w:val="6"/>
        <w:bidi w:val="0"/>
        <w:rPr>
          <w:rFonts w:hint="default" w:eastAsia="宋体"/>
          <w:b/>
          <w:bCs/>
          <w:lang w:val="en-US" w:eastAsia="zh-CN"/>
        </w:rPr>
      </w:pPr>
      <w:r>
        <w:rPr>
          <w:rFonts w:hint="eastAsia"/>
          <w:b/>
          <w:bCs/>
          <w:lang w:val="en-US" w:eastAsia="zh-CN"/>
        </w:rPr>
        <w:t>4、</w:t>
      </w:r>
      <w:r>
        <w:rPr>
          <w:rFonts w:hint="eastAsia"/>
          <w:b/>
          <w:bCs/>
        </w:rPr>
        <w:t>施工期</w:t>
      </w:r>
      <w:r>
        <w:rPr>
          <w:rFonts w:hint="eastAsia"/>
          <w:b/>
          <w:bCs/>
          <w:lang w:val="en-US" w:eastAsia="zh-CN"/>
        </w:rPr>
        <w:t>固体废物防治措施</w:t>
      </w:r>
    </w:p>
    <w:p>
      <w:pPr>
        <w:pStyle w:val="6"/>
        <w:bidi w:val="0"/>
        <w:rPr>
          <w:rFonts w:hint="eastAsia"/>
        </w:rPr>
      </w:pPr>
      <w:r>
        <w:rPr>
          <w:rFonts w:hint="eastAsia"/>
        </w:rPr>
        <w:t>（1）施工期建筑垃圾分类堆放，以便进行分类运输、回收利用和处理，不可回收利用部分送往指定建筑垃圾填埋场，有害物质单独处理，严禁渣土混入生活垃圾中。</w:t>
      </w:r>
    </w:p>
    <w:p>
      <w:pPr>
        <w:pStyle w:val="6"/>
        <w:bidi w:val="0"/>
        <w:rPr>
          <w:rFonts w:hint="eastAsia"/>
        </w:rPr>
      </w:pPr>
      <w:r>
        <w:rPr>
          <w:rFonts w:hint="eastAsia"/>
        </w:rPr>
        <w:t>（2）挖出的土方石尽量按设计要求回填，避免污染环境、破坏景观。</w:t>
      </w:r>
    </w:p>
    <w:p>
      <w:pPr>
        <w:pStyle w:val="6"/>
        <w:bidi w:val="0"/>
      </w:pPr>
      <w:r>
        <w:rPr>
          <w:rFonts w:hint="eastAsia"/>
        </w:rPr>
        <w:t>（3）施工人员产生的生活垃圾，按指定地点堆放，相关环卫部门需及时清运统一处理</w:t>
      </w:r>
    </w:p>
    <w:p>
      <w:pPr>
        <w:pStyle w:val="5"/>
        <w:bidi w:val="0"/>
        <w:rPr>
          <w:highlight w:val="none"/>
        </w:rPr>
      </w:pPr>
      <w:bookmarkStart w:id="220" w:name="_Toc31894"/>
      <w:bookmarkStart w:id="221" w:name="_Toc19957"/>
      <w:r>
        <w:rPr>
          <w:rFonts w:hint="eastAsia"/>
          <w:highlight w:val="none"/>
          <w:lang w:val="en-US" w:eastAsia="zh-CN"/>
        </w:rPr>
        <w:t>7</w:t>
      </w:r>
      <w:r>
        <w:rPr>
          <w:rFonts w:hint="eastAsia"/>
          <w:highlight w:val="none"/>
        </w:rPr>
        <w:t>.3.</w:t>
      </w:r>
      <w:r>
        <w:rPr>
          <w:rFonts w:hint="eastAsia"/>
          <w:highlight w:val="none"/>
          <w:lang w:val="en-US" w:eastAsia="zh-CN"/>
        </w:rPr>
        <w:t>2运营期污</w:t>
      </w:r>
      <w:r>
        <w:rPr>
          <w:highlight w:val="none"/>
        </w:rPr>
        <w:t>染防治措施</w:t>
      </w:r>
      <w:bookmarkEnd w:id="220"/>
      <w:bookmarkEnd w:id="221"/>
      <w:r>
        <w:rPr>
          <w:highlight w:val="none"/>
        </w:rPr>
        <w:t xml:space="preserve"> </w:t>
      </w:r>
    </w:p>
    <w:p>
      <w:pPr>
        <w:pStyle w:val="6"/>
        <w:ind w:firstLine="480"/>
        <w:rPr>
          <w:rFonts w:hint="eastAsia"/>
          <w:b/>
          <w:bCs/>
          <w:highlight w:val="none"/>
          <w:lang w:val="en-US" w:eastAsia="zh-CN"/>
        </w:rPr>
      </w:pPr>
      <w:r>
        <w:rPr>
          <w:rFonts w:hint="eastAsia"/>
          <w:b/>
          <w:bCs/>
          <w:highlight w:val="none"/>
          <w:lang w:val="en-US" w:eastAsia="zh-CN"/>
        </w:rPr>
        <w:t>1、运营期空气污</w:t>
      </w:r>
      <w:r>
        <w:rPr>
          <w:b/>
          <w:bCs/>
          <w:highlight w:val="none"/>
        </w:rPr>
        <w:t>染防治措施</w:t>
      </w:r>
    </w:p>
    <w:p>
      <w:pPr>
        <w:pStyle w:val="6"/>
        <w:ind w:firstLine="480"/>
        <w:rPr>
          <w:rFonts w:hint="eastAsia"/>
        </w:rPr>
      </w:pPr>
      <w:r>
        <w:rPr>
          <w:rFonts w:hint="eastAsia"/>
        </w:rPr>
        <w:t>（1）加强施工车辆管理，限制尾气排放超标的运输车辆驶入保护区，保障道路畅通，减少汽车尾气排放总量。同时增加道路两旁的绿化率，防治局部污染，提高绿化覆盖率，改善局部的生态环境。</w:t>
      </w:r>
    </w:p>
    <w:p>
      <w:pPr>
        <w:pStyle w:val="6"/>
        <w:ind w:firstLine="480"/>
      </w:pPr>
      <w:r>
        <w:rPr>
          <w:rFonts w:hint="eastAsia"/>
        </w:rPr>
        <w:t>（2）合理配置能源结构，推广使用清洁能源。形成能源以电为主，天然气为辅的能源结构，规划区内建设的旅游基础必须使用清洁能源（电能或天然气）。对旅游餐厅油烟要求采用专用油烟净化器进行治理，确保油烟达标排放，满足国家有关要求</w:t>
      </w:r>
    </w:p>
    <w:p>
      <w:pPr>
        <w:pStyle w:val="6"/>
        <w:ind w:firstLine="480"/>
      </w:pPr>
      <w:r>
        <w:t>（3）景区内的餐饮业需集中设置，并加装油烟净化器。通过专用烟道引至餐饮业 所在构筑物的顶部排放。</w:t>
      </w:r>
      <w:r>
        <w:rPr>
          <w:rFonts w:hint="eastAsia"/>
        </w:rPr>
        <w:t>林芝市</w:t>
      </w:r>
      <w:r>
        <w:t>各景区内餐饮业的能源以电能、液化气为宜，应采取“禁煤”措施，其它区域的餐饮业应有消烟除尘的设施达标后排放。</w:t>
      </w:r>
    </w:p>
    <w:p>
      <w:pPr>
        <w:pStyle w:val="6"/>
        <w:ind w:firstLine="480"/>
      </w:pPr>
      <w:r>
        <w:t>（4）垃圾收集点为控制臭气对周围环境的影响，应加强收运作业管理，通过合理安排作业时段，尽量避开人们出行时间，而且每天工作结束后，对作业区的场地和部分设备进行冲洗，对进入转运站的垃圾日产日清，及时运往垃圾无害化处理场进行处置，避免长期积累产生恶臭影响周边居民和游客。在夏季蚊蝇高繁殖季节，需定时喷洒药水进行消毒处理，控制大量蚊蝇滋生。垃圾收集点外围可设置绿化隔离带，垃圾运输车辆采用拉臂勾车与移动式垃圾收集箱相结合的方式，密闭运输，运输过程不会造成垃圾散落和臭气的污染。</w:t>
      </w:r>
    </w:p>
    <w:p>
      <w:pPr>
        <w:pStyle w:val="6"/>
        <w:rPr>
          <w:rFonts w:hint="eastAsia" w:eastAsia="宋体"/>
          <w:b/>
          <w:bCs/>
          <w:color w:val="1A15F1"/>
          <w:highlight w:val="none"/>
          <w:lang w:val="en-US" w:eastAsia="zh-CN"/>
        </w:rPr>
      </w:pPr>
      <w:r>
        <w:rPr>
          <w:rFonts w:hint="eastAsia"/>
          <w:b/>
          <w:bCs/>
          <w:color w:val="1A15F1"/>
          <w:highlight w:val="none"/>
          <w:lang w:val="en-US" w:eastAsia="zh-CN"/>
        </w:rPr>
        <w:t>2、</w:t>
      </w:r>
      <w:r>
        <w:rPr>
          <w:rFonts w:hint="eastAsia" w:eastAsia="宋体"/>
          <w:b/>
          <w:bCs/>
          <w:color w:val="1A15F1"/>
          <w:highlight w:val="none"/>
          <w:lang w:val="en-US" w:eastAsia="zh-CN"/>
        </w:rPr>
        <w:t>运营期</w:t>
      </w:r>
      <w:r>
        <w:rPr>
          <w:rFonts w:hint="eastAsia"/>
          <w:b/>
          <w:bCs/>
          <w:color w:val="1A15F1"/>
          <w:highlight w:val="none"/>
          <w:lang w:val="en-US" w:eastAsia="zh-CN"/>
        </w:rPr>
        <w:t>水环境</w:t>
      </w:r>
      <w:r>
        <w:rPr>
          <w:rFonts w:hint="eastAsia" w:eastAsia="宋体"/>
          <w:b/>
          <w:bCs/>
          <w:color w:val="1A15F1"/>
          <w:highlight w:val="none"/>
          <w:lang w:val="en-US" w:eastAsia="zh-CN"/>
        </w:rPr>
        <w:t>污染防治措施</w:t>
      </w:r>
    </w:p>
    <w:p>
      <w:pPr>
        <w:pStyle w:val="6"/>
        <w:ind w:firstLine="480"/>
        <w:rPr>
          <w:rFonts w:hint="default" w:eastAsia="宋体"/>
          <w:color w:val="1A15F1"/>
          <w:highlight w:val="none"/>
          <w:lang w:val="en-US" w:eastAsia="zh-CN"/>
        </w:rPr>
      </w:pPr>
      <w:r>
        <w:rPr>
          <w:rFonts w:hint="eastAsia"/>
          <w:color w:val="1A15F1"/>
          <w:highlight w:val="none"/>
          <w:lang w:eastAsia="zh-CN"/>
        </w:rPr>
        <w:t>（</w:t>
      </w:r>
      <w:r>
        <w:rPr>
          <w:rFonts w:hint="eastAsia"/>
          <w:color w:val="1A15F1"/>
          <w:highlight w:val="none"/>
          <w:lang w:val="en-US" w:eastAsia="zh-CN"/>
        </w:rPr>
        <w:t>1</w:t>
      </w:r>
      <w:r>
        <w:rPr>
          <w:rFonts w:hint="eastAsia"/>
          <w:color w:val="1A15F1"/>
          <w:highlight w:val="none"/>
          <w:lang w:eastAsia="zh-CN"/>
        </w:rPr>
        <w:t>）</w:t>
      </w:r>
      <w:r>
        <w:rPr>
          <w:rFonts w:hint="eastAsia"/>
          <w:color w:val="1A15F1"/>
          <w:highlight w:val="none"/>
          <w:lang w:val="en-US" w:eastAsia="zh-CN"/>
        </w:rPr>
        <w:t>排水方案</w:t>
      </w:r>
    </w:p>
    <w:p>
      <w:pPr>
        <w:pStyle w:val="6"/>
        <w:ind w:firstLine="480"/>
        <w:rPr>
          <w:rFonts w:hint="eastAsia"/>
          <w:color w:val="1A15F1"/>
          <w:highlight w:val="none"/>
          <w:lang w:val="en-US" w:eastAsia="zh-CN"/>
        </w:rPr>
      </w:pPr>
      <w:r>
        <w:rPr>
          <w:rFonts w:hint="eastAsia"/>
          <w:color w:val="1A15F1"/>
          <w:highlight w:val="none"/>
        </w:rPr>
        <w:t>规划具体实施过程中，在选址的基础上，通过因地制宜的选择污水收集处理方式，以集中处理为主，不能集中处理的采取分散式定点处理</w:t>
      </w:r>
      <w:r>
        <w:rPr>
          <w:rFonts w:hint="eastAsia"/>
          <w:color w:val="1A15F1"/>
          <w:highlight w:val="none"/>
          <w:lang w:eastAsia="zh-CN"/>
        </w:rPr>
        <w:t>。</w:t>
      </w:r>
    </w:p>
    <w:p>
      <w:pPr>
        <w:pStyle w:val="6"/>
        <w:bidi w:val="0"/>
        <w:rPr>
          <w:rFonts w:hint="eastAsia" w:eastAsia="宋体"/>
          <w:color w:val="1A15F1"/>
          <w:lang w:eastAsia="zh-CN"/>
        </w:rPr>
      </w:pPr>
      <w:r>
        <w:rPr>
          <w:rFonts w:hint="eastAsia"/>
          <w:color w:val="1A15F1"/>
          <w:lang w:val="en-US" w:eastAsia="zh-CN"/>
        </w:rPr>
        <w:t>1</w:t>
      </w:r>
      <w:r>
        <w:rPr>
          <w:rFonts w:hint="eastAsia"/>
          <w:color w:val="1A15F1"/>
          <w:lang w:eastAsia="zh-CN"/>
        </w:rPr>
        <w:t>）规划区</w:t>
      </w:r>
      <w:r>
        <w:rPr>
          <w:rFonts w:hint="eastAsia"/>
          <w:color w:val="1A15F1"/>
          <w:lang w:val="en-US" w:eastAsia="zh-CN"/>
        </w:rPr>
        <w:t>禁止向I类</w:t>
      </w:r>
      <w:r>
        <w:rPr>
          <w:rFonts w:hint="eastAsia"/>
          <w:color w:val="1A15F1"/>
          <w:lang w:eastAsia="zh-CN"/>
        </w:rPr>
        <w:t>、</w:t>
      </w:r>
      <w:r>
        <w:rPr>
          <w:rFonts w:hint="default" w:ascii="Times New Roman" w:hAnsi="Times New Roman" w:cs="Times New Roman"/>
          <w:color w:val="1A15F1"/>
          <w:lang w:eastAsia="zh-CN"/>
        </w:rPr>
        <w:t>Ⅱ类</w:t>
      </w:r>
      <w:r>
        <w:rPr>
          <w:rFonts w:hint="eastAsia"/>
          <w:color w:val="1A15F1"/>
          <w:lang w:eastAsia="zh-CN"/>
        </w:rPr>
        <w:t>水域排放废污水，</w:t>
      </w:r>
      <w:r>
        <w:rPr>
          <w:rFonts w:hint="eastAsia"/>
          <w:color w:val="1A15F1"/>
          <w:highlight w:val="none"/>
          <w:lang w:val="en-US" w:eastAsia="zh-CN"/>
        </w:rPr>
        <w:t>已有排污口不能增加排放量</w:t>
      </w:r>
      <w:r>
        <w:rPr>
          <w:rFonts w:hint="eastAsia"/>
          <w:color w:val="1A15F1"/>
          <w:highlight w:val="none"/>
          <w:lang w:eastAsia="zh-CN"/>
        </w:rPr>
        <w:t>。</w:t>
      </w:r>
    </w:p>
    <w:p>
      <w:pPr>
        <w:pStyle w:val="6"/>
        <w:ind w:firstLine="480"/>
        <w:rPr>
          <w:color w:val="1A15F1"/>
        </w:rPr>
      </w:pPr>
      <w:r>
        <w:rPr>
          <w:rFonts w:hint="eastAsia"/>
          <w:color w:val="1A15F1"/>
          <w:lang w:val="en-US" w:eastAsia="zh-CN"/>
        </w:rPr>
        <w:t>2</w:t>
      </w:r>
      <w:r>
        <w:rPr>
          <w:rFonts w:hint="eastAsia"/>
          <w:color w:val="1A15F1"/>
          <w:lang w:eastAsia="zh-CN"/>
        </w:rPr>
        <w:t>）</w:t>
      </w:r>
      <w:r>
        <w:rPr>
          <w:rFonts w:hint="eastAsia"/>
          <w:color w:val="1A15F1"/>
        </w:rPr>
        <w:t>针对</w:t>
      </w:r>
      <w:r>
        <w:rPr>
          <w:color w:val="1A15F1"/>
        </w:rPr>
        <w:t>依托城市建成区而建的规划项目（未确定选址的），选址首先考虑已敷设污水收集管网的区域，旅游区内产生的废水经过预处理达到《污水综合排放标准》（GB8978-1996）三级标准及《污水排入城镇下水道水质标准》（GB/T1962-2015）表1（A）等级标准后排入市政污水管网，最终进入污水处理厂进行处理。</w:t>
      </w:r>
    </w:p>
    <w:p>
      <w:pPr>
        <w:pStyle w:val="6"/>
        <w:ind w:firstLine="480"/>
        <w:rPr>
          <w:rFonts w:hint="eastAsia"/>
          <w:color w:val="1A15F1"/>
        </w:rPr>
      </w:pPr>
      <w:r>
        <w:rPr>
          <w:rFonts w:hint="eastAsia"/>
          <w:color w:val="1A15F1"/>
          <w:lang w:val="en-US" w:eastAsia="zh-CN"/>
        </w:rPr>
        <w:t>3</w:t>
      </w:r>
      <w:r>
        <w:rPr>
          <w:rFonts w:hint="eastAsia"/>
          <w:color w:val="1A15F1"/>
          <w:lang w:eastAsia="zh-CN"/>
        </w:rPr>
        <w:t>）</w:t>
      </w:r>
      <w:r>
        <w:rPr>
          <w:rFonts w:hint="eastAsia"/>
          <w:color w:val="1A15F1"/>
        </w:rPr>
        <w:t>针对</w:t>
      </w:r>
      <w:r>
        <w:rPr>
          <w:color w:val="1A15F1"/>
        </w:rPr>
        <w:t>无法依托市政污水管网的，或选址位于远离城市建成区的规划项目，各景区配套</w:t>
      </w:r>
      <w:r>
        <w:rPr>
          <w:rFonts w:hint="eastAsia"/>
          <w:color w:val="1A15F1"/>
        </w:rPr>
        <w:t>建设</w:t>
      </w:r>
      <w:r>
        <w:rPr>
          <w:color w:val="1A15F1"/>
        </w:rPr>
        <w:t>生态污水处理站或小型污水处理站，并要求污水经处理达到《城镇污水处理厂污染物排放标准》（GB18918-2002）一级A标准部分回用于绿化和道路洒水降尘</w:t>
      </w:r>
      <w:r>
        <w:rPr>
          <w:rFonts w:hint="eastAsia"/>
          <w:color w:val="1A15F1"/>
        </w:rPr>
        <w:t>，</w:t>
      </w:r>
      <w:r>
        <w:rPr>
          <w:color w:val="1A15F1"/>
        </w:rPr>
        <w:t>回用不完的外排至附近河流</w:t>
      </w:r>
      <w:r>
        <w:rPr>
          <w:rFonts w:hint="eastAsia"/>
          <w:color w:val="1A15F1"/>
        </w:rPr>
        <w:t>。</w:t>
      </w:r>
    </w:p>
    <w:p>
      <w:pPr>
        <w:pStyle w:val="6"/>
        <w:ind w:firstLine="480"/>
        <w:rPr>
          <w:color w:val="1A15F1"/>
        </w:rPr>
      </w:pPr>
      <w:r>
        <w:rPr>
          <w:rFonts w:hint="eastAsia"/>
          <w:color w:val="1A15F1"/>
          <w:lang w:val="en-US" w:eastAsia="zh-CN"/>
        </w:rPr>
        <w:t>4</w:t>
      </w:r>
      <w:r>
        <w:rPr>
          <w:rFonts w:hint="eastAsia"/>
          <w:color w:val="1A15F1"/>
          <w:lang w:eastAsia="zh-CN"/>
        </w:rPr>
        <w:t>）</w:t>
      </w:r>
      <w:r>
        <w:rPr>
          <w:rFonts w:hint="eastAsia"/>
          <w:color w:val="1A15F1"/>
        </w:rPr>
        <w:t>针对</w:t>
      </w:r>
      <w:r>
        <w:rPr>
          <w:color w:val="1A15F1"/>
        </w:rPr>
        <w:t>规划区内已开发的景区配套建设污水处理站，已建有污水处理站的，提倡改进污水处理工艺，将处理后达到回用标准的</w:t>
      </w:r>
      <w:r>
        <w:rPr>
          <w:rFonts w:hint="eastAsia"/>
          <w:color w:val="1A15F1"/>
        </w:rPr>
        <w:t>中水</w:t>
      </w:r>
      <w:r>
        <w:rPr>
          <w:color w:val="1A15F1"/>
        </w:rPr>
        <w:t>回用于景观、绿化及洒水降尘等，减少排放量，剩余达到《城镇污水处理厂污染物排放标准》（GB18918-2002）一级A标后排放。</w:t>
      </w:r>
    </w:p>
    <w:p>
      <w:pPr>
        <w:pStyle w:val="6"/>
        <w:bidi w:val="0"/>
        <w:rPr>
          <w:color w:val="1A15F1"/>
        </w:rPr>
      </w:pPr>
      <w:r>
        <w:rPr>
          <w:rFonts w:hint="eastAsia"/>
          <w:color w:val="1A15F1"/>
          <w:lang w:eastAsia="zh-CN"/>
        </w:rPr>
        <w:t>（</w:t>
      </w:r>
      <w:r>
        <w:rPr>
          <w:rFonts w:hint="eastAsia"/>
          <w:color w:val="1A15F1"/>
          <w:lang w:val="en-US" w:eastAsia="zh-CN"/>
        </w:rPr>
        <w:t>2</w:t>
      </w:r>
      <w:r>
        <w:rPr>
          <w:rFonts w:hint="eastAsia"/>
          <w:color w:val="1A15F1"/>
          <w:lang w:eastAsia="zh-CN"/>
        </w:rPr>
        <w:t>）</w:t>
      </w:r>
      <w:r>
        <w:rPr>
          <w:color w:val="1A15F1"/>
        </w:rPr>
        <w:t>污水处理设备及污水管网加强日常的维护检修工作，确保设备的正常运行，最大程度减少事故的发生概率，确保区域内污水得到切实有效的处理，以避免污染水环境。</w:t>
      </w:r>
    </w:p>
    <w:p>
      <w:pPr>
        <w:pStyle w:val="6"/>
        <w:ind w:firstLine="482"/>
        <w:rPr>
          <w:rFonts w:hint="default" w:eastAsia="宋体"/>
          <w:b/>
          <w:bCs/>
          <w:lang w:val="en-US" w:eastAsia="zh-CN"/>
        </w:rPr>
      </w:pPr>
      <w:r>
        <w:rPr>
          <w:rFonts w:hint="eastAsia"/>
          <w:b/>
          <w:bCs/>
          <w:lang w:val="en-US" w:eastAsia="zh-CN"/>
        </w:rPr>
        <w:t>3、</w:t>
      </w:r>
      <w:r>
        <w:rPr>
          <w:rFonts w:hint="eastAsia"/>
          <w:b/>
          <w:bCs/>
        </w:rPr>
        <w:t>运营期</w:t>
      </w:r>
      <w:r>
        <w:rPr>
          <w:rFonts w:hint="eastAsia"/>
          <w:b/>
          <w:bCs/>
          <w:lang w:val="en-US" w:eastAsia="zh-CN"/>
        </w:rPr>
        <w:t>噪声</w:t>
      </w:r>
      <w:r>
        <w:rPr>
          <w:rFonts w:hint="eastAsia"/>
          <w:b/>
          <w:bCs/>
          <w:highlight w:val="none"/>
          <w:lang w:val="en-US" w:eastAsia="zh-CN"/>
        </w:rPr>
        <w:t>污</w:t>
      </w:r>
      <w:r>
        <w:rPr>
          <w:b/>
          <w:bCs/>
          <w:highlight w:val="none"/>
        </w:rPr>
        <w:t>染防治措施</w:t>
      </w:r>
    </w:p>
    <w:p>
      <w:pPr>
        <w:pStyle w:val="6"/>
        <w:ind w:firstLine="480"/>
      </w:pPr>
      <w:r>
        <w:rPr>
          <w:rFonts w:hint="eastAsia"/>
        </w:rPr>
        <w:t>（1）规划区内营业性文化娱乐场所和商业经营活动，应控制经营者将商场、门市、店、堂、摊点及影剧院等商业文化经营场所的音箱和喇叭置于朝向附近声环境敏感目标，对可能产生环境噪声污染的设备、设施边界噪声排放不得超过《社会生活环境噪声排放标准》（</w:t>
      </w:r>
      <w:r>
        <w:t>GB22337-2008</w:t>
      </w:r>
      <w:r>
        <w:rPr>
          <w:rFonts w:hint="eastAsia"/>
        </w:rPr>
        <w:t>）规定限制要求，将规划实施过程中噪声影响。</w:t>
      </w:r>
    </w:p>
    <w:p>
      <w:pPr>
        <w:pStyle w:val="6"/>
        <w:ind w:firstLine="480"/>
      </w:pPr>
      <w:r>
        <w:rPr>
          <w:rFonts w:hint="eastAsia"/>
        </w:rPr>
        <w:t>（2）对噪声敏感建筑物采取被动防护措施（如隔声门窗、通风消声窗、采用吸声降噪建筑材料等），对室内声环境质量进行合理保护。</w:t>
      </w:r>
    </w:p>
    <w:p>
      <w:pPr>
        <w:pStyle w:val="6"/>
        <w:ind w:firstLine="480"/>
      </w:pPr>
      <w:r>
        <w:rPr>
          <w:rFonts w:hint="eastAsia"/>
        </w:rPr>
        <w:t>（3）</w:t>
      </w:r>
      <w:r>
        <w:t>规划区噪声主要为交通噪声和游客喧闹声。采取合理规划、区内禁止鸣笛、管理人员引导游客、道路两侧建设绿化带等措施，使区域声环境质量达标，减缓交通噪声和游客喧闹声对规划区内环境敏感点的影响。</w:t>
      </w:r>
    </w:p>
    <w:p>
      <w:pPr>
        <w:pStyle w:val="6"/>
        <w:ind w:firstLine="482"/>
        <w:rPr>
          <w:rFonts w:hint="default" w:eastAsia="宋体"/>
          <w:b/>
          <w:bCs/>
          <w:lang w:val="en-US" w:eastAsia="zh-CN"/>
        </w:rPr>
      </w:pPr>
      <w:r>
        <w:rPr>
          <w:rFonts w:hint="eastAsia"/>
          <w:b/>
          <w:bCs/>
          <w:lang w:val="en-US" w:eastAsia="zh-CN"/>
        </w:rPr>
        <w:t>4、</w:t>
      </w:r>
      <w:r>
        <w:rPr>
          <w:rFonts w:hint="eastAsia"/>
          <w:b/>
          <w:bCs/>
        </w:rPr>
        <w:t>运营期</w:t>
      </w:r>
      <w:r>
        <w:rPr>
          <w:rFonts w:hint="eastAsia"/>
          <w:b/>
          <w:bCs/>
          <w:lang w:val="en-US" w:eastAsia="zh-CN"/>
        </w:rPr>
        <w:t>固体废物防治措施</w:t>
      </w:r>
    </w:p>
    <w:p>
      <w:pPr>
        <w:pStyle w:val="6"/>
        <w:ind w:firstLine="480"/>
        <w:rPr>
          <w:rFonts w:hint="eastAsia"/>
        </w:rPr>
      </w:pPr>
      <w:r>
        <w:rPr>
          <w:rFonts w:hint="eastAsia"/>
        </w:rPr>
        <w:t>（1）景区内设置与其容纳规模相符的垃圾收集、分类、装运的设施，并与属地生活垃圾集中无害化处理单位做好衔接，对产生的垃圾进行分类，并及时清运。</w:t>
      </w:r>
    </w:p>
    <w:p>
      <w:pPr>
        <w:pStyle w:val="6"/>
        <w:ind w:firstLine="480"/>
        <w:rPr>
          <w:rFonts w:hint="eastAsia"/>
        </w:rPr>
      </w:pPr>
      <w:r>
        <w:rPr>
          <w:rFonts w:hint="eastAsia"/>
        </w:rPr>
        <w:t>（2）为了防止垃圾收集点对周围环境产生较大的影响，要根据垃圾与测量，对垃圾收集点的位置、收集桶的数量进行合理设计，同时，对垃圾收集点地面进行硬化防渗，并进行定期消毒，杀灭蚊蝇，做到日产日清。另外，垃圾收集点周围可以设置绿化隔离带。</w:t>
      </w:r>
    </w:p>
    <w:p>
      <w:pPr>
        <w:pStyle w:val="6"/>
        <w:ind w:firstLine="480"/>
      </w:pPr>
      <w:r>
        <w:rPr>
          <w:rFonts w:hint="eastAsia"/>
        </w:rPr>
        <w:t>（3）在景区设置环保宣传标语，同时，景区内安排少量的管理监督人员，对游人的行为加以监督，并随时捡拾部分游客不文明行为丢弃的垃圾，以行动教育游客。</w:t>
      </w:r>
    </w:p>
    <w:p>
      <w:pPr>
        <w:pStyle w:val="6"/>
        <w:ind w:firstLine="480"/>
      </w:pPr>
      <w:r>
        <w:rPr>
          <w:rFonts w:hint="eastAsia"/>
        </w:rPr>
        <w:t>4、对于规划区内可能产生的危险废物，则按照《危险废物贮存污染控制标准》（GB19587）、《危险废物转移联单管理办法》、《危险废物转移联单管理办法》、《国家危险废物目录》等危险废物相关规律规定进行分类、贮存、处置。</w:t>
      </w:r>
    </w:p>
    <w:p>
      <w:pPr>
        <w:pStyle w:val="6"/>
        <w:bidi w:val="0"/>
        <w:rPr>
          <w:rFonts w:hint="eastAsia"/>
          <w:b/>
          <w:bCs/>
        </w:rPr>
      </w:pPr>
      <w:r>
        <w:rPr>
          <w:rFonts w:hint="eastAsia"/>
          <w:b/>
          <w:bCs/>
          <w:lang w:val="en-US" w:eastAsia="zh-CN"/>
        </w:rPr>
        <w:t>5、</w:t>
      </w:r>
      <w:r>
        <w:rPr>
          <w:rFonts w:hint="eastAsia"/>
          <w:b/>
          <w:bCs/>
        </w:rPr>
        <w:t>地下水污染防治措施</w:t>
      </w:r>
    </w:p>
    <w:p>
      <w:pPr>
        <w:pStyle w:val="6"/>
        <w:ind w:firstLine="480"/>
      </w:pPr>
      <w:r>
        <w:t>对于规划实施过程可能对地下水造成的影响，评价提出以下污染防治措施：</w:t>
      </w:r>
    </w:p>
    <w:p>
      <w:pPr>
        <w:pStyle w:val="6"/>
        <w:ind w:firstLine="480"/>
      </w:pPr>
      <w:r>
        <w:rPr>
          <w:rFonts w:hint="eastAsia"/>
          <w:lang w:eastAsia="zh-CN"/>
        </w:rPr>
        <w:t>（</w:t>
      </w:r>
      <w:r>
        <w:rPr>
          <w:rFonts w:hint="eastAsia"/>
          <w:lang w:val="en-US" w:eastAsia="zh-CN"/>
        </w:rPr>
        <w:t>1</w:t>
      </w:r>
      <w:r>
        <w:rPr>
          <w:rFonts w:hint="eastAsia"/>
          <w:lang w:eastAsia="zh-CN"/>
        </w:rPr>
        <w:t>）</w:t>
      </w:r>
      <w:r>
        <w:t>规划区内实施</w:t>
      </w:r>
      <w:r>
        <w:rPr>
          <w:rFonts w:hint="eastAsia"/>
        </w:rPr>
        <w:t>“</w:t>
      </w:r>
      <w:r>
        <w:t>清污分流、雨污分流</w:t>
      </w:r>
      <w:r>
        <w:rPr>
          <w:rFonts w:hint="eastAsia"/>
        </w:rPr>
        <w:t>”</w:t>
      </w:r>
      <w:r>
        <w:t xml:space="preserve">。 </w:t>
      </w:r>
    </w:p>
    <w:p>
      <w:pPr>
        <w:pStyle w:val="6"/>
        <w:ind w:firstLine="480"/>
      </w:pPr>
      <w:r>
        <w:rPr>
          <w:rFonts w:hint="eastAsia"/>
          <w:lang w:eastAsia="zh-CN"/>
        </w:rPr>
        <w:t>（</w:t>
      </w:r>
      <w:r>
        <w:rPr>
          <w:rFonts w:hint="eastAsia"/>
          <w:lang w:val="en-US" w:eastAsia="zh-CN"/>
        </w:rPr>
        <w:t>2</w:t>
      </w:r>
      <w:r>
        <w:rPr>
          <w:rFonts w:hint="eastAsia"/>
          <w:lang w:eastAsia="zh-CN"/>
        </w:rPr>
        <w:t>）</w:t>
      </w:r>
      <w:r>
        <w:t>规划区内的污水预处理设施（如隔油池，化粪池等）及污水管网进行防渗处理，以避免污水预处理设施内的污水进入地下水体污染地下水。</w:t>
      </w:r>
    </w:p>
    <w:p>
      <w:pPr>
        <w:pStyle w:val="6"/>
        <w:ind w:firstLine="480"/>
      </w:pPr>
      <w:r>
        <w:rPr>
          <w:rFonts w:hint="eastAsia"/>
          <w:lang w:eastAsia="zh-CN"/>
        </w:rPr>
        <w:t>（</w:t>
      </w:r>
      <w:r>
        <w:rPr>
          <w:rFonts w:hint="eastAsia"/>
          <w:lang w:val="en-US" w:eastAsia="zh-CN"/>
        </w:rPr>
        <w:t>3</w:t>
      </w:r>
      <w:r>
        <w:rPr>
          <w:rFonts w:hint="eastAsia"/>
          <w:lang w:eastAsia="zh-CN"/>
        </w:rPr>
        <w:t>）</w:t>
      </w:r>
      <w:r>
        <w:t>规划区内农林用地及绿化带尽量选用低毒农药和缓释肥，不使用化学合成的农药、化肥、生长调节剂、饲料添加剂等物质，推广测土配方施肥技术，鼓励发展有机农业。避免对地下水的影响。</w:t>
      </w:r>
    </w:p>
    <w:p>
      <w:pPr>
        <w:pStyle w:val="6"/>
        <w:ind w:firstLine="480"/>
      </w:pPr>
      <w:r>
        <w:rPr>
          <w:rFonts w:hint="eastAsia"/>
          <w:lang w:eastAsia="zh-CN"/>
        </w:rPr>
        <w:t>（</w:t>
      </w:r>
      <w:r>
        <w:rPr>
          <w:rFonts w:hint="eastAsia"/>
          <w:lang w:val="en-US" w:eastAsia="zh-CN"/>
        </w:rPr>
        <w:t>4</w:t>
      </w:r>
      <w:r>
        <w:rPr>
          <w:rFonts w:hint="eastAsia"/>
          <w:lang w:eastAsia="zh-CN"/>
        </w:rPr>
        <w:t>）</w:t>
      </w:r>
      <w:r>
        <w:t xml:space="preserve">规划区内禁止建设集约化的畜禽养殖场，加快规划区污水管网建设，将规划区内的生活污水全部进行收集，杜绝污水随意排放。生活垃圾收集点地面做好防渗措施，渗滤液收集至市政污水管网。 </w:t>
      </w:r>
    </w:p>
    <w:p>
      <w:pPr>
        <w:pStyle w:val="6"/>
        <w:ind w:firstLine="480"/>
      </w:pPr>
      <w:r>
        <w:rPr>
          <w:rFonts w:hint="eastAsia"/>
          <w:lang w:eastAsia="zh-CN"/>
        </w:rPr>
        <w:t>（</w:t>
      </w:r>
      <w:r>
        <w:rPr>
          <w:rFonts w:hint="eastAsia"/>
          <w:lang w:val="en-US" w:eastAsia="zh-CN"/>
        </w:rPr>
        <w:t>5</w:t>
      </w:r>
      <w:r>
        <w:rPr>
          <w:rFonts w:hint="eastAsia"/>
          <w:lang w:eastAsia="zh-CN"/>
        </w:rPr>
        <w:t>）</w:t>
      </w:r>
      <w:r>
        <w:t>规划实施过程中进行分区防控措施，对于重点防渗区参照《环境影响评价技术导则-地下水环境》（HJ610-2016）中重点防渗区的防渗要求进行防渗设计，防渗层的 防渗性能应等效于厚度≥6m，渗透系数≤1.0×10</w:t>
      </w:r>
      <w:r>
        <w:rPr>
          <w:vertAlign w:val="superscript"/>
        </w:rPr>
        <w:t>-7</w:t>
      </w:r>
      <w:r>
        <w:t>cm/s的黏土层的防渗性能。一般防渗区参照《环境影响评价技术导则-地下水环境》（HJ610-2016）中一般防渗区的防渗要求进行防渗设计，防渗层的防渗性能应等效于厚度≥1.5m，渗透系数≤1.0×10</w:t>
      </w:r>
      <w:r>
        <w:rPr>
          <w:vertAlign w:val="superscript"/>
        </w:rPr>
        <w:t xml:space="preserve">-7 </w:t>
      </w:r>
      <w:r>
        <w:t xml:space="preserve">cm/s的黏土层的防渗性能。 </w:t>
      </w:r>
    </w:p>
    <w:p>
      <w:pPr>
        <w:pStyle w:val="6"/>
        <w:ind w:firstLine="480"/>
      </w:pPr>
      <w:r>
        <w:rPr>
          <w:rFonts w:hint="eastAsia"/>
          <w:lang w:eastAsia="zh-CN"/>
        </w:rPr>
        <w:t>（</w:t>
      </w:r>
      <w:r>
        <w:rPr>
          <w:rFonts w:hint="eastAsia"/>
          <w:lang w:val="en-US" w:eastAsia="zh-CN"/>
        </w:rPr>
        <w:t>6</w:t>
      </w:r>
      <w:r>
        <w:rPr>
          <w:rFonts w:hint="eastAsia"/>
          <w:lang w:eastAsia="zh-CN"/>
        </w:rPr>
        <w:t>）</w:t>
      </w:r>
      <w:r>
        <w:t>建立运营期地下水污染控制计划，对规划范围内重点旅游开发区域进行跟踪监测，及时掌握地下水水质情况，以便及时发现问题，采取措施，防止地下水受到污染。</w:t>
      </w:r>
    </w:p>
    <w:p>
      <w:pPr>
        <w:pStyle w:val="6"/>
        <w:bidi w:val="0"/>
        <w:rPr>
          <w:rFonts w:hint="eastAsia"/>
          <w:b/>
          <w:bCs/>
          <w:lang w:val="en-US" w:eastAsia="zh-CN"/>
        </w:rPr>
      </w:pPr>
      <w:r>
        <w:rPr>
          <w:rFonts w:hint="eastAsia"/>
          <w:b/>
          <w:bCs/>
          <w:lang w:val="en-US" w:eastAsia="zh-CN"/>
        </w:rPr>
        <w:t>6、环境风险防范措施</w:t>
      </w:r>
    </w:p>
    <w:p>
      <w:pPr>
        <w:pStyle w:val="6"/>
        <w:bidi w:val="0"/>
        <w:rPr>
          <w:rFonts w:hint="eastAsia"/>
          <w:lang w:val="en-US" w:eastAsia="zh-CN"/>
        </w:rPr>
      </w:pPr>
      <w:r>
        <w:rPr>
          <w:rFonts w:hint="eastAsia"/>
          <w:lang w:val="en-US" w:eastAsia="zh-CN"/>
        </w:rPr>
        <w:t>（1）生物入侵防范措施</w:t>
      </w:r>
    </w:p>
    <w:p>
      <w:pPr>
        <w:pStyle w:val="6"/>
        <w:bidi w:val="0"/>
        <w:rPr>
          <w:rFonts w:hint="eastAsia"/>
          <w:highlight w:val="none"/>
          <w:lang w:val="en-US" w:eastAsia="zh-CN"/>
        </w:rPr>
      </w:pPr>
      <w:r>
        <w:rPr>
          <w:rFonts w:hint="eastAsia"/>
          <w:highlight w:val="none"/>
          <w:lang w:val="en-US" w:eastAsia="zh-CN"/>
        </w:rPr>
        <w:t>1）重视本地物种，防止外来物种入侵。</w:t>
      </w:r>
    </w:p>
    <w:p>
      <w:pPr>
        <w:pStyle w:val="6"/>
        <w:bidi w:val="0"/>
        <w:rPr>
          <w:rFonts w:hint="eastAsia"/>
          <w:highlight w:val="none"/>
          <w:lang w:val="en-US" w:eastAsia="zh-CN"/>
        </w:rPr>
      </w:pPr>
      <w:r>
        <w:rPr>
          <w:rFonts w:hint="eastAsia"/>
          <w:highlight w:val="none"/>
          <w:lang w:val="en-US" w:eastAsia="zh-CN"/>
        </w:rPr>
        <w:t>2）对天然植被坚持保护为主的原则，尽最大可能保护原有植被，特别是重要保护物种和生态公益林，次生林等。</w:t>
      </w:r>
    </w:p>
    <w:p>
      <w:pPr>
        <w:pStyle w:val="6"/>
        <w:bidi w:val="0"/>
        <w:rPr>
          <w:rFonts w:hint="eastAsia"/>
          <w:highlight w:val="none"/>
          <w:lang w:val="en-US" w:eastAsia="zh-CN"/>
        </w:rPr>
      </w:pPr>
      <w:r>
        <w:rPr>
          <w:rFonts w:hint="eastAsia"/>
          <w:highlight w:val="none"/>
          <w:lang w:val="en-US" w:eastAsia="zh-CN"/>
        </w:rPr>
        <w:t>3）加强宣传，提高规划旅游各景区管理人员的防范意识。要进一步加强对生物入侵危害性的宣传教育，广泛宣传盲目引进外来有害生物的危害性，为植物检疫工作和外来有害生物防治工作顺利开展奠定良好的基础。</w:t>
      </w:r>
    </w:p>
    <w:p>
      <w:pPr>
        <w:pStyle w:val="6"/>
        <w:bidi w:val="0"/>
        <w:rPr>
          <w:rFonts w:hint="eastAsia"/>
          <w:highlight w:val="none"/>
          <w:lang w:val="en-US" w:eastAsia="zh-CN"/>
        </w:rPr>
      </w:pPr>
      <w:r>
        <w:rPr>
          <w:rFonts w:hint="eastAsia"/>
          <w:highlight w:val="none"/>
          <w:lang w:val="en-US" w:eastAsia="zh-CN"/>
        </w:rPr>
        <w:t>4）加强对外来有害生物预测预报。建立相应的监测系统，查明我国外来物种的种类、数量、分布和作用，重点对外来有害生物的发展趋势，是否需要防治、何时采取防治措施等情况进行预报，然后制定精确的防治方案。</w:t>
      </w:r>
    </w:p>
    <w:p>
      <w:pPr>
        <w:pStyle w:val="6"/>
        <w:bidi w:val="0"/>
        <w:rPr>
          <w:rFonts w:hint="eastAsia"/>
          <w:highlight w:val="none"/>
          <w:lang w:val="en-US" w:eastAsia="zh-CN"/>
        </w:rPr>
      </w:pPr>
      <w:r>
        <w:rPr>
          <w:rFonts w:hint="eastAsia"/>
          <w:highlight w:val="none"/>
          <w:lang w:val="en-US" w:eastAsia="zh-CN"/>
        </w:rPr>
        <w:t>5）加强对外来有害生物的防治。</w:t>
      </w:r>
    </w:p>
    <w:p>
      <w:pPr>
        <w:pStyle w:val="6"/>
        <w:bidi w:val="0"/>
        <w:rPr>
          <w:rFonts w:hint="eastAsia"/>
          <w:lang w:val="en-US" w:eastAsia="zh-CN"/>
        </w:rPr>
      </w:pPr>
      <w:r>
        <w:rPr>
          <w:rFonts w:hint="eastAsia"/>
          <w:lang w:val="en-US" w:eastAsia="zh-CN"/>
        </w:rPr>
        <w:t>2、生活污水处理事故排放防范措施</w:t>
      </w:r>
    </w:p>
    <w:p>
      <w:pPr>
        <w:pStyle w:val="6"/>
        <w:bidi w:val="0"/>
        <w:rPr>
          <w:rFonts w:hint="eastAsia"/>
          <w:highlight w:val="none"/>
          <w:lang w:val="en-US" w:eastAsia="zh-CN"/>
        </w:rPr>
      </w:pPr>
      <w:r>
        <w:rPr>
          <w:rFonts w:hint="eastAsia"/>
          <w:highlight w:val="none"/>
          <w:lang w:val="en-US" w:eastAsia="zh-CN"/>
        </w:rPr>
        <w:t>1）可根据生活污水产生量及污水预处理设施维修、调整时间设置事故池，用于暂存处理设施故障时生活污水的暂存。</w:t>
      </w:r>
    </w:p>
    <w:p>
      <w:pPr>
        <w:pStyle w:val="6"/>
        <w:bidi w:val="0"/>
        <w:rPr>
          <w:rFonts w:hint="eastAsia"/>
          <w:highlight w:val="none"/>
          <w:lang w:val="en-US" w:eastAsia="zh-CN"/>
        </w:rPr>
      </w:pPr>
      <w:r>
        <w:rPr>
          <w:rFonts w:hint="eastAsia"/>
          <w:highlight w:val="none"/>
          <w:lang w:val="en-US" w:eastAsia="zh-CN"/>
        </w:rPr>
        <w:t>2）加强对废水收集输送管道的维护和管理，防治泥沙沉积堵塞影响管道过水能力，保证管道畅通。</w:t>
      </w:r>
    </w:p>
    <w:p>
      <w:pPr>
        <w:pStyle w:val="6"/>
        <w:bidi w:val="0"/>
        <w:rPr>
          <w:rFonts w:hint="eastAsia"/>
          <w:highlight w:val="none"/>
          <w:lang w:val="en-US" w:eastAsia="zh-CN"/>
        </w:rPr>
      </w:pPr>
      <w:r>
        <w:rPr>
          <w:rFonts w:hint="eastAsia"/>
          <w:highlight w:val="none"/>
          <w:lang w:val="en-US" w:eastAsia="zh-CN"/>
        </w:rPr>
        <w:t>3）监控废水预处理工艺运行情况，处理设施应进行定期检查和维修。</w:t>
      </w:r>
    </w:p>
    <w:p>
      <w:pPr>
        <w:pStyle w:val="5"/>
      </w:pPr>
      <w:bookmarkStart w:id="222" w:name="_Toc93156065"/>
      <w:bookmarkStart w:id="223" w:name="_Toc15285"/>
      <w:bookmarkStart w:id="224" w:name="_Toc16621"/>
      <w:r>
        <w:rPr>
          <w:rFonts w:hint="eastAsia"/>
        </w:rPr>
        <w:t>7.</w:t>
      </w:r>
      <w:r>
        <w:rPr>
          <w:rFonts w:hint="eastAsia"/>
          <w:lang w:val="en-US" w:eastAsia="zh-CN"/>
        </w:rPr>
        <w:t>3.3</w:t>
      </w:r>
      <w:r>
        <w:t>生态环境影响减缓措施</w:t>
      </w:r>
      <w:bookmarkEnd w:id="222"/>
      <w:bookmarkEnd w:id="223"/>
      <w:bookmarkEnd w:id="224"/>
      <w:r>
        <w:t xml:space="preserve"> </w:t>
      </w:r>
    </w:p>
    <w:p>
      <w:pPr>
        <w:pStyle w:val="2"/>
        <w:rPr>
          <w:rFonts w:hint="eastAsia"/>
        </w:rPr>
      </w:pPr>
      <w:r>
        <w:rPr>
          <w:rFonts w:hint="eastAsia"/>
        </w:rPr>
        <w:t>7.</w:t>
      </w:r>
      <w:r>
        <w:rPr>
          <w:rFonts w:hint="eastAsia"/>
          <w:lang w:val="en-US" w:eastAsia="zh-CN"/>
        </w:rPr>
        <w:t>3.3</w:t>
      </w:r>
      <w:r>
        <w:rPr>
          <w:rFonts w:hint="eastAsia"/>
        </w:rPr>
        <w:t>.1敏感区保护措施</w:t>
      </w:r>
    </w:p>
    <w:p>
      <w:pPr>
        <w:pStyle w:val="6"/>
        <w:ind w:firstLine="482"/>
        <w:rPr>
          <w:rFonts w:hint="eastAsia"/>
          <w:b/>
          <w:bCs/>
        </w:rPr>
      </w:pPr>
      <w:r>
        <w:rPr>
          <w:rFonts w:hint="eastAsia"/>
          <w:b/>
          <w:bCs/>
        </w:rPr>
        <w:t>1、自然保护区</w:t>
      </w:r>
    </w:p>
    <w:p>
      <w:pPr>
        <w:pStyle w:val="6"/>
        <w:ind w:firstLine="480"/>
        <w:rPr>
          <w:rFonts w:hint="eastAsia"/>
        </w:rPr>
      </w:pPr>
      <w:r>
        <w:rPr>
          <w:rFonts w:hint="eastAsia"/>
        </w:rPr>
        <w:t>（1）严格按照《中华人民共和国自然保护区条例》的有关管理要求，不得在西藏雅鲁藏布大峡谷国家级自然保护区、西藏察隅慈巴沟国家级自然保护区、西藏工布自然保护区、林芝巴结巨柏自然保护区、西藏白朗沟白唇鹿自然保护区的核心区和缓冲区内建设任何生产设施。在自然保护区的实验区内，不得建设污染环境、破坏资源或者景观的生产设施；在自然保护区的外围保护地带建设的项目，不得损害自然保护区内的环境质量的项目。</w:t>
      </w:r>
    </w:p>
    <w:p>
      <w:pPr>
        <w:pStyle w:val="6"/>
        <w:ind w:firstLine="480"/>
        <w:rPr>
          <w:rFonts w:hint="eastAsia"/>
        </w:rPr>
      </w:pPr>
      <w:r>
        <w:rPr>
          <w:rFonts w:hint="eastAsia"/>
        </w:rPr>
        <w:t>（2）制定各项管理制度，设立核心保护区域与协调控制区域，严格控制重要峡谷内村庄居住点的发展，严格监督谷内旅游企业项目开发、旅游经营活动，不得破坏地质地貌景观；</w:t>
      </w:r>
    </w:p>
    <w:p>
      <w:pPr>
        <w:pStyle w:val="6"/>
        <w:ind w:firstLine="480"/>
        <w:rPr>
          <w:rFonts w:hint="eastAsia"/>
        </w:rPr>
      </w:pPr>
      <w:r>
        <w:rPr>
          <w:rFonts w:hint="eastAsia"/>
        </w:rPr>
        <w:t>（3）加强生物多样性保护，依托自然保护区实行就地保护，重点保护峡谷彩林、高山牧场、湿地及其生态环境，并制定相关的措施和制度，对破坏场地生态环境的行为严厉制止，并处以相关处罚；</w:t>
      </w:r>
    </w:p>
    <w:p>
      <w:pPr>
        <w:pStyle w:val="6"/>
        <w:ind w:firstLine="480"/>
      </w:pPr>
      <w:r>
        <w:rPr>
          <w:rFonts w:hint="eastAsia"/>
        </w:rPr>
        <w:t>（4）风景名胜区内的建设项目应当符合风景名胜区规划，并与景观相协调，不得破坏景观、污染环境、妨碍游览。禁止超过允许容量接纳游客和在没有安全保障的区域开展游览活动。</w:t>
      </w:r>
      <w:r>
        <w:t xml:space="preserve"> </w:t>
      </w:r>
    </w:p>
    <w:p>
      <w:pPr>
        <w:pStyle w:val="6"/>
        <w:ind w:firstLine="480"/>
      </w:pPr>
      <w:r>
        <w:rPr>
          <w:rFonts w:hint="eastAsia"/>
        </w:rPr>
        <w:t>（5）严格控制旅游项目和旅游时间。在保护区开展生态旅游，应严格控制旅游项目，坚持</w:t>
      </w:r>
      <w:r>
        <w:t>“</w:t>
      </w:r>
      <w:r>
        <w:rPr>
          <w:rFonts w:hint="eastAsia"/>
        </w:rPr>
        <w:t>五不</w:t>
      </w:r>
      <w:r>
        <w:t>”</w:t>
      </w:r>
      <w:r>
        <w:rPr>
          <w:rFonts w:hint="eastAsia"/>
        </w:rPr>
        <w:t>，即不上破坏保护对象的项目，不上有碍保护管理的项目，不上破环生态环境的项目，不上与自然景观不协调的项目，不大兴土木、广建人文景观。此外，还应控制旅游时间，旅游活动的安排应避开生态敏感期，如植物的发芽期、野生动物的繁殖期等。</w:t>
      </w:r>
      <w:r>
        <w:t xml:space="preserve"> </w:t>
      </w:r>
    </w:p>
    <w:p>
      <w:pPr>
        <w:pStyle w:val="6"/>
        <w:ind w:firstLine="480"/>
      </w:pPr>
      <w:r>
        <w:rPr>
          <w:rFonts w:hint="eastAsia"/>
        </w:rPr>
        <w:t>（5）严格控制游客容量和开发强度。控制旅游容量可选择以下措施：①限额售票和提高门票价格，减少游览人口；②在旅游区内分散名胜景点，提高客流容量，降低名胜景点的客流；③合理安排旅游路线，提高游览速度，降低滞留时间，杜绝回流现象；④选择若干同类区域轮流开放。</w:t>
      </w:r>
      <w:r>
        <w:t xml:space="preserve"> </w:t>
      </w:r>
    </w:p>
    <w:p>
      <w:pPr>
        <w:pStyle w:val="6"/>
        <w:ind w:firstLine="480"/>
      </w:pPr>
      <w:r>
        <w:rPr>
          <w:rFonts w:hint="eastAsia"/>
        </w:rPr>
        <w:t>（6）进行环境影响评价和环境监测。环境影响评价即识别某一项活动对自然环境、人体健康和社会环境的影响，并制定出减轻不利影响的对策和措施，从而达到经济发展与环境间的协调。自然保护区开展生态旅游时，还应对旅游资源及旅游区环境进行动态监测，尤其是旅游活动对不同局域生态环境影响的监测和适时评价，为合理调节保护区游客数量，保证整体环境质量持续稳定提供依据。监测内容包括大气环境质量监测、水环境监测、土壤环境监测、噪声监测等。</w:t>
      </w:r>
      <w:r>
        <w:t xml:space="preserve"> </w:t>
      </w:r>
    </w:p>
    <w:p>
      <w:pPr>
        <w:pStyle w:val="6"/>
        <w:ind w:firstLine="480"/>
        <w:rPr>
          <w:rFonts w:hint="eastAsia"/>
        </w:rPr>
      </w:pPr>
      <w:r>
        <w:rPr>
          <w:rFonts w:hint="eastAsia"/>
        </w:rPr>
        <w:t>（7）贯彻“预防为主、综合治理”的原则，专业技术人员进行有害生物的预防预报和防治工作。</w:t>
      </w:r>
    </w:p>
    <w:p>
      <w:pPr>
        <w:pStyle w:val="6"/>
        <w:ind w:firstLine="482"/>
        <w:rPr>
          <w:rFonts w:hint="eastAsia"/>
          <w:b/>
          <w:bCs/>
        </w:rPr>
      </w:pPr>
      <w:r>
        <w:rPr>
          <w:rFonts w:hint="eastAsia"/>
          <w:b/>
          <w:bCs/>
        </w:rPr>
        <w:t>2、森林公园</w:t>
      </w:r>
    </w:p>
    <w:p>
      <w:pPr>
        <w:pStyle w:val="6"/>
        <w:ind w:firstLine="480"/>
        <w:rPr>
          <w:rFonts w:hint="eastAsia"/>
        </w:rPr>
      </w:pPr>
      <w:r>
        <w:rPr>
          <w:rFonts w:hint="eastAsia"/>
        </w:rPr>
        <w:t>（1）严格遵循《西藏自治区森林保护条例》，在自然保护区内开发旅游项目，不得涉及采伐、狩猎、垦殖、放牧、采集、挖药、采矿以及打靶等活动。对于野生珍稀动植物和贵重药材，严禁乱捕滥猎，乱采滥伐，乱采滥挖。旅游发展区域所涵盖的防护林、风景林、名胜古迹林、革命纪念地林、国防林、母树林、特种用途林以及古树名木，不得以旅游开发的名义砍伐、破坏。只允许进行林下观光、休闲度假等依托林间环境开展的轻旅游活动。</w:t>
      </w:r>
    </w:p>
    <w:p>
      <w:pPr>
        <w:pStyle w:val="6"/>
        <w:ind w:firstLine="480"/>
        <w:rPr>
          <w:rFonts w:hint="eastAsia"/>
        </w:rPr>
      </w:pPr>
      <w:r>
        <w:rPr>
          <w:rFonts w:hint="eastAsia"/>
        </w:rPr>
        <w:t>（2）建议控制使用林地数量，坚决禁止林地逆转和非法流失，严格林地征占用的审核审批程序，确保森林资源安全；</w:t>
      </w:r>
    </w:p>
    <w:p>
      <w:pPr>
        <w:pStyle w:val="6"/>
        <w:ind w:firstLine="480"/>
        <w:rPr>
          <w:rFonts w:hint="eastAsia"/>
        </w:rPr>
      </w:pPr>
      <w:r>
        <w:rPr>
          <w:rFonts w:hint="eastAsia"/>
        </w:rPr>
        <w:t>（3）调整树种结构，发展生态经济兼用林，营造以乡土树种、常绿树为主的乔灌混交林，不断开发退耕还林后续产业；培育后备森林资源，积极开展中、幼林的森林抚育，提高森林质量和森林生态系统的稳定性；在保护生态系统多样性、物种多样性、景观多样性的前提下，合理地开发旅游业及其配套的服务业。</w:t>
      </w:r>
    </w:p>
    <w:p>
      <w:pPr>
        <w:pStyle w:val="6"/>
        <w:ind w:firstLine="482"/>
        <w:rPr>
          <w:rFonts w:hint="eastAsia"/>
          <w:b/>
          <w:bCs/>
        </w:rPr>
      </w:pPr>
      <w:r>
        <w:rPr>
          <w:rFonts w:hint="eastAsia"/>
          <w:b/>
          <w:bCs/>
        </w:rPr>
        <w:t>3、湿地公园</w:t>
      </w:r>
    </w:p>
    <w:p>
      <w:pPr>
        <w:pStyle w:val="6"/>
        <w:ind w:firstLine="480"/>
      </w:pPr>
      <w:r>
        <w:rPr>
          <w:rFonts w:hint="eastAsia"/>
        </w:rPr>
        <w:t>（1）禁止在雅尼国家湿地公园一级保护区开展旅游活动，二级保护区游客需要在有保护措施的情况下进行参观；禁止在嘎朗国家湿地公园一级保护区开展旅游活动；禁止在朱拉河国家湿地公园保育区开展旅游活动。</w:t>
      </w:r>
    </w:p>
    <w:p>
      <w:pPr>
        <w:pStyle w:val="6"/>
        <w:ind w:firstLine="480"/>
        <w:rPr>
          <w:rFonts w:hint="eastAsia"/>
        </w:rPr>
      </w:pPr>
      <w:r>
        <w:rPr>
          <w:rFonts w:hint="eastAsia"/>
        </w:rPr>
        <w:t>（2）控制开发性经营活动， 确保湿地草原的原生性，保证自然环境不受到人为破坏，在外围功能区内适度规划生态旅游、文化展示、科学研究等活动；</w:t>
      </w:r>
    </w:p>
    <w:p>
      <w:pPr>
        <w:pStyle w:val="6"/>
        <w:ind w:firstLine="480"/>
        <w:rPr>
          <w:rFonts w:hint="eastAsia"/>
        </w:rPr>
      </w:pPr>
      <w:r>
        <w:rPr>
          <w:rFonts w:hint="eastAsia"/>
        </w:rPr>
        <w:t xml:space="preserve">（3）加强水系水质保护，控制水上设施污染，实施水源监测； </w:t>
      </w:r>
    </w:p>
    <w:p>
      <w:pPr>
        <w:pStyle w:val="6"/>
        <w:ind w:firstLine="480"/>
        <w:rPr>
          <w:rFonts w:hint="eastAsia"/>
        </w:rPr>
      </w:pPr>
      <w:r>
        <w:rPr>
          <w:rFonts w:hint="eastAsia"/>
        </w:rPr>
        <w:t xml:space="preserve">（4）加强湿地水岸保护，尽量维持现状原生性的自然驳岸，若需要进行驳岸改造则以生态工程措施为主导； </w:t>
      </w:r>
    </w:p>
    <w:p>
      <w:pPr>
        <w:pStyle w:val="6"/>
        <w:ind w:firstLine="480"/>
        <w:rPr>
          <w:rFonts w:hint="eastAsia"/>
        </w:rPr>
      </w:pPr>
      <w:r>
        <w:rPr>
          <w:rFonts w:hint="eastAsia"/>
        </w:rPr>
        <w:t>（5）加强栖息地生境保护，建立和完善湿地公园内野生动物栖息地保护设施，严禁破坏湿地植被和非法捕捉、杀害野生动物；</w:t>
      </w:r>
    </w:p>
    <w:p>
      <w:pPr>
        <w:pStyle w:val="6"/>
        <w:ind w:firstLine="480"/>
        <w:rPr>
          <w:rFonts w:hint="eastAsia"/>
        </w:rPr>
      </w:pPr>
      <w:r>
        <w:rPr>
          <w:rFonts w:hint="eastAsia"/>
        </w:rPr>
        <w:t xml:space="preserve">（6）废弃物集中清理，对湿地水域及其周边区域进行全面、集中的废弃物清理，并定期进行固体废弃物打捞，防治垃圾堆积； </w:t>
      </w:r>
    </w:p>
    <w:p>
      <w:pPr>
        <w:pStyle w:val="6"/>
        <w:ind w:firstLine="480"/>
        <w:rPr>
          <w:rFonts w:hint="eastAsia"/>
        </w:rPr>
      </w:pPr>
      <w:r>
        <w:rPr>
          <w:rFonts w:hint="eastAsia"/>
        </w:rPr>
        <w:t>（7）建立健全湿地管理制度，设立湿地生境监测点，建立湿地巡护监测网络。</w:t>
      </w:r>
    </w:p>
    <w:p>
      <w:pPr>
        <w:pStyle w:val="2"/>
        <w:rPr>
          <w:rFonts w:hint="eastAsia"/>
        </w:rPr>
      </w:pPr>
      <w:r>
        <w:rPr>
          <w:rFonts w:hint="eastAsia"/>
        </w:rPr>
        <w:t>7.3.</w:t>
      </w:r>
      <w:r>
        <w:rPr>
          <w:rFonts w:hint="eastAsia"/>
          <w:lang w:val="en-US" w:eastAsia="zh-CN"/>
        </w:rPr>
        <w:t>3</w:t>
      </w:r>
      <w:r>
        <w:rPr>
          <w:rFonts w:hint="eastAsia"/>
        </w:rPr>
        <w:t>.2植物保护措施</w:t>
      </w:r>
    </w:p>
    <w:p>
      <w:pPr>
        <w:pStyle w:val="6"/>
        <w:ind w:firstLine="480"/>
        <w:rPr>
          <w:rFonts w:hint="eastAsia"/>
        </w:rPr>
      </w:pPr>
      <w:r>
        <w:rPr>
          <w:rFonts w:hint="eastAsia"/>
        </w:rPr>
        <w:t>1、规划实施建设活动时应尽量避开耕地、林地，尽量选择在基岩裸露、荒地等未开发利用的区域，以减少对植被的破坏。</w:t>
      </w:r>
    </w:p>
    <w:p>
      <w:pPr>
        <w:pStyle w:val="6"/>
        <w:ind w:firstLine="480"/>
        <w:rPr>
          <w:rFonts w:hint="eastAsia"/>
        </w:rPr>
      </w:pPr>
      <w:r>
        <w:rPr>
          <w:rFonts w:hint="eastAsia"/>
        </w:rPr>
        <w:t>2、在规划施工过程中，开挖时应注意原始地表与天然植被的保护，临时设施、施工便道、弃渣场等尽量利用当地已有设施，减少临时施工占地，砂石料等取材尽量利用工程产生的土石或当地市场购买，减少设置取石、取砂场，对工程区内有价值的植被采取就地保护或异地移栽，尽量避免和减少深挖、高填及其对沿线自然生态和植被的破坏，降低工程对规划评价范围内地表植被的影响。</w:t>
      </w:r>
    </w:p>
    <w:p>
      <w:pPr>
        <w:pStyle w:val="6"/>
        <w:ind w:firstLine="480"/>
        <w:rPr>
          <w:rFonts w:hint="eastAsia"/>
        </w:rPr>
      </w:pPr>
      <w:r>
        <w:rPr>
          <w:rFonts w:hint="eastAsia"/>
        </w:rPr>
        <w:t>3、在施工过程中加快施工进度，在保证质量的情况下尽量缩短工期，从而尽量减少对规划评价范围环境的扰动；施工结束后，对施工现场进行清理恢复，尽可能恢复到原有景观面貌。具体项目环评中应进一步落实、完善。</w:t>
      </w:r>
    </w:p>
    <w:p>
      <w:pPr>
        <w:pStyle w:val="6"/>
        <w:ind w:firstLine="480"/>
        <w:rPr>
          <w:rFonts w:hint="eastAsia"/>
        </w:rPr>
      </w:pPr>
      <w:r>
        <w:rPr>
          <w:rFonts w:hint="eastAsia"/>
        </w:rPr>
        <w:t>4、对于规划实施过程中永久占用的土地面积，建设单位应与当地相关管理部门进行协调，对破坏的植被地应在异地进行生态恢复，对现状植被破坏造成的损失进行补偿。</w:t>
      </w:r>
    </w:p>
    <w:p>
      <w:pPr>
        <w:pStyle w:val="6"/>
        <w:ind w:firstLine="480"/>
        <w:rPr>
          <w:rFonts w:hint="eastAsia"/>
        </w:rPr>
      </w:pPr>
      <w:r>
        <w:rPr>
          <w:rFonts w:hint="eastAsia"/>
        </w:rPr>
        <w:t>5、植被的恢复必须按照当地的实际情况，针对不同的土壤条件、气候条件以及坡度、海拔等条件进行乔灌草的合理配置，建立起植被与生境水分条件相符合的群落生态关系，并根据自然地理环境的特点和植物的生态适应性及自然演替规律，增加多种林木成分。</w:t>
      </w:r>
    </w:p>
    <w:p>
      <w:pPr>
        <w:pStyle w:val="6"/>
        <w:ind w:firstLine="480"/>
        <w:rPr>
          <w:rFonts w:hint="eastAsia"/>
        </w:rPr>
      </w:pPr>
      <w:r>
        <w:rPr>
          <w:rFonts w:hint="eastAsia"/>
        </w:rPr>
        <w:t>6、加强对人员的教育，禁止对工程区域外的植物进行砍伐、采摘、攀折等行为，禁止放火烧荒。</w:t>
      </w:r>
    </w:p>
    <w:p>
      <w:pPr>
        <w:pStyle w:val="6"/>
        <w:ind w:firstLine="480"/>
        <w:rPr>
          <w:rFonts w:hint="eastAsia"/>
        </w:rPr>
      </w:pPr>
      <w:r>
        <w:rPr>
          <w:rFonts w:hint="eastAsia"/>
        </w:rPr>
        <w:t>7、重视本地物种，防止外来物种入侵。对天然植被坚持保护为主的原则，尽最大可能保护原有植被，特别是重要保护物种和生态公益林，次生林等。</w:t>
      </w:r>
    </w:p>
    <w:p>
      <w:pPr>
        <w:pStyle w:val="2"/>
        <w:rPr>
          <w:rFonts w:hint="eastAsia"/>
        </w:rPr>
      </w:pPr>
      <w:r>
        <w:rPr>
          <w:rFonts w:hint="eastAsia"/>
        </w:rPr>
        <w:t>7.3.</w:t>
      </w:r>
      <w:r>
        <w:rPr>
          <w:rFonts w:hint="eastAsia"/>
          <w:lang w:val="en-US" w:eastAsia="zh-CN"/>
        </w:rPr>
        <w:t>3</w:t>
      </w:r>
      <w:r>
        <w:rPr>
          <w:rFonts w:hint="eastAsia"/>
        </w:rPr>
        <w:t>.3野生动物保护措施</w:t>
      </w:r>
    </w:p>
    <w:p>
      <w:pPr>
        <w:pStyle w:val="6"/>
        <w:ind w:firstLine="480"/>
        <w:rPr>
          <w:rFonts w:hint="eastAsia"/>
        </w:rPr>
      </w:pPr>
      <w:r>
        <w:rPr>
          <w:rFonts w:hint="eastAsia"/>
        </w:rPr>
        <w:t>1、加强区内环保宣传教育，提高施工人员的保护意识，加强环境管理和环境监理，严禁捕猎野生动物。</w:t>
      </w:r>
    </w:p>
    <w:p>
      <w:pPr>
        <w:pStyle w:val="6"/>
        <w:ind w:firstLine="480"/>
        <w:rPr>
          <w:rFonts w:hint="eastAsia"/>
        </w:rPr>
      </w:pPr>
      <w:r>
        <w:rPr>
          <w:rFonts w:hint="eastAsia"/>
        </w:rPr>
        <w:t>2、严格控制施工场地及人类活动，加强高噪声施工机具使用及噪声防治，减少施工及人类活动对野生动物的惊扰。施工中尽可能减少高噪声作业，以尽量减少对动物的直接伤害。</w:t>
      </w:r>
    </w:p>
    <w:p>
      <w:pPr>
        <w:pStyle w:val="6"/>
        <w:ind w:firstLine="480"/>
        <w:rPr>
          <w:rFonts w:hint="eastAsia"/>
        </w:rPr>
      </w:pPr>
      <w:r>
        <w:rPr>
          <w:rFonts w:hint="eastAsia"/>
        </w:rPr>
        <w:t>3、在规划实施过程中，尽量做好工程区周边野生动物栖息和觅食地的保护，避免人为干扰，减轻对野生动物生境的破坏。</w:t>
      </w:r>
    </w:p>
    <w:p>
      <w:pPr>
        <w:pStyle w:val="6"/>
        <w:ind w:firstLine="480"/>
      </w:pPr>
      <w:r>
        <w:rPr>
          <w:rFonts w:hint="eastAsia"/>
        </w:rPr>
        <w:t>4、</w:t>
      </w:r>
      <w:r>
        <w:t>在规划区内设置保护野生动物、生态环境的宣传牌和警示牌，严禁破坏区域内的生态环境，严禁惊吓、捕杀野生动物。</w:t>
      </w:r>
    </w:p>
    <w:p>
      <w:pPr>
        <w:pStyle w:val="6"/>
        <w:ind w:firstLine="480"/>
      </w:pPr>
      <w:r>
        <w:rPr>
          <w:rFonts w:hint="eastAsia"/>
        </w:rPr>
        <w:t>5、</w:t>
      </w:r>
      <w:r>
        <w:t>规划实施过程中，严禁工作人员和游客捕杀野生动物，应注意观察各区域内野生动物的活动情况，并注意保护区域内的野生动植物，发现异常应向林业部门报告，遇到受伤或死亡动物应将其交予林业部门，并排查原因。</w:t>
      </w:r>
    </w:p>
    <w:p>
      <w:pPr>
        <w:pStyle w:val="2"/>
        <w:rPr>
          <w:rFonts w:hint="eastAsia"/>
        </w:rPr>
      </w:pPr>
      <w:r>
        <w:rPr>
          <w:rFonts w:hint="eastAsia"/>
        </w:rPr>
        <w:t>7.3.</w:t>
      </w:r>
      <w:r>
        <w:rPr>
          <w:rFonts w:hint="eastAsia"/>
          <w:lang w:val="en-US" w:eastAsia="zh-CN"/>
        </w:rPr>
        <w:t>3</w:t>
      </w:r>
      <w:r>
        <w:rPr>
          <w:rFonts w:hint="eastAsia"/>
        </w:rPr>
        <w:t>.4生态恢复措施</w:t>
      </w:r>
    </w:p>
    <w:p>
      <w:pPr>
        <w:pStyle w:val="6"/>
        <w:ind w:firstLine="480"/>
        <w:rPr>
          <w:rFonts w:hint="eastAsia"/>
        </w:rPr>
      </w:pPr>
      <w:r>
        <w:rPr>
          <w:rFonts w:hint="eastAsia"/>
        </w:rPr>
        <w:t>1、生态环境影响防护、恢复应遵循“避让—最小化—减量化—修复—重建”这一顺序，严格控制规划的开发活动对环境造成的损害，并贯彻“谁污染、谁治理、谁开发、谁保护”的原则，搞好生态保护恢复建设，使生态效益和经济效益相协调。</w:t>
      </w:r>
    </w:p>
    <w:p>
      <w:pPr>
        <w:pStyle w:val="6"/>
        <w:ind w:firstLine="480"/>
        <w:rPr>
          <w:rFonts w:hint="eastAsia"/>
        </w:rPr>
      </w:pPr>
      <w:r>
        <w:rPr>
          <w:rFonts w:hint="eastAsia"/>
        </w:rPr>
        <w:t>2、对于永久建筑物施工占地区域，应该在建筑物周围种植花、草、灌等植物，控制水土流失和美化环境。</w:t>
      </w:r>
    </w:p>
    <w:p>
      <w:pPr>
        <w:pStyle w:val="6"/>
        <w:ind w:firstLine="480"/>
        <w:rPr>
          <w:rFonts w:hint="eastAsia"/>
        </w:rPr>
      </w:pPr>
      <w:r>
        <w:rPr>
          <w:rFonts w:hint="eastAsia"/>
        </w:rPr>
        <w:t>3、规划实施过程中对临时占地应及时将清出的表层土进行回填覆土，回填后进行土地整治，然后采取撒播草籽的植物恢复措施。</w:t>
      </w:r>
    </w:p>
    <w:p>
      <w:pPr>
        <w:pStyle w:val="6"/>
        <w:ind w:firstLine="480"/>
        <w:rPr>
          <w:rFonts w:hint="eastAsia"/>
        </w:rPr>
      </w:pPr>
      <w:r>
        <w:rPr>
          <w:rFonts w:hint="eastAsia"/>
        </w:rPr>
        <w:t>4、对永久占地，在施工前应预先将各场地的表层熟土剥离，并集中堆放于场地一角。为防止剥离表土受雨水冲刷产生水土流失， 表土堆存的外边坡坡脚采用土袋（编织袋装）拦挡，坡面用草袋覆盖。施工结束后，原表层剥离熟土作为覆土来源。</w:t>
      </w:r>
    </w:p>
    <w:p>
      <w:pPr>
        <w:pStyle w:val="6"/>
        <w:ind w:firstLine="480"/>
        <w:rPr>
          <w:rFonts w:hint="eastAsia"/>
        </w:rPr>
      </w:pPr>
      <w:r>
        <w:rPr>
          <w:rFonts w:hint="eastAsia"/>
        </w:rPr>
        <w:t>5、在规划区内根据因地制宜、适地适树的原则，对采伐、地表裸露区域补种乡土树种，施行人工促进、天然更新，促进森林植被的恢复和发育。</w:t>
      </w:r>
    </w:p>
    <w:p>
      <w:pPr>
        <w:pStyle w:val="6"/>
        <w:ind w:firstLine="480"/>
        <w:rPr>
          <w:rFonts w:hint="eastAsia"/>
        </w:rPr>
      </w:pPr>
      <w:r>
        <w:rPr>
          <w:rFonts w:hint="eastAsia"/>
        </w:rPr>
        <w:t>6、对穿越林地的旅游公路路段，设置生态廊道。在公路两边种植15～20m左右高度的植被，使其树冠形成绿色桥梁；通过改造局部区域道路宽度、地形、植被等，满足食物丰度、隐蔽效果、行走安全等，形成地面生物廊道。</w:t>
      </w:r>
    </w:p>
    <w:p>
      <w:pPr>
        <w:pStyle w:val="5"/>
        <w:rPr>
          <w:rFonts w:hint="eastAsia"/>
          <w:highlight w:val="none"/>
        </w:rPr>
      </w:pPr>
      <w:bookmarkStart w:id="225" w:name="_Toc29033"/>
      <w:bookmarkStart w:id="226" w:name="_Toc18321"/>
      <w:r>
        <w:rPr>
          <w:rFonts w:hint="eastAsia"/>
          <w:highlight w:val="none"/>
          <w:lang w:val="en-US" w:eastAsia="zh-CN"/>
        </w:rPr>
        <w:t>7</w:t>
      </w:r>
      <w:r>
        <w:rPr>
          <w:rFonts w:hint="eastAsia"/>
          <w:highlight w:val="none"/>
        </w:rPr>
        <w:t>.3.</w:t>
      </w:r>
      <w:r>
        <w:rPr>
          <w:rFonts w:hint="eastAsia"/>
          <w:highlight w:val="none"/>
          <w:lang w:val="en-US" w:eastAsia="zh-CN"/>
        </w:rPr>
        <w:t>4</w:t>
      </w:r>
      <w:r>
        <w:rPr>
          <w:rFonts w:hint="eastAsia"/>
          <w:highlight w:val="none"/>
        </w:rPr>
        <w:t>重点自然资源保护措施</w:t>
      </w:r>
      <w:bookmarkEnd w:id="225"/>
      <w:bookmarkEnd w:id="226"/>
    </w:p>
    <w:p>
      <w:pPr>
        <w:pStyle w:val="6"/>
        <w:ind w:firstLine="480"/>
        <w:rPr>
          <w:rFonts w:hint="eastAsia"/>
          <w:color w:val="auto"/>
        </w:rPr>
      </w:pPr>
      <w:r>
        <w:rPr>
          <w:color w:val="auto"/>
        </w:rPr>
        <w:t>针对本次规划依托的重点自然资源</w:t>
      </w:r>
      <w:r>
        <w:rPr>
          <w:rFonts w:hint="eastAsia"/>
          <w:color w:val="auto"/>
        </w:rPr>
        <w:t>（地质地貌、湖泊、山体、瀑布等），从环境保护的角度，</w:t>
      </w:r>
      <w:r>
        <w:rPr>
          <w:color w:val="auto"/>
        </w:rPr>
        <w:t>本次环评提出如下保护措施</w:t>
      </w:r>
      <w:r>
        <w:rPr>
          <w:rFonts w:hint="eastAsia"/>
          <w:color w:val="auto"/>
        </w:rPr>
        <w:t>：</w:t>
      </w:r>
    </w:p>
    <w:p>
      <w:pPr>
        <w:pStyle w:val="6"/>
        <w:numPr>
          <w:ilvl w:val="0"/>
          <w:numId w:val="14"/>
        </w:numPr>
        <w:ind w:firstLine="482"/>
        <w:rPr>
          <w:rFonts w:hint="eastAsia"/>
          <w:b/>
          <w:bCs/>
        </w:rPr>
      </w:pPr>
      <w:r>
        <w:rPr>
          <w:rFonts w:hint="eastAsia"/>
          <w:b/>
          <w:bCs/>
        </w:rPr>
        <w:t>地文景观类资源保护</w:t>
      </w:r>
    </w:p>
    <w:p>
      <w:pPr>
        <w:pStyle w:val="6"/>
        <w:ind w:firstLine="482"/>
        <w:rPr>
          <w:rFonts w:hint="eastAsia"/>
          <w:b/>
          <w:bCs/>
        </w:rPr>
      </w:pPr>
      <w:r>
        <w:rPr>
          <w:rFonts w:hint="eastAsia"/>
          <w:b/>
          <w:bCs/>
        </w:rPr>
        <w:t>（1）地质地貌保护</w:t>
      </w:r>
    </w:p>
    <w:p>
      <w:pPr>
        <w:pStyle w:val="6"/>
        <w:ind w:firstLine="480"/>
        <w:rPr>
          <w:rFonts w:hint="eastAsia" w:eastAsia="宋体"/>
          <w:highlight w:val="none"/>
          <w:lang w:eastAsia="zh-CN"/>
        </w:rPr>
      </w:pPr>
      <w:r>
        <w:rPr>
          <w:rFonts w:hint="eastAsia"/>
          <w:highlight w:val="none"/>
        </w:rPr>
        <w:t>本次规划涉及到的地质地貌景观资源主要有：雅鲁藏布大峡谷、尼洋河大峡谷、朱拉河大峡谷、多雄拉曲峡谷、杂拉沟、甲嘎东赞沟以及岩壁节理、冰川遗迹、等地质景观。环境保护措施如下</w:t>
      </w:r>
      <w:r>
        <w:rPr>
          <w:rFonts w:hint="eastAsia"/>
          <w:highlight w:val="none"/>
          <w:lang w:eastAsia="zh-CN"/>
        </w:rPr>
        <w:t>。</w:t>
      </w:r>
    </w:p>
    <w:p>
      <w:pPr>
        <w:pStyle w:val="6"/>
        <w:ind w:firstLine="480"/>
        <w:rPr>
          <w:rFonts w:hint="eastAsia"/>
        </w:rPr>
      </w:pPr>
      <w:r>
        <w:rPr>
          <w:rFonts w:hint="eastAsia"/>
        </w:rPr>
        <w:t>1）国土资源部门为主导，对县域内重要地质遗迹和地貌景观进行调查、评价、监测，对典型的地质遗迹和地貌景观建立档案，加强保护；</w:t>
      </w:r>
    </w:p>
    <w:p>
      <w:pPr>
        <w:pStyle w:val="6"/>
        <w:ind w:firstLine="480"/>
        <w:rPr>
          <w:rFonts w:hint="eastAsia"/>
        </w:rPr>
      </w:pPr>
      <w:r>
        <w:rPr>
          <w:rFonts w:hint="eastAsia"/>
        </w:rPr>
        <w:t>2）制定各项管理制度，设立核心保护区域与协调控制区域，严格控制重要峡谷内村庄居住点的发展，严格监督谷内旅游企业项目开发、旅游经营活动，不得破坏地质地貌景观；</w:t>
      </w:r>
    </w:p>
    <w:p>
      <w:pPr>
        <w:pStyle w:val="6"/>
        <w:ind w:firstLine="480"/>
        <w:rPr>
          <w:rFonts w:hint="eastAsia"/>
        </w:rPr>
      </w:pPr>
      <w:r>
        <w:rPr>
          <w:rFonts w:hint="eastAsia"/>
        </w:rPr>
        <w:t>3）任何单位和个人未经批准不得破坏、挖掘、买卖、移动地质遗迹和地貌景观，未经允许不得开展科研、考察、学术交流、旅游开发和影视外景拍摄活动；</w:t>
      </w:r>
    </w:p>
    <w:p>
      <w:pPr>
        <w:pStyle w:val="6"/>
        <w:ind w:firstLine="480"/>
        <w:rPr>
          <w:rFonts w:hint="eastAsia"/>
        </w:rPr>
      </w:pPr>
      <w:r>
        <w:rPr>
          <w:rFonts w:hint="eastAsia"/>
        </w:rPr>
        <w:t>4）合理发展生态旅游活动，保护重要地质景观景点，未来户外运动活动不得破坏重要地质景观，旅游开发建设不得对重要地质景观造成视线遮挡；</w:t>
      </w:r>
    </w:p>
    <w:p>
      <w:pPr>
        <w:pStyle w:val="6"/>
        <w:ind w:firstLine="480"/>
        <w:rPr>
          <w:rFonts w:hint="eastAsia"/>
        </w:rPr>
      </w:pPr>
      <w:r>
        <w:rPr>
          <w:rFonts w:hint="eastAsia"/>
        </w:rPr>
        <w:t>5）向本地居民和游客开展科研、科普教育活动，加强对地质地貌景观的保护意识；</w:t>
      </w:r>
    </w:p>
    <w:p>
      <w:pPr>
        <w:pStyle w:val="6"/>
        <w:ind w:firstLine="480"/>
        <w:rPr>
          <w:rFonts w:hint="eastAsia"/>
        </w:rPr>
      </w:pPr>
      <w:r>
        <w:rPr>
          <w:rFonts w:hint="eastAsia"/>
        </w:rPr>
        <w:t>6）建立和完善防灾害预警系统、防灾救援系统，制定应急预案，发生突发性事件或自然灾害，造成或可能造成地质遗迹、地貌景观破坏的，应立即启动应急预案。</w:t>
      </w:r>
    </w:p>
    <w:p>
      <w:pPr>
        <w:pStyle w:val="6"/>
        <w:ind w:firstLine="482"/>
        <w:rPr>
          <w:rFonts w:hint="eastAsia"/>
          <w:b/>
          <w:bCs/>
        </w:rPr>
      </w:pPr>
      <w:r>
        <w:rPr>
          <w:rFonts w:hint="eastAsia"/>
          <w:b/>
          <w:bCs/>
        </w:rPr>
        <w:t>（2）山体资源保护</w:t>
      </w:r>
    </w:p>
    <w:p>
      <w:pPr>
        <w:pStyle w:val="6"/>
        <w:ind w:firstLine="480"/>
        <w:rPr>
          <w:rFonts w:hint="eastAsia" w:eastAsia="宋体"/>
          <w:lang w:eastAsia="zh-CN"/>
        </w:rPr>
      </w:pPr>
      <w:r>
        <w:rPr>
          <w:rFonts w:hint="eastAsia"/>
        </w:rPr>
        <w:t>林芝市山体资源众多，以世界级资源南迦巴瓦峰为代表，兼顾众多的雪山高峰，加拉白垒峰、多雄拉山、嘎隆拉山、贡阿噶布山、贡堆神山、卓玛拉神山、珠拉玛美措曲神山、格林达帕神山、比日神山、苯日神山等。</w:t>
      </w:r>
      <w:r>
        <w:rPr>
          <w:rFonts w:hint="eastAsia"/>
          <w:lang w:val="en-US" w:eastAsia="zh-CN"/>
        </w:rPr>
        <w:t>环评提出</w:t>
      </w:r>
      <w:r>
        <w:rPr>
          <w:rFonts w:hint="eastAsia"/>
        </w:rPr>
        <w:t>以下保护措施</w:t>
      </w:r>
      <w:r>
        <w:rPr>
          <w:rFonts w:hint="eastAsia"/>
          <w:lang w:eastAsia="zh-CN"/>
        </w:rPr>
        <w:t>。</w:t>
      </w:r>
    </w:p>
    <w:p>
      <w:pPr>
        <w:pStyle w:val="6"/>
        <w:ind w:firstLine="480"/>
        <w:rPr>
          <w:rFonts w:hint="eastAsia"/>
        </w:rPr>
      </w:pPr>
      <w:r>
        <w:rPr>
          <w:rFonts w:hint="eastAsia"/>
        </w:rPr>
        <w:t>1）避免在旅游景区和游览道路的景观范围内开采山石，保持山体风貌的整体性和观赏性；</w:t>
      </w:r>
    </w:p>
    <w:p>
      <w:pPr>
        <w:pStyle w:val="6"/>
        <w:ind w:firstLine="480"/>
        <w:rPr>
          <w:rFonts w:hint="eastAsia"/>
        </w:rPr>
      </w:pPr>
      <w:r>
        <w:rPr>
          <w:rFonts w:hint="eastAsia"/>
        </w:rPr>
        <w:t>2）山上除原有寺庙外不应再建接待设施，应主要以景区周边原住居民社区为依托，在与当地环境和民俗文化相协调的条件下开展旅游基础设施的建设和完善；</w:t>
      </w:r>
    </w:p>
    <w:p>
      <w:pPr>
        <w:pStyle w:val="6"/>
        <w:ind w:firstLine="480"/>
        <w:rPr>
          <w:rFonts w:hint="eastAsia"/>
        </w:rPr>
      </w:pPr>
      <w:r>
        <w:rPr>
          <w:rFonts w:hint="eastAsia"/>
        </w:rPr>
        <w:t>3）山下人工建筑在选址、体量、色调、形式等方面必须体现地域特色，并与周围环境相协调；</w:t>
      </w:r>
    </w:p>
    <w:p>
      <w:pPr>
        <w:pStyle w:val="6"/>
        <w:ind w:firstLine="480"/>
        <w:rPr>
          <w:rFonts w:hint="eastAsia"/>
        </w:rPr>
      </w:pPr>
      <w:r>
        <w:rPr>
          <w:rFonts w:hint="eastAsia"/>
        </w:rPr>
        <w:t>4）山体资源保护对象主要以山体、山体植物和山体动物为主，其中山体的保护又依赖于山体植物和动物的保护， 山体旅游开发应不影响物种生存和繁衍， 以保护和维护生态系统的安全和完整性为前提；</w:t>
      </w:r>
    </w:p>
    <w:p>
      <w:pPr>
        <w:pStyle w:val="6"/>
        <w:ind w:firstLine="480"/>
        <w:rPr>
          <w:rFonts w:hint="eastAsia"/>
        </w:rPr>
      </w:pPr>
      <w:r>
        <w:rPr>
          <w:rFonts w:hint="eastAsia"/>
        </w:rPr>
        <w:t>5）可适度建设游憩服务设施，旅游线路、游憩设施规划建设时应尽力做到不破坏自然景观，不污染环境；</w:t>
      </w:r>
    </w:p>
    <w:p>
      <w:pPr>
        <w:pStyle w:val="6"/>
        <w:ind w:firstLine="480"/>
        <w:rPr>
          <w:rFonts w:hint="eastAsia"/>
        </w:rPr>
      </w:pPr>
      <w:r>
        <w:rPr>
          <w:rFonts w:hint="eastAsia"/>
        </w:rPr>
        <w:t>6）用地布局上，不损坏原始地貌，局部缓坡状的地形，可依山就势进行设计，高山峡谷及冰川遗迹等重要区域，要充分保护现状地形；</w:t>
      </w:r>
    </w:p>
    <w:p>
      <w:pPr>
        <w:pStyle w:val="6"/>
        <w:ind w:firstLine="480"/>
        <w:rPr>
          <w:rFonts w:hint="eastAsia"/>
        </w:rPr>
      </w:pPr>
      <w:r>
        <w:rPr>
          <w:rFonts w:hint="eastAsia"/>
        </w:rPr>
        <w:t>7）道路交通上，保留并充分利用原有道路，步行道设计采用软质景观与硬质景观相结合的形式；</w:t>
      </w:r>
    </w:p>
    <w:p>
      <w:pPr>
        <w:pStyle w:val="6"/>
        <w:ind w:firstLine="480"/>
        <w:rPr>
          <w:rFonts w:hint="eastAsia"/>
        </w:rPr>
      </w:pPr>
      <w:r>
        <w:rPr>
          <w:rFonts w:hint="eastAsia"/>
        </w:rPr>
        <w:t>8）建筑设计上，顺应地形线的起伏与走向，与整个环境浑然一体，尽量采用小尺寸。</w:t>
      </w:r>
    </w:p>
    <w:p>
      <w:pPr>
        <w:pStyle w:val="6"/>
        <w:ind w:firstLine="482"/>
        <w:rPr>
          <w:rFonts w:hint="eastAsia"/>
          <w:b/>
          <w:bCs/>
        </w:rPr>
      </w:pPr>
      <w:r>
        <w:rPr>
          <w:rFonts w:hint="eastAsia"/>
          <w:b/>
          <w:bCs/>
        </w:rPr>
        <w:t>2、水域风光类资源保护</w:t>
      </w:r>
    </w:p>
    <w:p>
      <w:pPr>
        <w:pStyle w:val="6"/>
        <w:ind w:firstLine="480"/>
        <w:rPr>
          <w:rFonts w:hint="eastAsia"/>
        </w:rPr>
      </w:pPr>
      <w:r>
        <w:rPr>
          <w:rFonts w:hint="eastAsia"/>
        </w:rPr>
        <w:t>林芝市特殊的地理环境和独特的气候条件，造就了其丰沛壮观的河流景观、秀丽宜人的高原湖泊景观，这些水体景观构成了区内迷人的高原水域风光，成为旅游的核心引力之一。</w:t>
      </w:r>
    </w:p>
    <w:p>
      <w:pPr>
        <w:pStyle w:val="6"/>
        <w:ind w:firstLine="482"/>
        <w:rPr>
          <w:rFonts w:hint="eastAsia"/>
          <w:b/>
          <w:bCs/>
        </w:rPr>
      </w:pPr>
      <w:r>
        <w:rPr>
          <w:rFonts w:hint="eastAsia"/>
          <w:b/>
          <w:bCs/>
        </w:rPr>
        <w:t>（1）湖泊资源保护</w:t>
      </w:r>
    </w:p>
    <w:p>
      <w:pPr>
        <w:pStyle w:val="6"/>
        <w:ind w:firstLine="480"/>
        <w:rPr>
          <w:rFonts w:hint="eastAsia"/>
          <w:highlight w:val="none"/>
        </w:rPr>
      </w:pPr>
      <w:r>
        <w:rPr>
          <w:rFonts w:hint="eastAsia"/>
          <w:highlight w:val="none"/>
        </w:rPr>
        <w:t>本次规划涉及那拉措、萨贡玉措、顷波湖、多卡沟珍珠天湖、布裙湖、嘎隆拉天池、列措湖、珠拉玛美措曲湖、喜荣沟、措木及日冰湖、多布湖及其他山体湖泊。</w:t>
      </w:r>
      <w:r>
        <w:rPr>
          <w:rFonts w:hint="eastAsia"/>
          <w:b w:val="0"/>
          <w:bCs w:val="0"/>
          <w:lang w:val="en-US" w:eastAsia="zh-CN"/>
        </w:rPr>
        <w:t>环评提出以下</w:t>
      </w:r>
      <w:r>
        <w:rPr>
          <w:rFonts w:hint="eastAsia"/>
          <w:b w:val="0"/>
          <w:bCs w:val="0"/>
        </w:rPr>
        <w:t>保护</w:t>
      </w:r>
      <w:r>
        <w:rPr>
          <w:rFonts w:hint="eastAsia"/>
        </w:rPr>
        <w:t>措施</w:t>
      </w:r>
      <w:r>
        <w:rPr>
          <w:rFonts w:hint="eastAsia"/>
          <w:lang w:eastAsia="zh-CN"/>
        </w:rPr>
        <w:t>。</w:t>
      </w:r>
    </w:p>
    <w:p>
      <w:pPr>
        <w:pStyle w:val="6"/>
        <w:numPr>
          <w:ilvl w:val="0"/>
          <w:numId w:val="15"/>
        </w:numPr>
        <w:ind w:firstLine="480"/>
        <w:rPr>
          <w:rFonts w:hint="eastAsia"/>
        </w:rPr>
      </w:pPr>
      <w:r>
        <w:rPr>
          <w:rFonts w:hint="eastAsia"/>
        </w:rPr>
        <w:t>保护湖泊旅游资源，实现生态效益与旅游效益并进为旅游发展重中之重，因此建议编制相应的生态保护与环境综合整治规划，对湖区实行统一规划和开发；</w:t>
      </w:r>
    </w:p>
    <w:p>
      <w:pPr>
        <w:pStyle w:val="6"/>
        <w:numPr>
          <w:ilvl w:val="0"/>
          <w:numId w:val="15"/>
        </w:numPr>
        <w:ind w:firstLine="480"/>
        <w:rPr>
          <w:rFonts w:hint="eastAsia"/>
        </w:rPr>
      </w:pPr>
      <w:r>
        <w:rPr>
          <w:rFonts w:hint="eastAsia"/>
        </w:rPr>
        <w:t>加强沿湖旅游项目开发控制，严禁在湖泊周边出现围垦湖泊现象；</w:t>
      </w:r>
    </w:p>
    <w:p>
      <w:pPr>
        <w:pStyle w:val="6"/>
        <w:numPr>
          <w:ilvl w:val="0"/>
          <w:numId w:val="15"/>
        </w:numPr>
        <w:ind w:firstLine="480"/>
        <w:rPr>
          <w:rFonts w:hint="eastAsia"/>
        </w:rPr>
      </w:pPr>
      <w:r>
        <w:rPr>
          <w:rFonts w:hint="eastAsia"/>
        </w:rPr>
        <w:t>做好高山湖泊生态环境保护宣传，对村落居民行为、游客体验进行必要的环保行为约束，鼓励居民与游客自行回收垃圾行为，严禁向湖内倾倒垃圾，避免造成水质污染；</w:t>
      </w:r>
    </w:p>
    <w:p>
      <w:pPr>
        <w:pStyle w:val="6"/>
        <w:numPr>
          <w:ilvl w:val="0"/>
          <w:numId w:val="15"/>
        </w:numPr>
        <w:ind w:firstLine="480"/>
        <w:rPr>
          <w:rFonts w:hint="eastAsia"/>
        </w:rPr>
      </w:pPr>
      <w:r>
        <w:rPr>
          <w:rFonts w:hint="eastAsia"/>
        </w:rPr>
        <w:t>加强湖边垃圾箱管理，聘用专门环卫人员定期清理垃圾，做到一日一清，并加强湖岸区域环卫巡视清理工作，减少固体垃圾对环境的影响；</w:t>
      </w:r>
    </w:p>
    <w:p>
      <w:pPr>
        <w:pStyle w:val="6"/>
        <w:numPr>
          <w:ilvl w:val="0"/>
          <w:numId w:val="15"/>
        </w:numPr>
        <w:ind w:firstLine="480"/>
        <w:rPr>
          <w:rFonts w:hint="eastAsia"/>
        </w:rPr>
      </w:pPr>
      <w:r>
        <w:rPr>
          <w:rFonts w:hint="eastAsia"/>
        </w:rPr>
        <w:t>建立湖泊河流健康指标体系，定期开展健康评价，加强地下水保护，提高江河湖泊生态自净能力。</w:t>
      </w:r>
    </w:p>
    <w:p>
      <w:pPr>
        <w:pStyle w:val="6"/>
        <w:ind w:firstLine="482"/>
        <w:rPr>
          <w:rFonts w:hint="eastAsia"/>
          <w:b/>
          <w:bCs/>
        </w:rPr>
      </w:pPr>
      <w:r>
        <w:rPr>
          <w:rFonts w:hint="eastAsia"/>
          <w:b/>
          <w:bCs/>
        </w:rPr>
        <w:t>（2）瀑布山泉资源保护</w:t>
      </w:r>
    </w:p>
    <w:p>
      <w:pPr>
        <w:pStyle w:val="6"/>
        <w:ind w:firstLine="480"/>
        <w:rPr>
          <w:rFonts w:hint="eastAsia" w:eastAsia="宋体"/>
          <w:lang w:eastAsia="zh-CN"/>
        </w:rPr>
      </w:pPr>
      <w:r>
        <w:rPr>
          <w:rFonts w:hint="eastAsia"/>
          <w:lang w:val="en-US" w:eastAsia="zh-CN"/>
        </w:rPr>
        <w:t>规划涉及</w:t>
      </w:r>
      <w:r>
        <w:rPr>
          <w:rFonts w:hint="eastAsia"/>
        </w:rPr>
        <w:t>雅鲁藏布江大拐弯布、卡定沟天佛瀑布、苯日神山神泉、汗密瀑布、拉格瀑布、崩嘎沟</w:t>
      </w:r>
      <w:r>
        <w:rPr>
          <w:rFonts w:hint="eastAsia"/>
          <w:b w:val="0"/>
          <w:bCs w:val="0"/>
        </w:rPr>
        <w:t>瀑布等瀑布山泉</w:t>
      </w:r>
      <w:r>
        <w:rPr>
          <w:rFonts w:hint="eastAsia"/>
          <w:b w:val="0"/>
          <w:bCs w:val="0"/>
          <w:lang w:val="en-US" w:eastAsia="zh-CN"/>
        </w:rPr>
        <w:t>景观，环评提出以下</w:t>
      </w:r>
      <w:r>
        <w:rPr>
          <w:rFonts w:hint="eastAsia"/>
          <w:b w:val="0"/>
          <w:bCs w:val="0"/>
        </w:rPr>
        <w:t>保护</w:t>
      </w:r>
      <w:r>
        <w:rPr>
          <w:rFonts w:hint="eastAsia"/>
        </w:rPr>
        <w:t>措施</w:t>
      </w:r>
      <w:r>
        <w:rPr>
          <w:rFonts w:hint="eastAsia"/>
          <w:lang w:eastAsia="zh-CN"/>
        </w:rPr>
        <w:t>。</w:t>
      </w:r>
    </w:p>
    <w:p>
      <w:pPr>
        <w:pStyle w:val="6"/>
        <w:numPr>
          <w:ilvl w:val="0"/>
          <w:numId w:val="16"/>
        </w:numPr>
        <w:ind w:firstLine="480"/>
        <w:rPr>
          <w:rFonts w:hint="eastAsia"/>
        </w:rPr>
      </w:pPr>
      <w:r>
        <w:rPr>
          <w:rFonts w:hint="eastAsia"/>
        </w:rPr>
        <w:t>要保护瀑布周边的原生态植物，禁止乱砍乱伐导致植被稀少，引起水土流失；</w:t>
      </w:r>
    </w:p>
    <w:p>
      <w:pPr>
        <w:pStyle w:val="6"/>
        <w:numPr>
          <w:ilvl w:val="0"/>
          <w:numId w:val="16"/>
        </w:numPr>
        <w:ind w:firstLine="480"/>
        <w:rPr>
          <w:rFonts w:hint="eastAsia"/>
        </w:rPr>
      </w:pPr>
      <w:r>
        <w:rPr>
          <w:rFonts w:hint="eastAsia"/>
        </w:rPr>
        <w:t xml:space="preserve">严格控制和监管瀑布上游的建设行为，保护瀑布的原生态特征； </w:t>
      </w:r>
    </w:p>
    <w:p>
      <w:pPr>
        <w:pStyle w:val="6"/>
        <w:numPr>
          <w:ilvl w:val="0"/>
          <w:numId w:val="16"/>
        </w:numPr>
        <w:ind w:firstLine="480"/>
        <w:rPr>
          <w:rFonts w:hint="eastAsia"/>
        </w:rPr>
      </w:pPr>
      <w:r>
        <w:rPr>
          <w:rFonts w:hint="eastAsia"/>
        </w:rPr>
        <w:t>组织文明有序的观光体验行为，设立观赏区域与严禁游客进入的区域，防止瀑布受到人为破坏。</w:t>
      </w:r>
    </w:p>
    <w:p>
      <w:pPr>
        <w:pStyle w:val="6"/>
        <w:bidi w:val="0"/>
        <w:rPr>
          <w:rFonts w:hint="eastAsia"/>
          <w:lang w:val="en-US" w:eastAsia="zh-CN"/>
        </w:rPr>
      </w:pPr>
    </w:p>
    <w:p>
      <w:pPr>
        <w:rPr>
          <w:highlight w:val="none"/>
        </w:rPr>
        <w:sectPr>
          <w:pgSz w:w="11906" w:h="16838"/>
          <w:pgMar w:top="1440" w:right="1800" w:bottom="1440" w:left="1800" w:header="851" w:footer="992" w:gutter="0"/>
          <w:pgNumType w:fmt="decimal"/>
          <w:cols w:space="425" w:num="1"/>
          <w:docGrid w:type="lines" w:linePitch="312" w:charSpace="0"/>
        </w:sectPr>
      </w:pPr>
    </w:p>
    <w:p>
      <w:pPr>
        <w:pStyle w:val="3"/>
        <w:bidi w:val="0"/>
        <w:rPr>
          <w:rFonts w:hint="eastAsia"/>
        </w:rPr>
      </w:pPr>
      <w:bookmarkStart w:id="227" w:name="_Toc6073"/>
      <w:bookmarkStart w:id="228" w:name="_Toc898"/>
      <w:r>
        <w:rPr>
          <w:rFonts w:hint="eastAsia"/>
          <w:lang w:val="en-US" w:eastAsia="zh-CN"/>
        </w:rPr>
        <w:t>8</w:t>
      </w:r>
      <w:r>
        <w:rPr>
          <w:rFonts w:hint="eastAsia"/>
        </w:rPr>
        <w:t>规划所包含建设项目环评要求</w:t>
      </w:r>
      <w:bookmarkEnd w:id="227"/>
      <w:bookmarkEnd w:id="228"/>
    </w:p>
    <w:p>
      <w:pPr>
        <w:pStyle w:val="4"/>
        <w:rPr>
          <w:rFonts w:hint="eastAsia"/>
        </w:rPr>
      </w:pPr>
      <w:bookmarkStart w:id="229" w:name="_Toc16814"/>
      <w:r>
        <w:rPr>
          <w:rFonts w:hint="eastAsia"/>
        </w:rPr>
        <w:t>8.1与项目环评联动</w:t>
      </w:r>
      <w:bookmarkEnd w:id="229"/>
    </w:p>
    <w:p>
      <w:pPr>
        <w:pStyle w:val="6"/>
        <w:ind w:firstLine="480"/>
        <w:rPr>
          <w:rFonts w:hint="eastAsia"/>
        </w:rPr>
      </w:pPr>
      <w:r>
        <w:rPr>
          <w:rFonts w:hint="eastAsia"/>
        </w:rPr>
        <w:t>对符合规划环评结论及审查意见，其环评文件应按照规划环评的意见进行简化；对于明显不符合相关规划环评结论及审查意见的项目环评文件，各级环保部门应将于规划环评结论的符合性作为项目审批的依据之一；对于要求项目环评深入论证的内容，应强化论证。按照规划环结论及审查意见，对于相关项目环评应简化的内容，可采用在项目环评文件中引用规划环评结论，减少环评文件内容或章节等方式实现。项目环评中发现规划实施造成重大不利环境影响的，应及时反馈规划编制机关。</w:t>
      </w:r>
    </w:p>
    <w:p>
      <w:pPr>
        <w:pStyle w:val="4"/>
        <w:rPr>
          <w:rFonts w:hint="eastAsia"/>
        </w:rPr>
      </w:pPr>
      <w:bookmarkStart w:id="230" w:name="_Toc24717"/>
      <w:r>
        <w:rPr>
          <w:rFonts w:hint="eastAsia"/>
        </w:rPr>
        <w:t>8.2环评要求</w:t>
      </w:r>
      <w:bookmarkEnd w:id="230"/>
    </w:p>
    <w:p>
      <w:pPr>
        <w:pStyle w:val="6"/>
        <w:ind w:firstLine="480"/>
        <w:rPr>
          <w:rFonts w:hint="eastAsia"/>
        </w:rPr>
      </w:pPr>
      <w:r>
        <w:rPr>
          <w:rFonts w:hint="eastAsia"/>
        </w:rPr>
        <w:t>严格落实规划与建设项目环境影响评价的联动机制。凡未开展或未完成规划环境影响评价的，各级环境保护行政主管部门不得受理规划所包含建设项目的环境影响评价报批申请。</w:t>
      </w:r>
    </w:p>
    <w:p>
      <w:pPr>
        <w:pStyle w:val="6"/>
        <w:ind w:firstLine="480"/>
        <w:rPr>
          <w:rFonts w:hint="eastAsia"/>
        </w:rPr>
      </w:pPr>
      <w:r>
        <w:rPr>
          <w:rFonts w:hint="eastAsia"/>
        </w:rPr>
        <w:t>在开展环境影响评价工作中，应重点进行政策分析、工程分析、总量控制、环境风险，对入驻项目应着重评价布局、规模实施后对周边环境的影响，特别是本规划中涉及的污水处理设施、供热设施、垃圾转运及处理设施，应根据实际规模、污染物排放参数、排放方式等进行详细的定量预测，确认污染物排放浓度是否满足国家和地</w:t>
      </w:r>
      <w:r>
        <w:rPr>
          <w:rFonts w:hint="eastAsia"/>
          <w:highlight w:val="none"/>
        </w:rPr>
        <w:t>方的标准，排放总量是否在地区分配的目标总量之内，根据评</w:t>
      </w:r>
      <w:r>
        <w:rPr>
          <w:rFonts w:hint="eastAsia"/>
        </w:rPr>
        <w:t>价结果采取相应的环保措施，保证周边环境不受影响。</w:t>
      </w:r>
    </w:p>
    <w:p>
      <w:pPr>
        <w:pStyle w:val="4"/>
        <w:rPr>
          <w:rFonts w:hint="eastAsia"/>
        </w:rPr>
      </w:pPr>
      <w:bookmarkStart w:id="231" w:name="_Toc4967"/>
      <w:r>
        <w:rPr>
          <w:rFonts w:hint="eastAsia"/>
        </w:rPr>
        <w:t>8.3项目环评的重点内容和基本要求</w:t>
      </w:r>
      <w:bookmarkEnd w:id="231"/>
    </w:p>
    <w:p>
      <w:pPr>
        <w:pStyle w:val="6"/>
        <w:ind w:firstLine="480"/>
        <w:rPr>
          <w:rFonts w:hint="eastAsia"/>
        </w:rPr>
      </w:pPr>
      <w:r>
        <w:rPr>
          <w:rFonts w:hint="eastAsia"/>
        </w:rPr>
        <w:t>根据规划特点，本评价针对规划主要的环境影响特征，提出主要项目建设时环境影响评价的重点内容和基本要求。</w:t>
      </w:r>
    </w:p>
    <w:p>
      <w:pPr>
        <w:pStyle w:val="6"/>
        <w:ind w:firstLine="480"/>
        <w:rPr>
          <w:rFonts w:hint="eastAsia"/>
        </w:rPr>
      </w:pPr>
      <w:r>
        <w:rPr>
          <w:rFonts w:hint="eastAsia"/>
        </w:rPr>
        <w:t>（1）规划环评结论的符合性</w:t>
      </w:r>
    </w:p>
    <w:p>
      <w:pPr>
        <w:pStyle w:val="6"/>
        <w:ind w:firstLine="480"/>
        <w:rPr>
          <w:rFonts w:hint="eastAsia"/>
        </w:rPr>
      </w:pPr>
      <w:r>
        <w:rPr>
          <w:rFonts w:hint="eastAsia"/>
        </w:rPr>
        <w:t>建设项目内容与区域规划目标、产业定位以及本环评提出的空间、总量、环境准入及环评审批负面清单等管控条件的符合性，规划环评审查意见的符合性。避免行业性质与规划不相符、资源能源消耗大、污染物排放量大、产品附加值低的项目进入。</w:t>
      </w:r>
    </w:p>
    <w:p>
      <w:pPr>
        <w:pStyle w:val="6"/>
        <w:ind w:firstLine="480"/>
        <w:rPr>
          <w:rFonts w:hint="eastAsia"/>
        </w:rPr>
      </w:pPr>
      <w:r>
        <w:rPr>
          <w:rFonts w:hint="eastAsia"/>
        </w:rPr>
        <w:t>（2）工程分析</w:t>
      </w:r>
    </w:p>
    <w:p>
      <w:pPr>
        <w:pStyle w:val="6"/>
        <w:ind w:firstLine="480"/>
        <w:rPr>
          <w:rFonts w:hint="eastAsia"/>
        </w:rPr>
      </w:pPr>
      <w:r>
        <w:rPr>
          <w:rFonts w:hint="eastAsia"/>
        </w:rPr>
        <w:t>开展工程分析，详细分析建设项目污染物的产污环节、种类和产生量；评价项目的清洁生产水平；不同的行业其特征污染物不同，应针对特征污染物进行重点评价。</w:t>
      </w:r>
    </w:p>
    <w:p>
      <w:pPr>
        <w:pStyle w:val="6"/>
        <w:ind w:firstLine="480"/>
        <w:rPr>
          <w:rFonts w:hint="eastAsia"/>
        </w:rPr>
      </w:pPr>
      <w:r>
        <w:rPr>
          <w:rFonts w:hint="eastAsia"/>
        </w:rPr>
        <w:t>（3）建设项目环境保护措施的技术和经济技术可行性分析</w:t>
      </w:r>
    </w:p>
    <w:p>
      <w:pPr>
        <w:pStyle w:val="6"/>
        <w:ind w:firstLine="480"/>
        <w:rPr>
          <w:rFonts w:hint="eastAsia"/>
        </w:rPr>
      </w:pPr>
      <w:r>
        <w:rPr>
          <w:rFonts w:hint="eastAsia"/>
        </w:rPr>
        <w:t>环境保护措施属于末端治理的范畴，只有在对环境影响的性质、程度、位置、环保投资等具体内容明确后才能有的放矢。分析污染防治措施及技术可行性。</w:t>
      </w:r>
    </w:p>
    <w:p>
      <w:pPr>
        <w:pStyle w:val="6"/>
        <w:ind w:firstLine="480"/>
        <w:rPr>
          <w:rFonts w:hint="eastAsia"/>
        </w:rPr>
      </w:pPr>
      <w:r>
        <w:rPr>
          <w:rFonts w:hint="eastAsia"/>
        </w:rPr>
        <w:t>（4）环境合理性评价</w:t>
      </w:r>
    </w:p>
    <w:p>
      <w:pPr>
        <w:pStyle w:val="6"/>
        <w:ind w:firstLine="480"/>
        <w:rPr>
          <w:rFonts w:hint="eastAsia"/>
        </w:rPr>
      </w:pPr>
      <w:r>
        <w:rPr>
          <w:rFonts w:hint="eastAsia"/>
        </w:rPr>
        <w:t>建设项目对区域环境功能区达标、厂界和周边敏感点达标影响进行评价，并据此对项目总图布置的环境合理性作出分析。</w:t>
      </w:r>
    </w:p>
    <w:p>
      <w:pPr>
        <w:pStyle w:val="4"/>
        <w:rPr>
          <w:rFonts w:hint="eastAsia"/>
        </w:rPr>
      </w:pPr>
      <w:bookmarkStart w:id="232" w:name="_Toc23397"/>
      <w:r>
        <w:rPr>
          <w:rFonts w:hint="eastAsia"/>
        </w:rPr>
        <w:t>8.4项目环评可简化内容</w:t>
      </w:r>
      <w:bookmarkEnd w:id="232"/>
    </w:p>
    <w:p>
      <w:pPr>
        <w:pStyle w:val="6"/>
        <w:ind w:firstLine="480"/>
        <w:rPr>
          <w:rFonts w:hint="eastAsia"/>
        </w:rPr>
      </w:pPr>
      <w:r>
        <w:rPr>
          <w:rFonts w:hint="eastAsia"/>
        </w:rPr>
        <w:t>（1）对符合前述规划环评环境管控要求和生态环境准入清单的具体建设项目，应将规划环评结论作为重要依据，其环评报告中选址选线、规模分析内容可适当简化。</w:t>
      </w:r>
    </w:p>
    <w:p>
      <w:pPr>
        <w:pStyle w:val="6"/>
        <w:ind w:firstLine="480"/>
        <w:rPr>
          <w:rFonts w:hint="eastAsia"/>
        </w:rPr>
      </w:pPr>
      <w:r>
        <w:rPr>
          <w:rFonts w:hint="eastAsia"/>
        </w:rPr>
        <w:t>（2）当规划环评资源、环境现状调查与评价结果仍具有时效性时，前述建设项目环评报告中现状调查与评价内容可适当简化。</w:t>
      </w:r>
    </w:p>
    <w:p>
      <w:pPr>
        <w:pStyle w:val="6"/>
        <w:bidi w:val="0"/>
      </w:pPr>
    </w:p>
    <w:p>
      <w:pPr>
        <w:pStyle w:val="6"/>
        <w:bidi w:val="0"/>
        <w:sectPr>
          <w:pgSz w:w="11906" w:h="16838"/>
          <w:pgMar w:top="1440" w:right="1800" w:bottom="1440" w:left="1800" w:header="851" w:footer="992" w:gutter="0"/>
          <w:pgNumType w:fmt="decimal"/>
          <w:cols w:space="425" w:num="1"/>
          <w:docGrid w:type="lines" w:linePitch="312" w:charSpace="0"/>
        </w:sectPr>
      </w:pPr>
    </w:p>
    <w:p>
      <w:pPr>
        <w:pStyle w:val="3"/>
        <w:bidi w:val="0"/>
        <w:rPr>
          <w:rFonts w:hint="eastAsia"/>
          <w:highlight w:val="none"/>
        </w:rPr>
      </w:pPr>
      <w:bookmarkStart w:id="233" w:name="_Toc32758"/>
      <w:bookmarkStart w:id="234" w:name="_Toc29946"/>
      <w:r>
        <w:rPr>
          <w:rFonts w:hint="eastAsia"/>
          <w:highlight w:val="none"/>
        </w:rPr>
        <w:t>9环境影响跟踪评价计划</w:t>
      </w:r>
      <w:bookmarkEnd w:id="233"/>
      <w:bookmarkEnd w:id="234"/>
    </w:p>
    <w:p>
      <w:pPr>
        <w:pStyle w:val="6"/>
        <w:bidi w:val="0"/>
        <w:rPr>
          <w:rFonts w:hint="eastAsia"/>
          <w:color w:val="1A15F1"/>
          <w:highlight w:val="none"/>
          <w:lang w:val="en-US" w:eastAsia="zh-CN"/>
        </w:rPr>
      </w:pPr>
      <w:r>
        <w:rPr>
          <w:rFonts w:hint="eastAsia"/>
          <w:color w:val="1A15F1"/>
          <w:lang w:eastAsia="zh-CN"/>
        </w:rPr>
        <w:t>“</w:t>
      </w:r>
      <w:r>
        <w:rPr>
          <w:rFonts w:hint="eastAsia"/>
          <w:color w:val="1A15F1"/>
        </w:rPr>
        <w:t>林芝市全域旅游发展规划（2018-2025年）</w:t>
      </w:r>
      <w:r>
        <w:rPr>
          <w:rFonts w:hint="eastAsia"/>
          <w:color w:val="1A15F1"/>
          <w:lang w:eastAsia="zh-CN"/>
        </w:rPr>
        <w:t>”</w:t>
      </w:r>
      <w:r>
        <w:rPr>
          <w:rFonts w:hint="eastAsia"/>
          <w:color w:val="1A15F1"/>
          <w:lang w:val="en-US" w:eastAsia="zh-CN"/>
        </w:rPr>
        <w:t>中林芝的形象定位</w:t>
      </w:r>
      <w:r>
        <w:rPr>
          <w:rFonts w:hint="eastAsia"/>
          <w:color w:val="1A15F1"/>
          <w:highlight w:val="none"/>
          <w:lang w:val="en-US" w:eastAsia="zh-CN"/>
        </w:rPr>
        <w:t>为“</w:t>
      </w:r>
      <w:r>
        <w:rPr>
          <w:rFonts w:hint="default"/>
          <w:color w:val="1A15F1"/>
          <w:highlight w:val="none"/>
          <w:lang w:val="en-US" w:eastAsia="zh-CN"/>
        </w:rPr>
        <w:t>人间净地·醉美林芝</w:t>
      </w:r>
      <w:r>
        <w:rPr>
          <w:rFonts w:hint="eastAsia"/>
          <w:color w:val="1A15F1"/>
          <w:highlight w:val="none"/>
          <w:lang w:val="en-US" w:eastAsia="zh-CN"/>
        </w:rPr>
        <w:t>”，规划</w:t>
      </w:r>
      <w:r>
        <w:rPr>
          <w:rFonts w:hint="eastAsia"/>
          <w:color w:val="1A15F1"/>
          <w:highlight w:val="none"/>
        </w:rPr>
        <w:t>从市场到政府，搭建全域旅游大平台</w:t>
      </w:r>
      <w:r>
        <w:rPr>
          <w:rFonts w:hint="eastAsia"/>
          <w:color w:val="1A15F1"/>
          <w:highlight w:val="none"/>
          <w:lang w:eastAsia="zh-CN"/>
        </w:rPr>
        <w:t>，</w:t>
      </w:r>
      <w:r>
        <w:rPr>
          <w:rFonts w:hint="eastAsia"/>
          <w:color w:val="1A15F1"/>
          <w:highlight w:val="none"/>
        </w:rPr>
        <w:t>激发多边协作。立足</w:t>
      </w:r>
      <w:r>
        <w:rPr>
          <w:rFonts w:hint="eastAsia"/>
          <w:color w:val="1A15F1"/>
          <w:highlight w:val="none"/>
          <w:lang w:val="en-US" w:eastAsia="zh-CN"/>
        </w:rPr>
        <w:t>林芝市</w:t>
      </w:r>
      <w:r>
        <w:rPr>
          <w:rFonts w:hint="eastAsia"/>
          <w:color w:val="1A15F1"/>
          <w:highlight w:val="none"/>
        </w:rPr>
        <w:t>自身资源、紧跟市场需求、围绕旅游体验、创新旅游产品，快速构建核心吸引力。从景区到产业，逐步培育全域旅游核心竞争力推动泛景区化旅游目的地建设，</w:t>
      </w:r>
      <w:r>
        <w:rPr>
          <w:rFonts w:hint="eastAsia"/>
          <w:color w:val="1A15F1"/>
          <w:highlight w:val="none"/>
          <w:lang w:val="en-US" w:eastAsia="zh-CN"/>
        </w:rPr>
        <w:t>使林芝市成为</w:t>
      </w:r>
      <w:r>
        <w:rPr>
          <w:rFonts w:hint="default"/>
          <w:color w:val="1A15F1"/>
          <w:highlight w:val="none"/>
          <w:lang w:val="en-US" w:eastAsia="zh-CN"/>
        </w:rPr>
        <w:t>世界级高原生态旅游度假目的地、世界级公路旅游目的地</w:t>
      </w:r>
      <w:r>
        <w:rPr>
          <w:rFonts w:hint="eastAsia"/>
          <w:color w:val="1A15F1"/>
          <w:highlight w:val="none"/>
          <w:lang w:val="en-US" w:eastAsia="zh-CN"/>
        </w:rPr>
        <w:t>。</w:t>
      </w:r>
    </w:p>
    <w:p>
      <w:pPr>
        <w:pStyle w:val="6"/>
        <w:ind w:firstLine="480"/>
        <w:rPr>
          <w:rFonts w:hint="eastAsia"/>
        </w:rPr>
      </w:pPr>
      <w:r>
        <w:rPr>
          <w:rFonts w:hint="eastAsia"/>
          <w:color w:val="1A15F1"/>
          <w:highlight w:val="none"/>
        </w:rPr>
        <w:t>《林芝市全域旅游发展规划（2018-2025年）》是</w:t>
      </w:r>
      <w:r>
        <w:rPr>
          <w:rFonts w:hint="eastAsia"/>
          <w:color w:val="1A15F1"/>
          <w:highlight w:val="none"/>
          <w:lang w:val="en-US" w:eastAsia="zh-CN"/>
        </w:rPr>
        <w:t>林芝市全域</w:t>
      </w:r>
      <w:r>
        <w:rPr>
          <w:rFonts w:hint="eastAsia"/>
          <w:color w:val="1A15F1"/>
          <w:highlight w:val="none"/>
        </w:rPr>
        <w:t>旅游发展的综合性方案，涉及门类广、种类多，规划仅从宏观层面给出了</w:t>
      </w:r>
      <w:r>
        <w:rPr>
          <w:rFonts w:hint="eastAsia"/>
          <w:color w:val="1A15F1"/>
          <w:highlight w:val="none"/>
          <w:lang w:val="en-US" w:eastAsia="zh-CN"/>
        </w:rPr>
        <w:t>林芝市</w:t>
      </w:r>
      <w:r>
        <w:rPr>
          <w:rFonts w:hint="eastAsia"/>
          <w:color w:val="1A15F1"/>
          <w:highlight w:val="none"/>
        </w:rPr>
        <w:t>旅游业发展总体指标，仅有部分重点建设项目名称和发展方向，未给出定量的发展规模、指标，</w:t>
      </w:r>
      <w:r>
        <w:rPr>
          <w:rFonts w:hint="eastAsia"/>
        </w:rPr>
        <w:t>这就给规划环评工作带来一定的不确定性。</w:t>
      </w:r>
    </w:p>
    <w:p>
      <w:pPr>
        <w:pStyle w:val="6"/>
        <w:ind w:firstLine="480"/>
        <w:rPr>
          <w:rFonts w:hint="eastAsia"/>
        </w:rPr>
      </w:pPr>
      <w:r>
        <w:rPr>
          <w:rFonts w:hint="eastAsia"/>
        </w:rPr>
        <w:t>随着规划实施，对环境影响程度的评价，仅靠本次的规划环评是远远不够的，靠单个环境影响评价也无法全面反应整体影响。进行跟踪环境影响评价有利于发现规划实施后出现的环境问题，反映规划优化调整建议、环境管控要求和生态环境准入清单等对策措施的执行情况，并为后续规划实施、调整、修编，完善生态环境管理方案和加强相关建设项目环境管理等提供依据。</w:t>
      </w:r>
    </w:p>
    <w:p>
      <w:pPr>
        <w:pStyle w:val="4"/>
        <w:bidi w:val="0"/>
        <w:rPr>
          <w:rFonts w:hint="eastAsia"/>
        </w:rPr>
      </w:pPr>
      <w:bookmarkStart w:id="235" w:name="_Toc23039"/>
      <w:r>
        <w:rPr>
          <w:rFonts w:hint="eastAsia"/>
          <w:lang w:val="en-US" w:eastAsia="zh-CN"/>
        </w:rPr>
        <w:t>9.1</w:t>
      </w:r>
      <w:r>
        <w:rPr>
          <w:rFonts w:hint="eastAsia"/>
        </w:rPr>
        <w:t>评价目的</w:t>
      </w:r>
      <w:bookmarkEnd w:id="235"/>
    </w:p>
    <w:p>
      <w:pPr>
        <w:pStyle w:val="6"/>
        <w:ind w:firstLine="480"/>
        <w:rPr>
          <w:rFonts w:hint="eastAsia"/>
        </w:rPr>
      </w:pPr>
      <w:r>
        <w:rPr>
          <w:rFonts w:hint="eastAsia"/>
        </w:rPr>
        <w:t>根据《规划环境影响跟踪评价技术指南（试行）》（2019年3月8日）中的相关规定，跟踪评价可对规划实施后产生的实际环境影响作出估算和评价。对存在的环境问题，可及时提出改进措施建议，对连续指导规划的实施具有很强的作用。</w:t>
      </w:r>
    </w:p>
    <w:p>
      <w:pPr>
        <w:pStyle w:val="6"/>
        <w:ind w:firstLine="480"/>
        <w:rPr>
          <w:rFonts w:hint="eastAsia"/>
        </w:rPr>
      </w:pPr>
      <w:r>
        <w:rPr>
          <w:rFonts w:hint="eastAsia"/>
        </w:rPr>
        <w:t>开展规划环境影响跟踪评价工作，可加强规划环境影响评价对宏观经济的优化作用，验证规划实施后产生的实际环境影响，对规划已实施部分造成的生态环境问题提出解决方案，对规划后续实施内容提出优化调整建议或减轻不良生态环境影响的对策和措施。充分发挥规划环境影响评价对区域可持续发展的保障作用，实现林芝市旅游产业的可持续发展。</w:t>
      </w:r>
    </w:p>
    <w:p>
      <w:pPr>
        <w:pStyle w:val="4"/>
        <w:bidi w:val="0"/>
        <w:rPr>
          <w:rFonts w:hint="eastAsia"/>
        </w:rPr>
      </w:pPr>
      <w:bookmarkStart w:id="236" w:name="_Toc16982"/>
      <w:r>
        <w:rPr>
          <w:rFonts w:hint="eastAsia"/>
          <w:lang w:val="en-US" w:eastAsia="zh-CN"/>
        </w:rPr>
        <w:t>9.2</w:t>
      </w:r>
      <w:r>
        <w:rPr>
          <w:rFonts w:hint="eastAsia"/>
        </w:rPr>
        <w:t>评价重点</w:t>
      </w:r>
      <w:bookmarkEnd w:id="236"/>
    </w:p>
    <w:p>
      <w:pPr>
        <w:pStyle w:val="6"/>
        <w:ind w:firstLine="480"/>
        <w:rPr>
          <w:rFonts w:hint="eastAsia"/>
        </w:rPr>
      </w:pPr>
      <w:r>
        <w:rPr>
          <w:rFonts w:hint="eastAsia"/>
        </w:rPr>
        <w:t>由于规划项目建设的不确定性，规划的跟踪评价计划的主要目的是对规划发展阶段性任务实施后可能出现的重大环境问题进行跟踪评价，及时并提出补救方案和对策措施。只要在规划实施中如发现有重大环境问题的苗头出现应及时进行跟踪环境影响评价。对于每次跟踪环境评价，建议包括以下评价重点：</w:t>
      </w:r>
    </w:p>
    <w:p>
      <w:pPr>
        <w:pStyle w:val="6"/>
        <w:ind w:firstLine="480"/>
        <w:rPr>
          <w:rFonts w:hint="eastAsia"/>
        </w:rPr>
      </w:pPr>
      <w:r>
        <w:rPr>
          <w:rFonts w:hint="eastAsia"/>
        </w:rPr>
        <w:t>（1）规划实施的进展情况和工作内容分析。对照规划，分析实际开发内容与时间进度是否与规划一致，存在的主要差异，造成的重大环境影响的主要原因是什么。</w:t>
      </w:r>
    </w:p>
    <w:p>
      <w:pPr>
        <w:pStyle w:val="6"/>
        <w:ind w:firstLine="480"/>
        <w:rPr>
          <w:rFonts w:hint="eastAsia"/>
        </w:rPr>
      </w:pPr>
      <w:r>
        <w:rPr>
          <w:rFonts w:hint="eastAsia"/>
        </w:rPr>
        <w:t>（2）分析规划优化调整建议、环境影响减缓措施、环境管控要求和生态环境准入清单落实情况和执行效果。</w:t>
      </w:r>
    </w:p>
    <w:p>
      <w:pPr>
        <w:pStyle w:val="6"/>
        <w:ind w:firstLine="480"/>
        <w:rPr>
          <w:rFonts w:hint="eastAsia"/>
        </w:rPr>
      </w:pPr>
      <w:r>
        <w:rPr>
          <w:rFonts w:hint="eastAsia"/>
        </w:rPr>
        <w:t>（3）调查资源利用与环境质量，分析和评价不良生态环境影响预防和减缓措施有效性。对出现和有可能出现资源利用与重大环境问题的规划进行调查与现状监测，对规划内各单位进行资源利用的调查并对规划范围内外大气、地表水、地下水、声环境、土壤进行现状监测（含特征污染物），调查与监测评价结论作为规划实施对区域环境质量、生态功能、资源利用等的阶段性综合影响的评判依据，判别环境影响减缓措施和环境管控要求的执行效果。</w:t>
      </w:r>
    </w:p>
    <w:p>
      <w:pPr>
        <w:pStyle w:val="6"/>
        <w:ind w:firstLine="480"/>
        <w:rPr>
          <w:rFonts w:hint="eastAsia"/>
        </w:rPr>
      </w:pPr>
      <w:r>
        <w:rPr>
          <w:rFonts w:hint="eastAsia"/>
        </w:rPr>
        <w:t>（4）针对本次规划，在规划的实施过程中，应严格对该规划项目建设完成后的运行情况和污染物处置及排放情况进行跟踪评价。</w:t>
      </w:r>
    </w:p>
    <w:p>
      <w:pPr>
        <w:pStyle w:val="6"/>
        <w:ind w:firstLine="480"/>
        <w:rPr>
          <w:rFonts w:hint="eastAsia"/>
        </w:rPr>
      </w:pPr>
      <w:r>
        <w:rPr>
          <w:rFonts w:hint="eastAsia"/>
        </w:rPr>
        <w:t>（5）对可能出现的重大环境问题、有毒有害物质对周边暴露人群的健康进行预测评价，给出其影响程度及范围，并提出有针对性对策措施。</w:t>
      </w:r>
    </w:p>
    <w:p>
      <w:pPr>
        <w:pStyle w:val="6"/>
        <w:ind w:firstLine="480"/>
        <w:rPr>
          <w:rFonts w:hint="eastAsia"/>
        </w:rPr>
      </w:pPr>
      <w:r>
        <w:rPr>
          <w:rFonts w:hint="eastAsia"/>
        </w:rPr>
        <w:t>（6）公众意见调查。对规划区域内各层次的公众开展公众意见调查，听取公众对规划开发的实际看法和建议。</w:t>
      </w:r>
    </w:p>
    <w:p>
      <w:pPr>
        <w:pStyle w:val="6"/>
        <w:ind w:firstLine="480"/>
        <w:rPr>
          <w:rFonts w:hint="eastAsia"/>
        </w:rPr>
      </w:pPr>
      <w:r>
        <w:rPr>
          <w:rFonts w:hint="eastAsia"/>
        </w:rPr>
        <w:t>（7）根据跟踪评价结论，提出规划实施调整建议等跟踪评价结论的内容和要求。</w:t>
      </w:r>
    </w:p>
    <w:p>
      <w:pPr>
        <w:pStyle w:val="4"/>
        <w:bidi w:val="0"/>
        <w:rPr>
          <w:rFonts w:hint="eastAsia"/>
        </w:rPr>
      </w:pPr>
      <w:bookmarkStart w:id="237" w:name="_Toc32015"/>
      <w:r>
        <w:rPr>
          <w:rFonts w:hint="eastAsia"/>
          <w:lang w:val="en-US" w:eastAsia="zh-CN"/>
        </w:rPr>
        <w:t>9.3</w:t>
      </w:r>
      <w:r>
        <w:rPr>
          <w:rFonts w:hint="eastAsia"/>
        </w:rPr>
        <w:t>调查方法</w:t>
      </w:r>
      <w:bookmarkEnd w:id="237"/>
    </w:p>
    <w:p>
      <w:pPr>
        <w:pStyle w:val="6"/>
        <w:ind w:firstLine="480"/>
        <w:rPr>
          <w:rFonts w:hint="eastAsia"/>
        </w:rPr>
      </w:pPr>
      <w:r>
        <w:rPr>
          <w:rFonts w:hint="eastAsia"/>
        </w:rPr>
        <w:t>从环境保护与经济发展协调的角度进行系统评价，以规划及规划环评为基础，调查宣威经开区规划执行情况和规划环评执行情况，重点调查环保设施的建设情况和环境管理体系的建设情况。通过收集资料，调查区域污染源的排放情况，区域大气环境质量、地表水环境质量、土壤环境质量的变化趋势，区域总量控制指标的情况。同时分析和评价不良生态环境影响预防和减缓措施有效性和环境管控要求的执行情况。</w:t>
      </w:r>
    </w:p>
    <w:p>
      <w:pPr>
        <w:pStyle w:val="4"/>
        <w:bidi w:val="0"/>
        <w:rPr>
          <w:rFonts w:hint="eastAsia"/>
        </w:rPr>
      </w:pPr>
      <w:bookmarkStart w:id="238" w:name="_Toc985"/>
      <w:r>
        <w:rPr>
          <w:rFonts w:hint="eastAsia"/>
          <w:lang w:val="en-US" w:eastAsia="zh-CN"/>
        </w:rPr>
        <w:t>9.4</w:t>
      </w:r>
      <w:r>
        <w:rPr>
          <w:rFonts w:hint="eastAsia"/>
        </w:rPr>
        <w:t>跟踪评价的时段</w:t>
      </w:r>
      <w:bookmarkEnd w:id="238"/>
    </w:p>
    <w:p>
      <w:pPr>
        <w:pStyle w:val="6"/>
        <w:ind w:firstLine="480"/>
        <w:rPr>
          <w:rFonts w:hint="eastAsia"/>
        </w:rPr>
      </w:pPr>
      <w:r>
        <w:rPr>
          <w:rFonts w:hint="eastAsia"/>
        </w:rPr>
        <w:t>根据</w:t>
      </w:r>
      <w:r>
        <w:rPr>
          <w:rFonts w:hint="eastAsia"/>
          <w:lang w:eastAsia="zh-CN"/>
        </w:rPr>
        <w:t>“</w:t>
      </w:r>
      <w:r>
        <w:rPr>
          <w:rFonts w:hint="eastAsia"/>
        </w:rPr>
        <w:t>林芝市全域旅游发展规划（2018-2025年）</w:t>
      </w:r>
      <w:r>
        <w:rPr>
          <w:rFonts w:hint="eastAsia"/>
          <w:lang w:eastAsia="zh-CN"/>
        </w:rPr>
        <w:t>”</w:t>
      </w:r>
      <w:r>
        <w:rPr>
          <w:rFonts w:hint="eastAsia"/>
        </w:rPr>
        <w:t>规划年限，跟踪评价时段应当和规划时段相一致，根据规划实施进度安排，本次环评介入时</w:t>
      </w:r>
      <w:r>
        <w:rPr>
          <w:rFonts w:hint="eastAsia"/>
          <w:lang w:eastAsia="zh-CN"/>
        </w:rPr>
        <w:t>（</w:t>
      </w:r>
      <w:r>
        <w:rPr>
          <w:rFonts w:hint="eastAsia"/>
          <w:lang w:val="en-US" w:eastAsia="zh-CN"/>
        </w:rPr>
        <w:t>2022年</w:t>
      </w:r>
      <w:r>
        <w:rPr>
          <w:rFonts w:hint="eastAsia"/>
          <w:lang w:eastAsia="zh-CN"/>
        </w:rPr>
        <w:t>）</w:t>
      </w:r>
      <w:r>
        <w:rPr>
          <w:rFonts w:hint="eastAsia"/>
        </w:rPr>
        <w:t>已至规划中期</w:t>
      </w:r>
      <w:r>
        <w:rPr>
          <w:rFonts w:hint="eastAsia"/>
          <w:lang w:eastAsia="zh-CN"/>
        </w:rPr>
        <w:t>（</w:t>
      </w:r>
      <w:r>
        <w:rPr>
          <w:rFonts w:hint="eastAsia"/>
          <w:color w:val="auto"/>
          <w:highlight w:val="none"/>
        </w:rPr>
        <w:t>2021~202</w:t>
      </w:r>
      <w:r>
        <w:rPr>
          <w:rFonts w:hint="eastAsia"/>
          <w:color w:val="auto"/>
          <w:highlight w:val="none"/>
          <w:lang w:val="en-US" w:eastAsia="zh-CN"/>
        </w:rPr>
        <w:t>3</w:t>
      </w:r>
      <w:r>
        <w:rPr>
          <w:rFonts w:hint="eastAsia"/>
        </w:rPr>
        <w:t>年</w:t>
      </w:r>
      <w:r>
        <w:rPr>
          <w:rFonts w:hint="eastAsia"/>
          <w:lang w:eastAsia="zh-CN"/>
        </w:rPr>
        <w:t>）</w:t>
      </w:r>
      <w:r>
        <w:rPr>
          <w:rFonts w:hint="eastAsia"/>
        </w:rPr>
        <w:t>，建议在20</w:t>
      </w:r>
      <w:r>
        <w:rPr>
          <w:rFonts w:hint="eastAsia"/>
          <w:lang w:val="en-US" w:eastAsia="zh-CN"/>
        </w:rPr>
        <w:t>25</w:t>
      </w:r>
      <w:r>
        <w:rPr>
          <w:rFonts w:hint="eastAsia"/>
        </w:rPr>
        <w:t>年年底进行规划实施的近期和长期跟踪评价</w:t>
      </w:r>
    </w:p>
    <w:p>
      <w:pPr>
        <w:pStyle w:val="4"/>
        <w:bidi w:val="0"/>
        <w:rPr>
          <w:rFonts w:hint="eastAsia"/>
        </w:rPr>
      </w:pPr>
      <w:bookmarkStart w:id="239" w:name="_Toc21520"/>
      <w:r>
        <w:rPr>
          <w:rFonts w:hint="eastAsia"/>
          <w:lang w:val="en-US" w:eastAsia="zh-CN"/>
        </w:rPr>
        <w:t>9.5</w:t>
      </w:r>
      <w:r>
        <w:rPr>
          <w:rFonts w:hint="eastAsia"/>
        </w:rPr>
        <w:t>评价内容</w:t>
      </w:r>
      <w:bookmarkEnd w:id="239"/>
    </w:p>
    <w:p>
      <w:pPr>
        <w:pStyle w:val="6"/>
        <w:ind w:firstLine="480"/>
        <w:rPr>
          <w:rFonts w:hint="eastAsia"/>
        </w:rPr>
      </w:pPr>
      <w:r>
        <w:rPr>
          <w:rFonts w:hint="eastAsia"/>
        </w:rPr>
        <w:t>根据跟踪评价的对象，确定规划环境影响跟踪评价内容见下表9-</w:t>
      </w:r>
      <w:r>
        <w:rPr>
          <w:rFonts w:hint="eastAsia"/>
          <w:lang w:val="en-US" w:eastAsia="zh-CN"/>
        </w:rPr>
        <w:t>2</w:t>
      </w:r>
      <w:r>
        <w:rPr>
          <w:rFonts w:hint="eastAsia"/>
        </w:rPr>
        <w:t>。</w:t>
      </w:r>
    </w:p>
    <w:p>
      <w:pPr>
        <w:pStyle w:val="27"/>
        <w:rPr>
          <w:rFonts w:hint="eastAsia"/>
        </w:rPr>
      </w:pPr>
      <w:r>
        <w:rPr>
          <w:rFonts w:hint="eastAsia"/>
        </w:rPr>
        <w:t>表9-</w:t>
      </w:r>
      <w:r>
        <w:rPr>
          <w:rFonts w:hint="eastAsia"/>
          <w:lang w:val="en-US" w:eastAsia="zh-CN"/>
        </w:rPr>
        <w:t>2</w:t>
      </w:r>
      <w:r>
        <w:rPr>
          <w:rFonts w:hint="eastAsia"/>
        </w:rPr>
        <w:t xml:space="preserve">  规划环境影响跟踪评价内容</w:t>
      </w:r>
    </w:p>
    <w:tbl>
      <w:tblPr>
        <w:tblStyle w:val="24"/>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135"/>
        <w:gridCol w:w="1814"/>
        <w:gridCol w:w="5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序号</w:t>
            </w:r>
          </w:p>
        </w:tc>
        <w:tc>
          <w:tcPr>
            <w:tcW w:w="2948" w:type="dxa"/>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主题</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跟踪评价内容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572"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1</w:t>
            </w:r>
          </w:p>
        </w:tc>
        <w:tc>
          <w:tcPr>
            <w:tcW w:w="1135"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规划实施及开发强度对比</w:t>
            </w:r>
          </w:p>
        </w:tc>
        <w:tc>
          <w:tcPr>
            <w:tcW w:w="1814"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规划实施情况</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说明规划实施背景，对比规划并结合图表说明规划已实施的主要内容，包括空间范围、布局、结构与规模等，说明其变化情况、变化原因，并明确规划是否实施完毕。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814"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开发强度对比</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对比规划和规划环评确定的发展目标，说明规划实施过程中支撑性资源（如水资源、土地资源等）和能源的消耗量或利用量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814"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以产业发展为重点的规划，对比规划及规划环评推荐情景，重点说明规划实施过程中主要污染物排放情况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814"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回顾规划实施至开展跟踪评价期间的突发环境事件其发生的原因、采取的应急措施及效果，</w:t>
            </w:r>
            <w:r>
              <w:rPr>
                <w:rFonts w:hint="default"/>
              </w:rPr>
              <w:t xml:space="preserve"> </w:t>
            </w:r>
            <w:r>
              <w:rPr>
                <w:rFonts w:hint="eastAsia"/>
              </w:rPr>
              <w:t>说明规划的生态环境风险防范措施和应急响应体系实施及其变化情况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814"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环境管理要求落实情况</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对比开展规划环评时的各项生态环境保护要求（包括规划、</w:t>
            </w:r>
            <w:r>
              <w:rPr>
                <w:rFonts w:hint="default"/>
              </w:rPr>
              <w:t xml:space="preserve"> </w:t>
            </w:r>
            <w:r>
              <w:rPr>
                <w:rFonts w:hint="eastAsia"/>
              </w:rPr>
              <w:t>规划环评及审查意见的要求），说明规划在落实空间管控、污染防治、生态修复与建设、生态补偿等方面以及区域或流域联防联控等生态环境影响减缓对策和措施的实施情况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814"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对比开展跟踪评价时国家和地方最新的生态环境管理要求，特别是区域</w:t>
            </w:r>
            <w:r>
              <w:rPr>
                <w:rFonts w:hint="default"/>
              </w:rPr>
              <w:t xml:space="preserve"> “</w:t>
            </w:r>
            <w:r>
              <w:rPr>
                <w:rFonts w:hint="eastAsia"/>
              </w:rPr>
              <w:t>三线一单</w:t>
            </w:r>
            <w:r>
              <w:rPr>
                <w:rFonts w:hint="default"/>
              </w:rPr>
              <w:t>”</w:t>
            </w:r>
            <w:r>
              <w:rPr>
                <w:rFonts w:hint="eastAsia"/>
              </w:rPr>
              <w:t>管控要求，分析规划与其的符合性。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814"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说明规划包含的建设项目（包括已建、在建和拟建）</w:t>
            </w:r>
            <w:r>
              <w:rPr>
                <w:rFonts w:hint="default"/>
              </w:rPr>
              <w:t xml:space="preserve"> </w:t>
            </w:r>
            <w:r>
              <w:rPr>
                <w:rFonts w:hint="eastAsia"/>
              </w:rPr>
              <w:t>环境影响评价、</w:t>
            </w:r>
            <w:r>
              <w:rPr>
                <w:rFonts w:hint="default"/>
              </w:rPr>
              <w:t xml:space="preserve"> </w:t>
            </w:r>
            <w:r>
              <w:rPr>
                <w:rFonts w:hint="eastAsia"/>
              </w:rPr>
              <w:t>竣工环保验收、</w:t>
            </w:r>
            <w:r>
              <w:rPr>
                <w:rFonts w:hint="default"/>
              </w:rPr>
              <w:t xml:space="preserve"> </w:t>
            </w:r>
            <w:r>
              <w:rPr>
                <w:rFonts w:hint="eastAsia"/>
              </w:rPr>
              <w:t>排污许可证等制度执行情况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2</w:t>
            </w:r>
          </w:p>
        </w:tc>
        <w:tc>
          <w:tcPr>
            <w:tcW w:w="1135"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区域生态环境演变趋势</w:t>
            </w:r>
          </w:p>
        </w:tc>
        <w:tc>
          <w:tcPr>
            <w:tcW w:w="1814"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生态环境质量变化趋势分析</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环境质量（大气、地表水、地下水、土壤）变化趋势分析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814"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生态系统结构与功能变化趋势分析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814"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资源环境承载力变化分析</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调查区域为保障规划实施提供的支撑性资源（包括水资源、土地资源、海洋资源、岸线资源等）和能源的配置情况。对比实际利用情况，结合区域资源能源利用上线，分析区域、流域资源环境承载力存在的问题及其与规划实施的关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3</w:t>
            </w:r>
          </w:p>
        </w:tc>
        <w:tc>
          <w:tcPr>
            <w:tcW w:w="1135"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公众参与调查</w:t>
            </w:r>
          </w:p>
        </w:tc>
        <w:tc>
          <w:tcPr>
            <w:tcW w:w="7306" w:type="dxa"/>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征求相关部门及专家意见，全面了解区域主要环境问题和制约因素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7306" w:type="dxa"/>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收集规划实施至开展跟踪评价期间，公众对规划产生的环境影响的投诉意见，并分析原因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4</w:t>
            </w:r>
          </w:p>
        </w:tc>
        <w:tc>
          <w:tcPr>
            <w:tcW w:w="1135"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生态环境影响对比评估及对策措施有效性分析</w:t>
            </w:r>
          </w:p>
        </w:tc>
        <w:tc>
          <w:tcPr>
            <w:tcW w:w="1814"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规划已实施部分环境影响对比评估</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以规划实施进度、区域或流域生态环境质量变化趋势以及资源环境承载力变化分析为基础，对比评估规划实际产生的生态环境影响范围、程度和规划环评预测结论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814"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环保措施有效性分析及整改建议</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eastAsia" w:eastAsia="宋体"/>
                <w:lang w:eastAsia="zh-CN"/>
              </w:rPr>
            </w:pPr>
            <w:r>
              <w:rPr>
                <w:rFonts w:hint="eastAsia"/>
              </w:rPr>
              <w:t>如规划已实施部分未按规划、规划环评及审查意见要求，落实预防或减轻不良生态环境影响的对策和措施，或对策和措施不合理，导致区域、流域生态环境质量不能达到要求或生态环境功能降低，则应针对规划已实施部分造成的生态环境影响提出明确的整</w:t>
            </w:r>
          </w:p>
          <w:p>
            <w:pPr>
              <w:pStyle w:val="29"/>
              <w:keepNext w:val="0"/>
              <w:keepLines w:val="0"/>
              <w:suppressLineNumbers w:val="0"/>
              <w:spacing w:before="0" w:beforeAutospacing="0" w:after="0" w:afterAutospacing="0"/>
              <w:ind w:left="0" w:right="0"/>
              <w:rPr>
                <w:rFonts w:hint="default"/>
              </w:rPr>
            </w:pPr>
            <w:r>
              <w:rPr>
                <w:rFonts w:hint="eastAsia"/>
              </w:rPr>
              <w:t>改措施要求。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814"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如因国家或地方提升生态环境管理要求，或区域、流域社会经济发生变化，导致生态环境质量突破底线、生态环境功能降低，则需对规划已实施部分采取的预防或减轻不良生态环境影响的对策和措施提出改进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814"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若规划未按规划方案实施，导致规划、规划环评及审查意见提出的要求无法落实，则需重新提出预防或减轻不良环境影响的对策和措施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5</w:t>
            </w:r>
          </w:p>
        </w:tc>
        <w:tc>
          <w:tcPr>
            <w:tcW w:w="1135"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生态环境管理优化建议</w:t>
            </w:r>
          </w:p>
        </w:tc>
        <w:tc>
          <w:tcPr>
            <w:tcW w:w="1814"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规划后续实施开发强度预测</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结合图表说明规划后续实施的空间范围和布局、发展规模、产业结构、建设时序和配套基础设施依托条件等规划内容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814"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在叠加规划实施区域在建项目的基础上，分情景估算规划后续实施对支撑性资源能源的需求量和主要污染物的产生量、排放量，分析规划实施的生态环境影响范围、程度和生态环境风险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814" w:type="dxa"/>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生态环境影响减缓对策措施和规划优化调整建议</w:t>
            </w: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规划已实施部分采取的生态环境影响减缓对策和措施有效，经对规划后续实施内容的环境影响进行必要的预测分析后，区域、</w:t>
            </w:r>
            <w:r>
              <w:rPr>
                <w:rFonts w:hint="default"/>
              </w:rPr>
              <w:t xml:space="preserve"> </w:t>
            </w:r>
            <w:r>
              <w:rPr>
                <w:rFonts w:hint="eastAsia"/>
              </w:rPr>
              <w:t>流域资源环境基本可接受，</w:t>
            </w:r>
            <w:r>
              <w:rPr>
                <w:rFonts w:hint="default"/>
              </w:rPr>
              <w:t xml:space="preserve"> </w:t>
            </w:r>
            <w:r>
              <w:rPr>
                <w:rFonts w:hint="eastAsia"/>
              </w:rPr>
              <w:t>则从空间布局、污染物排放、环境风险防范、资源能源利用等方面，提出生态环境管控要求和生态环境准入清单，明确不良生态环境影响减缓对策和措施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1814" w:type="dxa"/>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p>
        </w:tc>
        <w:tc>
          <w:tcPr>
            <w:tcW w:w="5492" w:type="dxa"/>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经过综合论证，如规划后续实施内容缺乏环境合理性，特别是存在以下情形的，应提出规划优化调整或修订的建议，并应及时重新开展规划环境影响评价工作</w:t>
            </w:r>
          </w:p>
        </w:tc>
      </w:tr>
    </w:tbl>
    <w:p>
      <w:pPr>
        <w:pStyle w:val="4"/>
        <w:bidi w:val="0"/>
        <w:rPr>
          <w:rFonts w:hint="eastAsia"/>
          <w:lang w:val="en-US" w:eastAsia="zh-CN"/>
        </w:rPr>
      </w:pPr>
      <w:bookmarkStart w:id="240" w:name="_Toc22874"/>
      <w:r>
        <w:rPr>
          <w:rFonts w:hint="eastAsia"/>
          <w:lang w:val="en-US" w:eastAsia="zh-CN"/>
        </w:rPr>
        <w:t>9.6跟踪监测</w:t>
      </w:r>
      <w:bookmarkEnd w:id="240"/>
    </w:p>
    <w:p>
      <w:pPr>
        <w:pStyle w:val="6"/>
        <w:bidi w:val="0"/>
        <w:rPr>
          <w:rFonts w:hint="default"/>
          <w:lang w:val="en-US" w:eastAsia="zh-CN"/>
        </w:rPr>
      </w:pPr>
      <w:r>
        <w:rPr>
          <w:rFonts w:hint="eastAsia"/>
          <w:lang w:val="en-US" w:eastAsia="zh-CN"/>
        </w:rPr>
        <w:t>为验证规划和具体项目实施之后，各项环境减缓措施的有效性，应当对本次环境影响评价的主要结论和措施进行回顾跟踪评价，环境保护措施实施情况进行跟踪、监测和评价，发现问题及时解决。跟踪监测计划见表9-3。</w:t>
      </w:r>
    </w:p>
    <w:p>
      <w:pPr>
        <w:pStyle w:val="27"/>
        <w:bidi w:val="0"/>
      </w:pPr>
      <w:r>
        <w:rPr>
          <w:lang w:val="en-US" w:eastAsia="zh-CN"/>
        </w:rPr>
        <w:t>表</w:t>
      </w:r>
      <w:r>
        <w:rPr>
          <w:rFonts w:hint="eastAsia"/>
          <w:lang w:val="en-US" w:eastAsia="zh-CN"/>
        </w:rPr>
        <w:t xml:space="preserve">9-3 </w:t>
      </w:r>
      <w:r>
        <w:rPr>
          <w:lang w:val="en-US" w:eastAsia="zh-CN"/>
        </w:rPr>
        <w:t xml:space="preserve"> 跟踪监测计划表</w:t>
      </w:r>
    </w:p>
    <w:tbl>
      <w:tblPr>
        <w:tblStyle w:val="24"/>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934"/>
        <w:gridCol w:w="1302"/>
        <w:gridCol w:w="2416"/>
        <w:gridCol w:w="2611"/>
        <w:gridCol w:w="12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5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sz w:val="21"/>
                <w:szCs w:val="21"/>
              </w:rPr>
            </w:pPr>
            <w:r>
              <w:rPr>
                <w:rFonts w:hint="default"/>
                <w:b/>
                <w:bCs/>
                <w:sz w:val="21"/>
                <w:szCs w:val="21"/>
                <w:lang w:val="en-US" w:eastAsia="zh-CN"/>
              </w:rPr>
              <w:t>分类</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sz w:val="21"/>
                <w:szCs w:val="21"/>
              </w:rPr>
            </w:pPr>
            <w:r>
              <w:rPr>
                <w:rFonts w:hint="default"/>
                <w:b/>
                <w:bCs/>
                <w:sz w:val="21"/>
                <w:szCs w:val="21"/>
                <w:lang w:val="en-US" w:eastAsia="zh-CN"/>
              </w:rPr>
              <w:t xml:space="preserve">项目 </w:t>
            </w:r>
          </w:p>
        </w:tc>
        <w:tc>
          <w:tcPr>
            <w:tcW w:w="14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sz w:val="21"/>
                <w:szCs w:val="21"/>
              </w:rPr>
            </w:pPr>
            <w:r>
              <w:rPr>
                <w:rFonts w:hint="default"/>
                <w:b/>
                <w:bCs/>
                <w:sz w:val="21"/>
                <w:szCs w:val="21"/>
                <w:lang w:val="en-US" w:eastAsia="zh-CN"/>
              </w:rPr>
              <w:t xml:space="preserve">点位 </w:t>
            </w:r>
          </w:p>
        </w:tc>
        <w:tc>
          <w:tcPr>
            <w:tcW w:w="153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sz w:val="21"/>
                <w:szCs w:val="21"/>
              </w:rPr>
            </w:pPr>
            <w:r>
              <w:rPr>
                <w:rFonts w:hint="default"/>
                <w:b/>
                <w:bCs/>
                <w:sz w:val="21"/>
                <w:szCs w:val="21"/>
                <w:lang w:val="en-US" w:eastAsia="zh-CN"/>
              </w:rPr>
              <w:t xml:space="preserve">因子 </w:t>
            </w:r>
          </w:p>
        </w:tc>
        <w:tc>
          <w:tcPr>
            <w:tcW w:w="73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bCs/>
                <w:sz w:val="21"/>
                <w:szCs w:val="21"/>
              </w:rPr>
            </w:pPr>
            <w:r>
              <w:rPr>
                <w:rFonts w:hint="default"/>
                <w:b/>
                <w:bCs/>
                <w:sz w:val="21"/>
                <w:szCs w:val="21"/>
                <w:lang w:val="en-US" w:eastAsia="zh-CN"/>
              </w:rPr>
              <w:t>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548" w:type="pc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sz w:val="21"/>
                <w:szCs w:val="21"/>
              </w:rPr>
            </w:pPr>
            <w:r>
              <w:rPr>
                <w:rFonts w:hint="default"/>
                <w:sz w:val="21"/>
                <w:szCs w:val="21"/>
                <w:lang w:val="en-US" w:eastAsia="zh-CN"/>
              </w:rPr>
              <w:t>污染源监测</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sz w:val="21"/>
                <w:szCs w:val="21"/>
              </w:rPr>
            </w:pPr>
            <w:r>
              <w:rPr>
                <w:rFonts w:hint="default"/>
                <w:sz w:val="21"/>
                <w:szCs w:val="21"/>
                <w:lang w:val="en-US" w:eastAsia="zh-CN"/>
              </w:rPr>
              <w:t>废水</w:t>
            </w:r>
          </w:p>
        </w:tc>
        <w:tc>
          <w:tcPr>
            <w:tcW w:w="14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sz w:val="21"/>
                <w:szCs w:val="21"/>
              </w:rPr>
            </w:pPr>
            <w:r>
              <w:rPr>
                <w:rFonts w:hint="eastAsia"/>
                <w:sz w:val="21"/>
                <w:szCs w:val="21"/>
                <w:lang w:val="en-US" w:eastAsia="zh-CN"/>
              </w:rPr>
              <w:t>规划区内</w:t>
            </w:r>
            <w:r>
              <w:rPr>
                <w:rFonts w:hint="default"/>
                <w:sz w:val="21"/>
                <w:szCs w:val="21"/>
                <w:lang w:val="en-US" w:eastAsia="zh-CN"/>
              </w:rPr>
              <w:t>各</w:t>
            </w:r>
            <w:r>
              <w:rPr>
                <w:rFonts w:hint="eastAsia"/>
                <w:sz w:val="21"/>
                <w:szCs w:val="21"/>
                <w:lang w:val="en-US" w:eastAsia="zh-CN"/>
              </w:rPr>
              <w:t>景点及旅游资源</w:t>
            </w:r>
            <w:r>
              <w:rPr>
                <w:rFonts w:hint="default"/>
                <w:sz w:val="21"/>
                <w:szCs w:val="21"/>
                <w:lang w:val="en-US" w:eastAsia="zh-CN"/>
              </w:rPr>
              <w:t>污水处理设施排放口</w:t>
            </w:r>
          </w:p>
        </w:tc>
        <w:tc>
          <w:tcPr>
            <w:tcW w:w="153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sz w:val="21"/>
                <w:szCs w:val="21"/>
              </w:rPr>
            </w:pPr>
            <w:r>
              <w:rPr>
                <w:rFonts w:hint="default"/>
                <w:sz w:val="21"/>
                <w:szCs w:val="21"/>
                <w:lang w:val="en-US" w:eastAsia="zh-CN"/>
              </w:rPr>
              <w:t>pH、SS、CODCr、氨氮，总汞总镉、总铅、总砷、总铬</w:t>
            </w:r>
          </w:p>
        </w:tc>
        <w:tc>
          <w:tcPr>
            <w:tcW w:w="73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sz w:val="21"/>
                <w:szCs w:val="21"/>
              </w:rPr>
            </w:pPr>
            <w:r>
              <w:rPr>
                <w:rFonts w:hint="default"/>
                <w:sz w:val="21"/>
                <w:szCs w:val="21"/>
                <w:lang w:val="en-US" w:eastAsia="zh-CN"/>
              </w:rPr>
              <w:t>每季度一次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548" w:type="pct"/>
            <w:vMerge w:val="restart"/>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eastAsia="宋体"/>
                <w:sz w:val="21"/>
                <w:szCs w:val="21"/>
                <w:lang w:val="en-US" w:eastAsia="zh-CN"/>
              </w:rPr>
            </w:pPr>
            <w:r>
              <w:rPr>
                <w:rFonts w:hint="eastAsia"/>
                <w:sz w:val="21"/>
                <w:szCs w:val="21"/>
                <w:lang w:val="en-US" w:eastAsia="zh-CN"/>
              </w:rPr>
              <w:t>环境质量监测</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声环境</w:t>
            </w:r>
          </w:p>
        </w:tc>
        <w:tc>
          <w:tcPr>
            <w:tcW w:w="14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景区四周</w:t>
            </w:r>
          </w:p>
        </w:tc>
        <w:tc>
          <w:tcPr>
            <w:tcW w:w="153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Leq</w:t>
            </w:r>
          </w:p>
        </w:tc>
        <w:tc>
          <w:tcPr>
            <w:tcW w:w="736"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kern w:val="2"/>
                <w:sz w:val="21"/>
                <w:szCs w:val="21"/>
                <w:lang w:val="en-US" w:eastAsia="zh-CN" w:bidi="ar-SA"/>
              </w:rPr>
            </w:pPr>
            <w:r>
              <w:rPr>
                <w:rFonts w:hint="default"/>
                <w:sz w:val="21"/>
                <w:szCs w:val="21"/>
                <w:lang w:val="en-US" w:eastAsia="zh-CN"/>
              </w:rPr>
              <w:t>每季度一次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548"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eastAsia="宋体"/>
                <w:sz w:val="21"/>
                <w:szCs w:val="21"/>
                <w:lang w:val="en-US" w:eastAsia="zh-CN"/>
              </w:rPr>
            </w:pP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地下水</w:t>
            </w:r>
            <w:r>
              <w:rPr>
                <w:rFonts w:hint="eastAsia"/>
                <w:sz w:val="21"/>
                <w:szCs w:val="21"/>
                <w:lang w:val="en-US" w:eastAsia="zh-CN"/>
              </w:rPr>
              <w:t>环境</w:t>
            </w:r>
          </w:p>
        </w:tc>
        <w:tc>
          <w:tcPr>
            <w:tcW w:w="14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各</w:t>
            </w:r>
            <w:r>
              <w:rPr>
                <w:rFonts w:hint="eastAsia"/>
                <w:sz w:val="21"/>
                <w:szCs w:val="21"/>
                <w:lang w:val="en-US" w:eastAsia="zh-CN"/>
              </w:rPr>
              <w:t>景区及旅游资源区</w:t>
            </w:r>
            <w:r>
              <w:rPr>
                <w:rFonts w:hint="default"/>
                <w:sz w:val="21"/>
                <w:szCs w:val="21"/>
                <w:lang w:val="en-US" w:eastAsia="zh-CN"/>
              </w:rPr>
              <w:t>地下水井，包括各类集中式饮用水源地</w:t>
            </w:r>
          </w:p>
        </w:tc>
        <w:tc>
          <w:tcPr>
            <w:tcW w:w="153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bidi="ar"/>
              </w:rPr>
              <w:t>K</w:t>
            </w:r>
            <w:r>
              <w:rPr>
                <w:rFonts w:hint="default" w:ascii="Times New Roman" w:hAnsi="Times New Roman" w:eastAsia="宋体" w:cs="Times New Roman"/>
                <w:sz w:val="21"/>
                <w:szCs w:val="21"/>
                <w:vertAlign w:val="superscript"/>
                <w:lang w:val="en-US" w:eastAsia="zh-CN" w:bidi="ar"/>
              </w:rPr>
              <w:t>+</w:t>
            </w:r>
            <w:r>
              <w:rPr>
                <w:rFonts w:hint="eastAsia" w:ascii="Times New Roman" w:hAnsi="Times New Roman" w:eastAsia="宋体" w:cs="Times New Roman"/>
                <w:sz w:val="21"/>
                <w:szCs w:val="21"/>
                <w:lang w:val="en-US" w:eastAsia="zh-CN" w:bidi="ar"/>
              </w:rPr>
              <w:t>、</w:t>
            </w:r>
            <w:r>
              <w:rPr>
                <w:rFonts w:hint="default" w:ascii="Times New Roman" w:hAnsi="Times New Roman" w:eastAsia="宋体" w:cs="Times New Roman"/>
                <w:sz w:val="21"/>
                <w:szCs w:val="21"/>
                <w:lang w:val="en-US" w:eastAsia="zh-CN" w:bidi="ar"/>
              </w:rPr>
              <w:t>Na</w:t>
            </w:r>
            <w:r>
              <w:rPr>
                <w:rFonts w:hint="default" w:ascii="Times New Roman" w:hAnsi="Times New Roman" w:eastAsia="宋体" w:cs="Times New Roman"/>
                <w:sz w:val="21"/>
                <w:szCs w:val="21"/>
                <w:vertAlign w:val="superscript"/>
                <w:lang w:val="en-US" w:eastAsia="zh-CN" w:bidi="ar"/>
              </w:rPr>
              <w:t>+</w:t>
            </w:r>
            <w:r>
              <w:rPr>
                <w:rFonts w:hint="eastAsia" w:ascii="Times New Roman" w:hAnsi="Times New Roman" w:eastAsia="宋体" w:cs="Times New Roman"/>
                <w:sz w:val="21"/>
                <w:szCs w:val="21"/>
                <w:lang w:val="en-US" w:eastAsia="zh-CN" w:bidi="ar"/>
              </w:rPr>
              <w:t>、</w:t>
            </w:r>
            <w:r>
              <w:rPr>
                <w:rFonts w:hint="default" w:ascii="Times New Roman" w:hAnsi="Times New Roman" w:eastAsia="宋体" w:cs="Times New Roman"/>
                <w:sz w:val="21"/>
                <w:szCs w:val="21"/>
                <w:lang w:val="en-US" w:eastAsia="zh-CN" w:bidi="ar"/>
              </w:rPr>
              <w:t>Ca</w:t>
            </w:r>
            <w:r>
              <w:rPr>
                <w:rFonts w:hint="default" w:ascii="Times New Roman" w:hAnsi="Times New Roman" w:eastAsia="宋体" w:cs="Times New Roman"/>
                <w:sz w:val="21"/>
                <w:szCs w:val="21"/>
                <w:vertAlign w:val="superscript"/>
                <w:lang w:val="en-US" w:eastAsia="zh-CN" w:bidi="ar"/>
              </w:rPr>
              <w:t>2+</w:t>
            </w:r>
            <w:r>
              <w:rPr>
                <w:rFonts w:hint="eastAsia" w:ascii="Times New Roman" w:hAnsi="Times New Roman" w:eastAsia="宋体" w:cs="Times New Roman"/>
                <w:sz w:val="21"/>
                <w:szCs w:val="21"/>
                <w:lang w:val="en-US" w:eastAsia="zh-CN" w:bidi="ar"/>
              </w:rPr>
              <w:t>、</w:t>
            </w:r>
            <w:r>
              <w:rPr>
                <w:rFonts w:hint="default" w:ascii="Times New Roman" w:hAnsi="Times New Roman" w:eastAsia="宋体" w:cs="Times New Roman"/>
                <w:sz w:val="21"/>
                <w:szCs w:val="21"/>
                <w:lang w:val="en-US" w:eastAsia="zh-CN" w:bidi="ar"/>
              </w:rPr>
              <w:t>Mg</w:t>
            </w:r>
            <w:r>
              <w:rPr>
                <w:rFonts w:hint="default" w:ascii="Times New Roman" w:hAnsi="Times New Roman" w:eastAsia="宋体" w:cs="Times New Roman"/>
                <w:sz w:val="21"/>
                <w:szCs w:val="21"/>
                <w:vertAlign w:val="superscript"/>
                <w:lang w:val="en-US" w:eastAsia="zh-CN" w:bidi="ar"/>
              </w:rPr>
              <w:t>2+</w:t>
            </w:r>
            <w:r>
              <w:rPr>
                <w:rFonts w:hint="eastAsia" w:ascii="Times New Roman" w:hAnsi="Times New Roman" w:eastAsia="宋体" w:cs="Times New Roman"/>
                <w:sz w:val="21"/>
                <w:szCs w:val="21"/>
                <w:lang w:val="en-US" w:eastAsia="zh-CN" w:bidi="ar"/>
              </w:rPr>
              <w:t>、</w:t>
            </w:r>
            <w:r>
              <w:rPr>
                <w:rFonts w:hint="default" w:ascii="Times New Roman" w:hAnsi="Times New Roman" w:eastAsia="宋体" w:cs="Times New Roman"/>
                <w:sz w:val="21"/>
                <w:szCs w:val="21"/>
                <w:lang w:val="en-US" w:eastAsia="zh-CN" w:bidi="ar"/>
              </w:rPr>
              <w:t>CO</w:t>
            </w:r>
            <w:r>
              <w:rPr>
                <w:rFonts w:hint="default" w:ascii="Times New Roman" w:hAnsi="Times New Roman" w:eastAsia="宋体" w:cs="Times New Roman"/>
                <w:sz w:val="21"/>
                <w:szCs w:val="21"/>
                <w:vertAlign w:val="subscript"/>
                <w:lang w:val="en-US" w:eastAsia="zh-CN" w:bidi="ar"/>
              </w:rPr>
              <w:t>3</w:t>
            </w:r>
            <w:r>
              <w:rPr>
                <w:rFonts w:hint="default" w:ascii="Times New Roman" w:hAnsi="Times New Roman" w:eastAsia="宋体" w:cs="Times New Roman"/>
                <w:sz w:val="21"/>
                <w:szCs w:val="21"/>
                <w:vertAlign w:val="superscript"/>
                <w:lang w:val="en-US" w:eastAsia="zh-CN" w:bidi="ar"/>
              </w:rPr>
              <w:t>2-</w:t>
            </w:r>
            <w:r>
              <w:rPr>
                <w:rFonts w:hint="eastAsia" w:ascii="Times New Roman" w:hAnsi="Times New Roman" w:eastAsia="宋体" w:cs="Times New Roman"/>
                <w:sz w:val="21"/>
                <w:szCs w:val="21"/>
                <w:lang w:val="en-US" w:eastAsia="zh-CN" w:bidi="ar"/>
              </w:rPr>
              <w:t>、</w:t>
            </w:r>
            <w:r>
              <w:rPr>
                <w:rFonts w:hint="default" w:ascii="Times New Roman" w:hAnsi="Times New Roman" w:eastAsia="宋体" w:cs="Times New Roman"/>
                <w:sz w:val="21"/>
                <w:szCs w:val="21"/>
                <w:lang w:val="en-US" w:eastAsia="zh-CN" w:bidi="ar"/>
              </w:rPr>
              <w:t>HCO</w:t>
            </w:r>
            <w:r>
              <w:rPr>
                <w:rFonts w:hint="default" w:ascii="Times New Roman" w:hAnsi="Times New Roman" w:eastAsia="宋体" w:cs="Times New Roman"/>
                <w:sz w:val="21"/>
                <w:szCs w:val="21"/>
                <w:vertAlign w:val="superscript"/>
                <w:lang w:val="en-US" w:eastAsia="zh-CN" w:bidi="ar"/>
              </w:rPr>
              <w:t>3-</w:t>
            </w:r>
            <w:r>
              <w:rPr>
                <w:rFonts w:hint="eastAsia" w:ascii="Times New Roman" w:hAnsi="Times New Roman" w:eastAsia="宋体" w:cs="Times New Roman"/>
                <w:sz w:val="21"/>
                <w:szCs w:val="21"/>
                <w:lang w:val="en-US" w:eastAsia="zh-CN" w:bidi="ar"/>
              </w:rPr>
              <w:t>、</w:t>
            </w:r>
            <w:r>
              <w:rPr>
                <w:rFonts w:hint="default" w:ascii="Times New Roman" w:hAnsi="Times New Roman" w:eastAsia="宋体" w:cs="Times New Roman"/>
                <w:sz w:val="21"/>
                <w:szCs w:val="21"/>
                <w:lang w:val="en-US" w:eastAsia="zh-CN" w:bidi="ar"/>
              </w:rPr>
              <w:t>Cl</w:t>
            </w:r>
            <w:r>
              <w:rPr>
                <w:rFonts w:hint="default" w:ascii="Times New Roman" w:hAnsi="Times New Roman" w:eastAsia="宋体" w:cs="Times New Roman"/>
                <w:sz w:val="21"/>
                <w:szCs w:val="21"/>
                <w:vertAlign w:val="superscript"/>
                <w:lang w:val="en-US" w:eastAsia="zh-CN" w:bidi="ar"/>
              </w:rPr>
              <w:t>-</w:t>
            </w:r>
            <w:r>
              <w:rPr>
                <w:rFonts w:hint="eastAsia" w:ascii="Times New Roman" w:hAnsi="Times New Roman" w:eastAsia="宋体" w:cs="Times New Roman"/>
                <w:sz w:val="21"/>
                <w:szCs w:val="21"/>
                <w:lang w:val="en-US" w:eastAsia="zh-CN" w:bidi="ar"/>
              </w:rPr>
              <w:t>、</w:t>
            </w:r>
            <w:r>
              <w:rPr>
                <w:rFonts w:hint="default" w:ascii="Times New Roman" w:hAnsi="Times New Roman" w:eastAsia="宋体" w:cs="Times New Roman"/>
                <w:sz w:val="21"/>
                <w:szCs w:val="21"/>
                <w:lang w:val="en-US" w:eastAsia="zh-CN" w:bidi="ar"/>
              </w:rPr>
              <w:t>SO4</w:t>
            </w:r>
            <w:r>
              <w:rPr>
                <w:rFonts w:hint="default" w:ascii="Times New Roman" w:hAnsi="Times New Roman" w:eastAsia="宋体" w:cs="Times New Roman"/>
                <w:sz w:val="21"/>
                <w:szCs w:val="21"/>
                <w:vertAlign w:val="superscript"/>
                <w:lang w:val="en-US" w:eastAsia="zh-CN" w:bidi="ar"/>
              </w:rPr>
              <w:t>2-</w:t>
            </w:r>
            <w:r>
              <w:rPr>
                <w:rFonts w:hint="eastAsia" w:ascii="Times New Roman" w:hAnsi="Times New Roman" w:eastAsia="宋体" w:cs="Times New Roman"/>
                <w:sz w:val="21"/>
                <w:szCs w:val="21"/>
                <w:vertAlign w:val="baseline"/>
                <w:lang w:val="en-US" w:eastAsia="zh-CN" w:bidi="ar"/>
              </w:rPr>
              <w:t>、</w:t>
            </w:r>
            <w:r>
              <w:rPr>
                <w:rFonts w:hint="default" w:ascii="Times New Roman" w:hAnsi="Times New Roman" w:eastAsia="宋体" w:cs="Times New Roman"/>
                <w:sz w:val="21"/>
                <w:szCs w:val="21"/>
                <w:lang w:val="en-US" w:eastAsia="zh-CN" w:bidi="ar"/>
              </w:rPr>
              <w:t>pH</w:t>
            </w:r>
            <w:r>
              <w:rPr>
                <w:rFonts w:hint="eastAsia" w:ascii="Times New Roman" w:hAnsi="Times New Roman" w:eastAsia="宋体" w:cs="Times New Roman"/>
                <w:sz w:val="21"/>
                <w:szCs w:val="21"/>
                <w:lang w:val="en-US" w:eastAsia="zh-CN" w:bidi="ar"/>
              </w:rPr>
              <w:t>值、氨氮、耗氧量、硝酸盐、亚硝酸盐、挥发性酚类、氰化物、砷、汞、铬（六价）、总硬度、铅、氟化物、镉、铁、锰、溶解性总固体、高锰酸盐指数、硫酸盐、氯化物、总大肠菌群、菌落总数；</w:t>
            </w:r>
          </w:p>
        </w:tc>
        <w:tc>
          <w:tcPr>
            <w:tcW w:w="736"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kern w:val="2"/>
                <w:sz w:val="21"/>
                <w:szCs w:val="21"/>
                <w:lang w:val="en-US" w:eastAsia="zh-CN" w:bidi="ar-SA"/>
              </w:rPr>
            </w:pPr>
            <w:r>
              <w:rPr>
                <w:rFonts w:hint="default"/>
                <w:sz w:val="21"/>
                <w:szCs w:val="21"/>
                <w:lang w:val="en-US" w:eastAsia="zh-CN"/>
              </w:rPr>
              <w:t>丰水期、枯水期各一次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548"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sz w:val="21"/>
                <w:szCs w:val="21"/>
                <w:lang w:val="en-US" w:eastAsia="zh-CN"/>
              </w:rPr>
            </w:pP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sz w:val="21"/>
                <w:szCs w:val="21"/>
                <w:lang w:val="en-US" w:eastAsia="zh-CN"/>
              </w:rPr>
            </w:pPr>
            <w:r>
              <w:rPr>
                <w:rFonts w:hint="eastAsia"/>
                <w:sz w:val="21"/>
                <w:szCs w:val="21"/>
                <w:lang w:val="en-US" w:eastAsia="zh-CN"/>
              </w:rPr>
              <w:t>地表水环境</w:t>
            </w:r>
          </w:p>
        </w:tc>
        <w:tc>
          <w:tcPr>
            <w:tcW w:w="14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sz w:val="21"/>
                <w:szCs w:val="21"/>
                <w:highlight w:val="yellow"/>
                <w:lang w:val="en-US" w:eastAsia="zh-CN"/>
              </w:rPr>
            </w:pPr>
            <w:r>
              <w:rPr>
                <w:rFonts w:hint="eastAsia"/>
                <w:sz w:val="21"/>
                <w:szCs w:val="21"/>
                <w:highlight w:val="none"/>
                <w:lang w:val="en-US" w:eastAsia="zh-CN"/>
              </w:rPr>
              <w:t>涉及景区的相关河流、湖泊等自然水体，除林芝市20个常规地表水监测断面外，其余每条河流、湖泊至少布设一个监测断面，具体监测断面位置根据各景区实际建设情况进行布设</w:t>
            </w:r>
          </w:p>
        </w:tc>
        <w:tc>
          <w:tcPr>
            <w:tcW w:w="153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sz w:val="21"/>
                <w:szCs w:val="21"/>
                <w:highlight w:val="none"/>
                <w:lang w:val="en-US" w:eastAsia="zh-CN" w:bidi="ar"/>
              </w:rPr>
            </w:pPr>
            <w:r>
              <w:rPr>
                <w:rFonts w:hint="default"/>
              </w:rPr>
              <w:t>pH、化学需氧量、高锰酸盐指数、五日生化需氧量、氨氮、总氮、总磷、阴离子表面活性剂、粪大肠菌群</w:t>
            </w:r>
          </w:p>
        </w:tc>
        <w:tc>
          <w:tcPr>
            <w:tcW w:w="736" w:type="pct"/>
            <w:shd w:val="clear" w:color="auto" w:fill="auto"/>
            <w:vAlign w:val="center"/>
          </w:tcPr>
          <w:p>
            <w:pPr>
              <w:pStyle w:val="29"/>
              <w:keepNext w:val="0"/>
              <w:keepLines w:val="0"/>
              <w:suppressLineNumbers w:val="0"/>
              <w:bidi w:val="0"/>
              <w:spacing w:before="0" w:beforeAutospacing="0" w:after="0" w:afterAutospacing="0"/>
              <w:ind w:left="0" w:right="0"/>
              <w:rPr>
                <w:rFonts w:hint="default"/>
                <w:sz w:val="21"/>
                <w:szCs w:val="21"/>
                <w:highlight w:val="none"/>
                <w:lang w:val="en-US" w:eastAsia="zh-CN"/>
              </w:rPr>
            </w:pPr>
            <w:r>
              <w:rPr>
                <w:rFonts w:hint="default"/>
                <w:sz w:val="21"/>
                <w:szCs w:val="21"/>
                <w:highlight w:val="none"/>
                <w:lang w:val="en-US" w:eastAsia="zh-CN"/>
              </w:rPr>
              <w:t>每</w:t>
            </w:r>
            <w:r>
              <w:rPr>
                <w:rFonts w:hint="eastAsia"/>
                <w:sz w:val="21"/>
                <w:szCs w:val="21"/>
                <w:highlight w:val="none"/>
                <w:lang w:val="en-US" w:eastAsia="zh-CN"/>
              </w:rPr>
              <w:t>半年</w:t>
            </w:r>
            <w:r>
              <w:rPr>
                <w:rFonts w:hint="default"/>
                <w:sz w:val="21"/>
                <w:szCs w:val="21"/>
                <w:highlight w:val="none"/>
                <w:lang w:val="en-US" w:eastAsia="zh-CN"/>
              </w:rPr>
              <w:t>一次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548"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sz w:val="21"/>
                <w:szCs w:val="21"/>
              </w:rPr>
            </w:pPr>
            <w:r>
              <w:rPr>
                <w:rFonts w:hint="default"/>
                <w:sz w:val="21"/>
                <w:szCs w:val="21"/>
                <w:lang w:val="en-US" w:eastAsia="zh-CN"/>
              </w:rPr>
              <w:t>生态影响评估</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sz w:val="21"/>
                <w:szCs w:val="21"/>
              </w:rPr>
            </w:pPr>
            <w:r>
              <w:rPr>
                <w:rFonts w:hint="default"/>
                <w:sz w:val="21"/>
                <w:szCs w:val="21"/>
                <w:lang w:val="en-US" w:eastAsia="zh-CN"/>
              </w:rPr>
              <w:t>森林覆盖率</w:t>
            </w:r>
          </w:p>
        </w:tc>
        <w:tc>
          <w:tcPr>
            <w:tcW w:w="14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sz w:val="21"/>
                <w:szCs w:val="21"/>
              </w:rPr>
            </w:pPr>
            <w:r>
              <w:rPr>
                <w:rFonts w:hint="eastAsia"/>
                <w:sz w:val="21"/>
                <w:szCs w:val="21"/>
                <w:lang w:val="en-US" w:eastAsia="zh-CN"/>
              </w:rPr>
              <w:t>规划范围</w:t>
            </w:r>
            <w:r>
              <w:rPr>
                <w:rFonts w:hint="default"/>
                <w:sz w:val="21"/>
                <w:szCs w:val="21"/>
                <w:lang w:val="en-US" w:eastAsia="zh-CN"/>
              </w:rPr>
              <w:t xml:space="preserve">全范围统计 </w:t>
            </w:r>
          </w:p>
        </w:tc>
        <w:tc>
          <w:tcPr>
            <w:tcW w:w="153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sz w:val="21"/>
                <w:szCs w:val="21"/>
              </w:rPr>
            </w:pPr>
            <w:r>
              <w:rPr>
                <w:rFonts w:hint="eastAsia"/>
                <w:sz w:val="21"/>
                <w:szCs w:val="21"/>
                <w:lang w:val="en-US" w:eastAsia="zh-CN"/>
              </w:rPr>
              <w:t>全市</w:t>
            </w:r>
            <w:r>
              <w:rPr>
                <w:rFonts w:hint="default"/>
                <w:sz w:val="21"/>
                <w:szCs w:val="21"/>
                <w:lang w:val="en-US" w:eastAsia="zh-CN"/>
              </w:rPr>
              <w:t>森林面积</w:t>
            </w:r>
          </w:p>
        </w:tc>
        <w:tc>
          <w:tcPr>
            <w:tcW w:w="736" w:type="pct"/>
            <w:vMerge w:val="restart"/>
            <w:tcBorders>
              <w:top w:val="single" w:color="auto" w:sz="4" w:space="0"/>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sz w:val="21"/>
                <w:szCs w:val="21"/>
              </w:rPr>
            </w:pPr>
            <w:r>
              <w:rPr>
                <w:rFonts w:hint="default"/>
                <w:sz w:val="21"/>
                <w:szCs w:val="21"/>
                <w:lang w:val="en-US" w:eastAsia="zh-CN"/>
              </w:rPr>
              <w:t>每3年统计评价一次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548" w:type="pct"/>
            <w:vMerge w:val="continue"/>
            <w:tcBorders>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sz w:val="21"/>
                <w:szCs w:val="21"/>
              </w:rPr>
            </w:pP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建成区绿化率</w:t>
            </w:r>
          </w:p>
        </w:tc>
        <w:tc>
          <w:tcPr>
            <w:tcW w:w="141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规划范围</w:t>
            </w:r>
            <w:r>
              <w:rPr>
                <w:rFonts w:hint="default"/>
                <w:sz w:val="21"/>
                <w:szCs w:val="21"/>
                <w:lang w:val="en-US" w:eastAsia="zh-CN"/>
              </w:rPr>
              <w:t>全范围统计</w:t>
            </w:r>
          </w:p>
        </w:tc>
        <w:tc>
          <w:tcPr>
            <w:tcW w:w="1532" w:type="pct"/>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kern w:val="2"/>
                <w:sz w:val="21"/>
                <w:szCs w:val="21"/>
                <w:lang w:val="en-US" w:eastAsia="zh-CN" w:bidi="ar-SA"/>
              </w:rPr>
            </w:pPr>
            <w:r>
              <w:rPr>
                <w:rFonts w:hint="default"/>
                <w:sz w:val="21"/>
                <w:szCs w:val="21"/>
                <w:lang w:val="en-US" w:eastAsia="zh-CN"/>
              </w:rPr>
              <w:t>建成区绿地面积</w:t>
            </w:r>
          </w:p>
        </w:tc>
        <w:tc>
          <w:tcPr>
            <w:tcW w:w="736" w:type="pct"/>
            <w:vMerge w:val="continue"/>
            <w:tcBorders>
              <w:left w:val="single" w:color="auto" w:sz="4" w:space="0"/>
              <w:right w:val="single" w:color="auto" w:sz="4" w:space="0"/>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sz w:val="21"/>
                <w:szCs w:val="21"/>
              </w:rPr>
            </w:pPr>
          </w:p>
        </w:tc>
      </w:tr>
    </w:tbl>
    <w:p>
      <w:pPr>
        <w:pStyle w:val="4"/>
        <w:bidi w:val="0"/>
      </w:pPr>
      <w:bookmarkStart w:id="241" w:name="_Toc1667"/>
      <w:bookmarkStart w:id="242" w:name="_Toc93156075"/>
      <w:bookmarkStart w:id="243" w:name="_Toc15514"/>
      <w:r>
        <w:rPr>
          <w:rFonts w:hint="eastAsia"/>
          <w:lang w:val="en-US" w:eastAsia="zh-CN"/>
        </w:rPr>
        <w:t>9.7</w:t>
      </w:r>
      <w:r>
        <w:t>保障措施</w:t>
      </w:r>
      <w:bookmarkEnd w:id="241"/>
      <w:bookmarkEnd w:id="242"/>
      <w:bookmarkEnd w:id="243"/>
    </w:p>
    <w:p>
      <w:pPr>
        <w:pStyle w:val="6"/>
        <w:ind w:firstLine="480"/>
      </w:pPr>
      <w:bookmarkStart w:id="244" w:name="_Toc93156076"/>
      <w:bookmarkStart w:id="245" w:name="_Toc2621"/>
      <w:r>
        <w:rPr>
          <w:rFonts w:hint="eastAsia"/>
        </w:rPr>
        <w:t>（1）</w:t>
      </w:r>
      <w:r>
        <w:t>跟踪影响评价机构设置及任务定位</w:t>
      </w:r>
      <w:bookmarkEnd w:id="244"/>
      <w:bookmarkEnd w:id="245"/>
    </w:p>
    <w:p>
      <w:pPr>
        <w:pStyle w:val="6"/>
        <w:ind w:firstLine="480"/>
      </w:pPr>
      <w:r>
        <w:t>规划编制单位应成立跟踪评价领导小组，统一指导规划实施期间跟踪评价工作。</w:t>
      </w:r>
    </w:p>
    <w:p>
      <w:pPr>
        <w:pStyle w:val="6"/>
        <w:ind w:firstLine="480"/>
      </w:pPr>
      <w:r>
        <w:t>组长：由编制单位主要领导担任组长，总体部署规划实施过程中的环境影响跟踪评价工作，对总体跟踪评价内容负责；</w:t>
      </w:r>
    </w:p>
    <w:p>
      <w:pPr>
        <w:pStyle w:val="6"/>
        <w:ind w:firstLine="480"/>
      </w:pPr>
      <w:r>
        <w:t>组员：组长指派分管领导及部门，确定领导小组成员以及跟踪评价机构组成，明确各自职责。跟踪评价机构各部门分别承担规划实施过程的监督调查、意见反馈、规划调整修改等工作，并向领导小组汇报评价结果，并对评价结果负责；</w:t>
      </w:r>
    </w:p>
    <w:p>
      <w:pPr>
        <w:pStyle w:val="6"/>
        <w:ind w:firstLine="480"/>
      </w:pPr>
      <w:r>
        <w:t>评价部门：委托或自行组织，承担跟踪评价计划、评价指标的制定，开展调查及跟踪监测工作，并最终提出跟踪评价书面总结材料。</w:t>
      </w:r>
    </w:p>
    <w:p>
      <w:pPr>
        <w:pStyle w:val="6"/>
        <w:ind w:firstLine="480"/>
      </w:pPr>
      <w:r>
        <w:t>跟踪影响评价工作全过程由</w:t>
      </w:r>
      <w:r>
        <w:rPr>
          <w:rFonts w:hint="eastAsia"/>
        </w:rPr>
        <w:t>林芝市</w:t>
      </w:r>
      <w:r>
        <w:t>环境保护管理部门进行监督，县区环境保护管理部门配合执行。</w:t>
      </w:r>
    </w:p>
    <w:p>
      <w:pPr>
        <w:pStyle w:val="6"/>
        <w:ind w:firstLine="480"/>
      </w:pPr>
      <w:bookmarkStart w:id="246" w:name="_Toc93156077"/>
      <w:bookmarkStart w:id="247" w:name="_Toc11356"/>
      <w:r>
        <w:rPr>
          <w:rFonts w:hint="eastAsia"/>
        </w:rPr>
        <w:t>（2）</w:t>
      </w:r>
      <w:r>
        <w:t>跟踪评价技术保障</w:t>
      </w:r>
      <w:bookmarkEnd w:id="246"/>
      <w:bookmarkEnd w:id="247"/>
    </w:p>
    <w:p>
      <w:pPr>
        <w:pStyle w:val="6"/>
        <w:ind w:firstLine="480"/>
      </w:pPr>
      <w:r>
        <w:t>必要时应委托地方环境监测、监察部门，协助对规划涉及的企业、行业开展污染物采样、检测、分析等工作，同时对评价范围水体、环境空气、噪声、土壤等环境现状的监测及变化分析。</w:t>
      </w:r>
    </w:p>
    <w:p>
      <w:pPr>
        <w:pStyle w:val="6"/>
        <w:ind w:firstLine="480"/>
        <w:rPr>
          <w:rFonts w:hint="eastAsia"/>
        </w:rPr>
      </w:pPr>
    </w:p>
    <w:p>
      <w:pPr>
        <w:pStyle w:val="6"/>
        <w:ind w:firstLine="480"/>
        <w:rPr>
          <w:rFonts w:hint="eastAsia"/>
        </w:rPr>
      </w:pPr>
    </w:p>
    <w:p>
      <w:pPr>
        <w:pStyle w:val="6"/>
        <w:ind w:firstLine="480"/>
        <w:rPr>
          <w:rFonts w:hint="eastAsia"/>
        </w:rPr>
      </w:pPr>
    </w:p>
    <w:p>
      <w:pPr>
        <w:spacing w:line="360" w:lineRule="auto"/>
        <w:ind w:firstLine="560" w:firstLineChars="200"/>
        <w:rPr>
          <w:rFonts w:ascii="Times New Roman" w:hAnsi="Times New Roman" w:eastAsia="宋体" w:cs="Times New Roman"/>
          <w:color w:val="auto"/>
          <w:sz w:val="28"/>
          <w:szCs w:val="28"/>
          <w:highlight w:val="none"/>
        </w:rPr>
      </w:pPr>
    </w:p>
    <w:p>
      <w:pPr>
        <w:spacing w:line="360" w:lineRule="auto"/>
        <w:ind w:firstLine="560" w:firstLineChars="200"/>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br w:type="page"/>
      </w:r>
    </w:p>
    <w:p>
      <w:pPr>
        <w:pStyle w:val="3"/>
        <w:bidi w:val="0"/>
        <w:rPr>
          <w:rFonts w:hint="eastAsia"/>
          <w:b/>
          <w:bCs w:val="0"/>
          <w:color w:val="auto"/>
          <w:highlight w:val="none"/>
        </w:rPr>
      </w:pPr>
      <w:bookmarkStart w:id="248" w:name="_Toc31407"/>
      <w:bookmarkStart w:id="249" w:name="_Toc93156079"/>
      <w:r>
        <w:rPr>
          <w:rFonts w:hint="eastAsia"/>
          <w:b/>
          <w:bCs w:val="0"/>
          <w:color w:val="auto"/>
          <w:highlight w:val="none"/>
        </w:rPr>
        <w:t>10公众参与</w:t>
      </w:r>
      <w:bookmarkEnd w:id="248"/>
      <w:bookmarkEnd w:id="249"/>
    </w:p>
    <w:p>
      <w:pPr>
        <w:pStyle w:val="4"/>
        <w:bidi w:val="0"/>
        <w:rPr>
          <w:highlight w:val="none"/>
        </w:rPr>
      </w:pPr>
      <w:bookmarkStart w:id="250" w:name="_Toc24747"/>
      <w:bookmarkStart w:id="251" w:name="_Toc1379"/>
      <w:r>
        <w:rPr>
          <w:rFonts w:hint="eastAsia"/>
          <w:highlight w:val="none"/>
        </w:rPr>
        <w:t>1</w:t>
      </w:r>
      <w:r>
        <w:rPr>
          <w:highlight w:val="none"/>
        </w:rPr>
        <w:t>0</w:t>
      </w:r>
      <w:r>
        <w:rPr>
          <w:rFonts w:hint="eastAsia"/>
          <w:highlight w:val="none"/>
        </w:rPr>
        <w:t>.1公众参与概述</w:t>
      </w:r>
      <w:bookmarkEnd w:id="250"/>
      <w:bookmarkEnd w:id="251"/>
    </w:p>
    <w:p>
      <w:pPr>
        <w:pStyle w:val="6"/>
        <w:bidi w:val="0"/>
        <w:rPr>
          <w:highlight w:val="none"/>
        </w:rPr>
      </w:pPr>
      <w:r>
        <w:rPr>
          <w:rFonts w:hint="eastAsia"/>
          <w:highlight w:val="none"/>
        </w:rPr>
        <w:t>按照《中华人民共和国环境影响评价法》、《规划环境影响评价条例》、《环境影响评价公众参与办法》（生态环境部令第4号）相关要求，充分保障公众环境保护知情权、参与权、表达权和监督权，在规划确定环境影响评价单位7个工作日内于202</w:t>
      </w:r>
      <w:r>
        <w:rPr>
          <w:highlight w:val="none"/>
        </w:rPr>
        <w:t>2</w:t>
      </w:r>
      <w:r>
        <w:rPr>
          <w:rFonts w:hint="eastAsia"/>
          <w:highlight w:val="none"/>
        </w:rPr>
        <w:t>年</w:t>
      </w:r>
      <w:r>
        <w:rPr>
          <w:highlight w:val="none"/>
        </w:rPr>
        <w:t>3</w:t>
      </w:r>
      <w:r>
        <w:rPr>
          <w:rFonts w:hint="eastAsia"/>
          <w:highlight w:val="none"/>
        </w:rPr>
        <w:t>月2</w:t>
      </w:r>
      <w:r>
        <w:rPr>
          <w:highlight w:val="none"/>
        </w:rPr>
        <w:t>9</w:t>
      </w:r>
      <w:r>
        <w:rPr>
          <w:rFonts w:hint="eastAsia"/>
          <w:highlight w:val="none"/>
        </w:rPr>
        <w:t>日至202</w:t>
      </w:r>
      <w:r>
        <w:rPr>
          <w:highlight w:val="none"/>
        </w:rPr>
        <w:t>2</w:t>
      </w:r>
      <w:r>
        <w:rPr>
          <w:rFonts w:hint="eastAsia"/>
          <w:highlight w:val="none"/>
        </w:rPr>
        <w:t>年</w:t>
      </w:r>
      <w:r>
        <w:rPr>
          <w:highlight w:val="none"/>
        </w:rPr>
        <w:t>4</w:t>
      </w:r>
      <w:r>
        <w:rPr>
          <w:rFonts w:hint="eastAsia"/>
          <w:highlight w:val="none"/>
        </w:rPr>
        <w:t>月1</w:t>
      </w:r>
      <w:r>
        <w:rPr>
          <w:highlight w:val="none"/>
        </w:rPr>
        <w:t>1</w:t>
      </w:r>
      <w:r>
        <w:rPr>
          <w:rFonts w:hint="eastAsia"/>
          <w:highlight w:val="none"/>
        </w:rPr>
        <w:t>日期间对《林芝市全域旅游发展规划（2018-2025）》环境影响评价信息在林芝市旅游发展局官方网站网站进行了第一次信息公开公示，第一次公示期间，未收到公众反馈意见；2022年</w:t>
      </w:r>
      <w:r>
        <w:rPr>
          <w:highlight w:val="none"/>
        </w:rPr>
        <w:t>7</w:t>
      </w:r>
      <w:r>
        <w:rPr>
          <w:rFonts w:hint="eastAsia"/>
          <w:highlight w:val="none"/>
        </w:rPr>
        <w:t>月，环评单位完成了《林芝市全域旅游发展规划（2018</w:t>
      </w:r>
      <w:r>
        <w:rPr>
          <w:rFonts w:hint="eastAsia"/>
          <w:highlight w:val="none"/>
          <w:lang w:val="en-US" w:eastAsia="zh-CN"/>
        </w:rPr>
        <w:t>~</w:t>
      </w:r>
      <w:r>
        <w:rPr>
          <w:rFonts w:hint="eastAsia"/>
          <w:highlight w:val="none"/>
        </w:rPr>
        <w:t>2025）环境影响评价报告书》（征求意见稿），2022年</w:t>
      </w:r>
      <w:r>
        <w:rPr>
          <w:highlight w:val="none"/>
        </w:rPr>
        <w:t>7</w:t>
      </w:r>
      <w:r>
        <w:rPr>
          <w:rFonts w:hint="eastAsia"/>
          <w:highlight w:val="none"/>
        </w:rPr>
        <w:t>月</w:t>
      </w:r>
      <w:r>
        <w:rPr>
          <w:highlight w:val="none"/>
        </w:rPr>
        <w:t>6</w:t>
      </w:r>
      <w:r>
        <w:rPr>
          <w:rFonts w:hint="eastAsia"/>
          <w:highlight w:val="none"/>
        </w:rPr>
        <w:t>日在林芝市旅游发展局和巴松措景区大门进行了公示张贴，并于2022年</w:t>
      </w:r>
      <w:r>
        <w:rPr>
          <w:highlight w:val="none"/>
        </w:rPr>
        <w:t>7</w:t>
      </w:r>
      <w:r>
        <w:rPr>
          <w:rFonts w:hint="eastAsia"/>
          <w:highlight w:val="none"/>
        </w:rPr>
        <w:t>月</w:t>
      </w:r>
      <w:r>
        <w:rPr>
          <w:highlight w:val="none"/>
        </w:rPr>
        <w:t>12</w:t>
      </w:r>
      <w:r>
        <w:rPr>
          <w:rFonts w:hint="eastAsia"/>
          <w:highlight w:val="none"/>
        </w:rPr>
        <w:t>日、</w:t>
      </w:r>
      <w:r>
        <w:rPr>
          <w:highlight w:val="none"/>
        </w:rPr>
        <w:t>7</w:t>
      </w:r>
      <w:r>
        <w:rPr>
          <w:rFonts w:hint="eastAsia"/>
          <w:highlight w:val="none"/>
        </w:rPr>
        <w:t>月1</w:t>
      </w:r>
      <w:r>
        <w:rPr>
          <w:highlight w:val="none"/>
        </w:rPr>
        <w:t>5</w:t>
      </w:r>
      <w:r>
        <w:rPr>
          <w:rFonts w:hint="eastAsia"/>
          <w:highlight w:val="none"/>
        </w:rPr>
        <w:t>日分两次在林芝报对征求意见稿进行了公示（第二次公示），与此同时于2</w:t>
      </w:r>
      <w:r>
        <w:rPr>
          <w:highlight w:val="none"/>
        </w:rPr>
        <w:t>022</w:t>
      </w:r>
      <w:r>
        <w:rPr>
          <w:rFonts w:hint="eastAsia"/>
          <w:highlight w:val="none"/>
        </w:rPr>
        <w:t>年8月</w:t>
      </w:r>
      <w:r>
        <w:rPr>
          <w:highlight w:val="none"/>
        </w:rPr>
        <w:t>4</w:t>
      </w:r>
      <w:r>
        <w:rPr>
          <w:rFonts w:hint="eastAsia"/>
          <w:highlight w:val="none"/>
        </w:rPr>
        <w:t>日在林芝市旅游发展局官网上进行了征求意见稿的网络公示。在第二次公示期间未收到公众的反馈意见。</w:t>
      </w:r>
    </w:p>
    <w:p>
      <w:pPr>
        <w:pStyle w:val="4"/>
        <w:bidi w:val="0"/>
        <w:rPr>
          <w:highlight w:val="none"/>
        </w:rPr>
      </w:pPr>
      <w:bookmarkStart w:id="252" w:name="_Toc24862"/>
      <w:bookmarkStart w:id="253" w:name="_Toc17999"/>
      <w:r>
        <w:rPr>
          <w:rFonts w:hint="eastAsia"/>
          <w:highlight w:val="none"/>
        </w:rPr>
        <w:t>1</w:t>
      </w:r>
      <w:r>
        <w:rPr>
          <w:highlight w:val="none"/>
        </w:rPr>
        <w:t>0</w:t>
      </w:r>
      <w:r>
        <w:rPr>
          <w:rFonts w:hint="eastAsia"/>
          <w:highlight w:val="none"/>
        </w:rPr>
        <w:t>.2第一次环境影响评价信息公开情况</w:t>
      </w:r>
      <w:bookmarkEnd w:id="252"/>
      <w:bookmarkEnd w:id="253"/>
    </w:p>
    <w:p>
      <w:pPr>
        <w:pStyle w:val="5"/>
        <w:bidi w:val="0"/>
        <w:rPr>
          <w:highlight w:val="none"/>
        </w:rPr>
      </w:pPr>
      <w:bookmarkStart w:id="254" w:name="_Toc14936"/>
      <w:r>
        <w:rPr>
          <w:rFonts w:hint="eastAsia"/>
          <w:highlight w:val="none"/>
        </w:rPr>
        <w:t>1</w:t>
      </w:r>
      <w:r>
        <w:rPr>
          <w:highlight w:val="none"/>
        </w:rPr>
        <w:t>0</w:t>
      </w:r>
      <w:r>
        <w:rPr>
          <w:rFonts w:hint="eastAsia"/>
          <w:highlight w:val="none"/>
        </w:rPr>
        <w:t>.2.1公开内容及日期</w:t>
      </w:r>
      <w:bookmarkEnd w:id="254"/>
    </w:p>
    <w:p>
      <w:pPr>
        <w:pStyle w:val="6"/>
        <w:bidi w:val="0"/>
        <w:rPr>
          <w:highlight w:val="none"/>
        </w:rPr>
      </w:pPr>
      <w:r>
        <w:rPr>
          <w:rFonts w:hint="eastAsia"/>
          <w:highlight w:val="none"/>
        </w:rPr>
        <w:t>林芝市旅游发展局委托云南湖柏环保科技有限公司对《林芝市全域旅游发展规划（2018-2025）》进行环境影响评价后，在7个工作日内，于202</w:t>
      </w:r>
      <w:r>
        <w:rPr>
          <w:highlight w:val="none"/>
        </w:rPr>
        <w:t>2</w:t>
      </w:r>
      <w:r>
        <w:rPr>
          <w:rFonts w:hint="eastAsia"/>
          <w:highlight w:val="none"/>
        </w:rPr>
        <w:t>年</w:t>
      </w:r>
      <w:r>
        <w:rPr>
          <w:highlight w:val="none"/>
        </w:rPr>
        <w:t>3</w:t>
      </w:r>
      <w:r>
        <w:rPr>
          <w:rFonts w:hint="eastAsia"/>
          <w:highlight w:val="none"/>
        </w:rPr>
        <w:t>月2</w:t>
      </w:r>
      <w:r>
        <w:rPr>
          <w:highlight w:val="none"/>
        </w:rPr>
        <w:t>9</w:t>
      </w:r>
      <w:r>
        <w:rPr>
          <w:rFonts w:hint="eastAsia"/>
          <w:highlight w:val="none"/>
        </w:rPr>
        <w:t>日</w:t>
      </w:r>
      <w:r>
        <w:rPr>
          <w:rFonts w:hint="eastAsia"/>
        </w:rPr>
        <w:t>在林芝市旅游发展局官方网站进行了第一次环境影响评价信息公示</w:t>
      </w:r>
      <w:r>
        <w:rPr>
          <w:rFonts w:hint="eastAsia"/>
          <w:lang w:eastAsia="zh-CN"/>
        </w:rPr>
        <w:t>。</w:t>
      </w:r>
      <w:r>
        <w:rPr>
          <w:rFonts w:hint="eastAsia"/>
          <w:highlight w:val="none"/>
        </w:rPr>
        <w:t>公示的主要内容为：</w:t>
      </w:r>
    </w:p>
    <w:p>
      <w:pPr>
        <w:pStyle w:val="6"/>
        <w:bidi w:val="0"/>
        <w:rPr>
          <w:highlight w:val="none"/>
          <w:lang w:val="en"/>
        </w:rPr>
      </w:pPr>
      <w:r>
        <w:rPr>
          <w:highlight w:val="none"/>
          <w:lang w:val="en"/>
        </w:rPr>
        <w:t>（1）规划</w:t>
      </w:r>
      <w:r>
        <w:rPr>
          <w:rFonts w:hint="eastAsia"/>
          <w:highlight w:val="none"/>
          <w:lang w:val="en"/>
        </w:rPr>
        <w:t>概</w:t>
      </w:r>
      <w:r>
        <w:rPr>
          <w:highlight w:val="none"/>
          <w:lang w:val="en"/>
        </w:rPr>
        <w:t>况；</w:t>
      </w:r>
    </w:p>
    <w:p>
      <w:pPr>
        <w:pStyle w:val="6"/>
        <w:bidi w:val="0"/>
        <w:rPr>
          <w:highlight w:val="none"/>
          <w:lang w:val="en"/>
        </w:rPr>
      </w:pPr>
      <w:r>
        <w:rPr>
          <w:highlight w:val="none"/>
          <w:lang w:val="en"/>
        </w:rPr>
        <w:t>（2）建设单位联系方式；</w:t>
      </w:r>
    </w:p>
    <w:p>
      <w:pPr>
        <w:pStyle w:val="6"/>
        <w:bidi w:val="0"/>
        <w:rPr>
          <w:highlight w:val="none"/>
          <w:lang w:val="en"/>
        </w:rPr>
      </w:pPr>
      <w:r>
        <w:rPr>
          <w:highlight w:val="none"/>
          <w:lang w:val="en"/>
        </w:rPr>
        <w:t>（3）环境影响评价报告编制单位及联系方式；</w:t>
      </w:r>
    </w:p>
    <w:p>
      <w:pPr>
        <w:pStyle w:val="6"/>
        <w:bidi w:val="0"/>
        <w:rPr>
          <w:highlight w:val="none"/>
          <w:lang w:val="en"/>
        </w:rPr>
      </w:pPr>
      <w:r>
        <w:rPr>
          <w:highlight w:val="none"/>
          <w:lang w:val="en"/>
        </w:rPr>
        <w:t>（4）</w:t>
      </w:r>
      <w:r>
        <w:rPr>
          <w:rFonts w:hint="eastAsia"/>
          <w:highlight w:val="none"/>
          <w:lang w:val="en"/>
        </w:rPr>
        <w:t>公众提出意见的相关问题</w:t>
      </w:r>
      <w:r>
        <w:rPr>
          <w:highlight w:val="none"/>
          <w:lang w:val="en"/>
        </w:rPr>
        <w:t>；</w:t>
      </w:r>
    </w:p>
    <w:p>
      <w:pPr>
        <w:pStyle w:val="6"/>
        <w:bidi w:val="0"/>
        <w:rPr>
          <w:highlight w:val="none"/>
          <w:lang w:val="en"/>
        </w:rPr>
      </w:pPr>
      <w:r>
        <w:rPr>
          <w:highlight w:val="none"/>
          <w:lang w:val="en"/>
        </w:rPr>
        <w:t>（5）公众提出意见的方式和途径。</w:t>
      </w:r>
    </w:p>
    <w:p>
      <w:pPr>
        <w:pStyle w:val="6"/>
        <w:bidi w:val="0"/>
        <w:rPr>
          <w:highlight w:val="none"/>
        </w:rPr>
      </w:pPr>
      <w:r>
        <w:rPr>
          <w:rFonts w:hint="eastAsia"/>
          <w:highlight w:val="none"/>
        </w:rPr>
        <w:t>第一次信息公示的时间和内容均</w:t>
      </w:r>
      <w:r>
        <w:rPr>
          <w:highlight w:val="none"/>
        </w:rPr>
        <w:t>符合《环境影响评价公众参与办法》（生态环境部令第4号）第九条</w:t>
      </w:r>
      <w:r>
        <w:rPr>
          <w:rFonts w:hint="eastAsia"/>
          <w:highlight w:val="none"/>
        </w:rPr>
        <w:t>“</w:t>
      </w:r>
      <w:r>
        <w:rPr>
          <w:highlight w:val="none"/>
        </w:rPr>
        <w:t>建设单位应当在确定环境影响报告书编制单位后7个工作日内，通过其网站、建设项目所在地公共媒体网站或者建设项目所在地相关政府网站</w:t>
      </w:r>
      <w:r>
        <w:rPr>
          <w:rFonts w:hint="eastAsia"/>
          <w:highlight w:val="none"/>
        </w:rPr>
        <w:t>”</w:t>
      </w:r>
      <w:r>
        <w:rPr>
          <w:highlight w:val="none"/>
        </w:rPr>
        <w:t>的规定。</w:t>
      </w:r>
    </w:p>
    <w:p>
      <w:pPr>
        <w:pStyle w:val="5"/>
        <w:bidi w:val="0"/>
        <w:rPr>
          <w:highlight w:val="none"/>
        </w:rPr>
      </w:pPr>
      <w:bookmarkStart w:id="255" w:name="_Toc2458"/>
      <w:bookmarkStart w:id="256" w:name="_Toc8972"/>
      <w:r>
        <w:rPr>
          <w:rFonts w:hint="eastAsia"/>
          <w:highlight w:val="none"/>
        </w:rPr>
        <w:t>1</w:t>
      </w:r>
      <w:r>
        <w:rPr>
          <w:highlight w:val="none"/>
        </w:rPr>
        <w:t>0</w:t>
      </w:r>
      <w:r>
        <w:rPr>
          <w:rFonts w:hint="eastAsia"/>
          <w:highlight w:val="none"/>
        </w:rPr>
        <w:t>.2.2公示方式</w:t>
      </w:r>
      <w:bookmarkEnd w:id="255"/>
      <w:bookmarkEnd w:id="256"/>
    </w:p>
    <w:p>
      <w:pPr>
        <w:pStyle w:val="6"/>
        <w:bidi w:val="0"/>
        <w:rPr>
          <w:rFonts w:hint="eastAsia"/>
          <w:highlight w:val="none"/>
        </w:rPr>
      </w:pPr>
      <w:r>
        <w:rPr>
          <w:rFonts w:hint="eastAsia"/>
          <w:highlight w:val="none"/>
        </w:rPr>
        <w:t>规划第一次环境影响评价信息公开采用网络平台公示的方法，</w:t>
      </w:r>
      <w:bookmarkStart w:id="257" w:name="_Hlk51053978"/>
      <w:r>
        <w:rPr>
          <w:rFonts w:hint="eastAsia"/>
          <w:highlight w:val="none"/>
        </w:rPr>
        <w:t>在林芝市旅游发展局官方网站</w:t>
      </w:r>
      <w:bookmarkEnd w:id="257"/>
      <w:r>
        <w:rPr>
          <w:rFonts w:hint="eastAsia"/>
          <w:highlight w:val="none"/>
        </w:rPr>
        <w:t>进行公示，公示网址：</w:t>
      </w:r>
    </w:p>
    <w:p>
      <w:pPr>
        <w:pStyle w:val="6"/>
        <w:bidi w:val="0"/>
        <w:ind w:left="0" w:leftChars="0" w:firstLine="0" w:firstLineChars="0"/>
        <w:rPr>
          <w:highlight w:val="none"/>
        </w:rPr>
      </w:pPr>
      <w:r>
        <w:rPr>
          <w:highlight w:val="none"/>
        </w:rPr>
        <w:t>http://www.lfw.linzhi.gov.cn/lzslyfzwyh/c103823/202203/0949c234915d42e59bccb5e4a7c5d362.shtml</w:t>
      </w:r>
      <w:r>
        <w:rPr>
          <w:rFonts w:hint="eastAsia"/>
          <w:highlight w:val="none"/>
        </w:rPr>
        <w:t>，</w:t>
      </w:r>
      <w:r>
        <w:rPr>
          <w:rFonts w:cs="Times New Roman"/>
          <w:kern w:val="0"/>
        </w:rPr>
        <w:t>公开的时间为2022年3月</w:t>
      </w:r>
      <w:r>
        <w:rPr>
          <w:rFonts w:hint="eastAsia" w:cs="Times New Roman"/>
          <w:kern w:val="0"/>
          <w:lang w:val="en-US" w:eastAsia="zh-CN"/>
        </w:rPr>
        <w:t>29</w:t>
      </w:r>
      <w:r>
        <w:rPr>
          <w:rFonts w:cs="Times New Roman"/>
          <w:kern w:val="0"/>
        </w:rPr>
        <w:t>日</w:t>
      </w:r>
      <w:bookmarkStart w:id="258" w:name="_Hlk51054867"/>
      <w:r>
        <w:rPr>
          <w:rFonts w:hint="eastAsia"/>
          <w:highlight w:val="none"/>
        </w:rPr>
        <w:t>，公示平台符合相关要求，网络截图如下：</w:t>
      </w:r>
      <w:bookmarkEnd w:id="258"/>
    </w:p>
    <w:p>
      <w:pPr>
        <w:pStyle w:val="15"/>
        <w:jc w:val="center"/>
        <w:rPr>
          <w:rFonts w:hint="eastAsia"/>
          <w:highlight w:val="none"/>
        </w:rPr>
      </w:pPr>
      <w:r>
        <w:rPr>
          <w:highlight w:val="none"/>
        </w:rPr>
        <w:drawing>
          <wp:inline distT="0" distB="0" distL="114300" distR="114300">
            <wp:extent cx="4591050" cy="3540125"/>
            <wp:effectExtent l="0" t="0" r="0"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3"/>
                    <a:stretch>
                      <a:fillRect/>
                    </a:stretch>
                  </pic:blipFill>
                  <pic:spPr>
                    <a:xfrm>
                      <a:off x="0" y="0"/>
                      <a:ext cx="4591050" cy="3540125"/>
                    </a:xfrm>
                    <a:prstGeom prst="rect">
                      <a:avLst/>
                    </a:prstGeom>
                    <a:noFill/>
                    <a:ln>
                      <a:noFill/>
                    </a:ln>
                  </pic:spPr>
                </pic:pic>
              </a:graphicData>
            </a:graphic>
          </wp:inline>
        </w:drawing>
      </w:r>
    </w:p>
    <w:p>
      <w:pPr>
        <w:pStyle w:val="34"/>
        <w:bidi w:val="0"/>
        <w:rPr>
          <w:rFonts w:ascii="Times New Roman" w:hAnsi="Times New Roman"/>
          <w:b/>
          <w:bCs/>
          <w:kern w:val="0"/>
          <w:sz w:val="24"/>
          <w:szCs w:val="24"/>
          <w:highlight w:val="none"/>
          <w:lang w:val="en"/>
        </w:rPr>
      </w:pPr>
      <w:r>
        <w:rPr>
          <w:rFonts w:hint="eastAsia"/>
          <w:b/>
          <w:bCs/>
          <w:highlight w:val="none"/>
        </w:rPr>
        <w:t>图1</w:t>
      </w:r>
      <w:r>
        <w:rPr>
          <w:b/>
          <w:bCs/>
          <w:highlight w:val="none"/>
        </w:rPr>
        <w:t>0</w:t>
      </w:r>
      <w:r>
        <w:rPr>
          <w:rFonts w:hint="eastAsia"/>
          <w:b/>
          <w:bCs/>
          <w:highlight w:val="none"/>
        </w:rPr>
        <w:t xml:space="preserve">.2-1 </w:t>
      </w:r>
      <w:r>
        <w:rPr>
          <w:rFonts w:ascii="Times New Roman" w:hAnsi="Times New Roman"/>
          <w:b/>
          <w:bCs/>
          <w:kern w:val="0"/>
          <w:sz w:val="24"/>
          <w:szCs w:val="24"/>
          <w:highlight w:val="none"/>
          <w:lang w:val="en"/>
        </w:rPr>
        <w:t>规划环评第一次网络信息公示</w:t>
      </w:r>
    </w:p>
    <w:p>
      <w:pPr>
        <w:pStyle w:val="5"/>
        <w:bidi w:val="0"/>
        <w:rPr>
          <w:highlight w:val="none"/>
        </w:rPr>
      </w:pPr>
      <w:bookmarkStart w:id="259" w:name="_Toc3055"/>
      <w:bookmarkStart w:id="260" w:name="_Toc27249"/>
      <w:r>
        <w:rPr>
          <w:rFonts w:hint="eastAsia"/>
          <w:highlight w:val="none"/>
        </w:rPr>
        <w:t>1</w:t>
      </w:r>
      <w:r>
        <w:rPr>
          <w:highlight w:val="none"/>
        </w:rPr>
        <w:t>0</w:t>
      </w:r>
      <w:r>
        <w:rPr>
          <w:rFonts w:hint="eastAsia"/>
          <w:highlight w:val="none"/>
        </w:rPr>
        <w:t>.2.3公众意见情况</w:t>
      </w:r>
      <w:bookmarkEnd w:id="259"/>
      <w:bookmarkEnd w:id="260"/>
    </w:p>
    <w:p>
      <w:pPr>
        <w:pStyle w:val="6"/>
        <w:bidi w:val="0"/>
        <w:rPr>
          <w:kern w:val="0"/>
          <w:sz w:val="24"/>
          <w:highlight w:val="none"/>
          <w:lang w:val="en"/>
        </w:rPr>
      </w:pPr>
      <w:r>
        <w:rPr>
          <w:rFonts w:hint="eastAsia"/>
          <w:kern w:val="0"/>
          <w:sz w:val="24"/>
          <w:highlight w:val="none"/>
        </w:rPr>
        <w:t>第一次公示期间，未收到</w:t>
      </w:r>
      <w:r>
        <w:rPr>
          <w:kern w:val="0"/>
          <w:sz w:val="24"/>
          <w:highlight w:val="none"/>
          <w:lang w:val="en"/>
        </w:rPr>
        <w:t>任何单位或个人反馈的关于本</w:t>
      </w:r>
      <w:r>
        <w:rPr>
          <w:kern w:val="0"/>
          <w:sz w:val="24"/>
          <w:highlight w:val="none"/>
        </w:rPr>
        <w:t>规划</w:t>
      </w:r>
      <w:r>
        <w:rPr>
          <w:kern w:val="0"/>
          <w:sz w:val="24"/>
          <w:highlight w:val="none"/>
          <w:lang w:val="en"/>
        </w:rPr>
        <w:t>项目环境方面的意见和建议。</w:t>
      </w:r>
    </w:p>
    <w:p>
      <w:pPr>
        <w:pStyle w:val="4"/>
        <w:bidi w:val="0"/>
        <w:rPr>
          <w:highlight w:val="none"/>
        </w:rPr>
      </w:pPr>
      <w:bookmarkStart w:id="261" w:name="_Toc32197"/>
      <w:bookmarkStart w:id="262" w:name="_Toc21507"/>
      <w:r>
        <w:rPr>
          <w:rFonts w:hint="eastAsia"/>
          <w:highlight w:val="none"/>
        </w:rPr>
        <w:t>1</w:t>
      </w:r>
      <w:r>
        <w:rPr>
          <w:highlight w:val="none"/>
        </w:rPr>
        <w:t>0</w:t>
      </w:r>
      <w:r>
        <w:rPr>
          <w:rFonts w:hint="eastAsia"/>
          <w:highlight w:val="none"/>
        </w:rPr>
        <w:t>.3征求意见稿公示情况</w:t>
      </w:r>
      <w:bookmarkEnd w:id="261"/>
      <w:bookmarkEnd w:id="262"/>
    </w:p>
    <w:p>
      <w:pPr>
        <w:pStyle w:val="5"/>
        <w:bidi w:val="0"/>
        <w:rPr>
          <w:highlight w:val="none"/>
        </w:rPr>
      </w:pPr>
      <w:bookmarkStart w:id="263" w:name="_Toc32043"/>
      <w:bookmarkStart w:id="264" w:name="_Toc32193"/>
      <w:r>
        <w:rPr>
          <w:rFonts w:hint="eastAsia"/>
          <w:highlight w:val="none"/>
        </w:rPr>
        <w:t>1</w:t>
      </w:r>
      <w:r>
        <w:rPr>
          <w:highlight w:val="none"/>
        </w:rPr>
        <w:t>0</w:t>
      </w:r>
      <w:r>
        <w:rPr>
          <w:rFonts w:hint="eastAsia"/>
          <w:highlight w:val="none"/>
        </w:rPr>
        <w:t>.3.1公示内容及时间</w:t>
      </w:r>
      <w:bookmarkEnd w:id="263"/>
      <w:bookmarkEnd w:id="264"/>
    </w:p>
    <w:p>
      <w:pPr>
        <w:pStyle w:val="6"/>
        <w:bidi w:val="0"/>
        <w:rPr>
          <w:kern w:val="0"/>
          <w:sz w:val="24"/>
          <w:highlight w:val="none"/>
          <w:lang w:val="en"/>
        </w:rPr>
      </w:pPr>
      <w:r>
        <w:rPr>
          <w:kern w:val="0"/>
          <w:sz w:val="24"/>
          <w:highlight w:val="none"/>
        </w:rPr>
        <w:t>规划</w:t>
      </w:r>
      <w:r>
        <w:rPr>
          <w:kern w:val="0"/>
          <w:sz w:val="24"/>
          <w:highlight w:val="none"/>
          <w:lang w:val="en"/>
        </w:rPr>
        <w:t>环境影响报告书编制单位完成报告征求意见稿后，于202</w:t>
      </w:r>
      <w:r>
        <w:rPr>
          <w:rFonts w:hint="eastAsia"/>
          <w:kern w:val="0"/>
          <w:sz w:val="24"/>
          <w:highlight w:val="none"/>
        </w:rPr>
        <w:t>2</w:t>
      </w:r>
      <w:r>
        <w:rPr>
          <w:kern w:val="0"/>
          <w:sz w:val="24"/>
          <w:highlight w:val="none"/>
          <w:lang w:val="en"/>
        </w:rPr>
        <w:t>年</w:t>
      </w:r>
      <w:r>
        <w:rPr>
          <w:kern w:val="0"/>
          <w:sz w:val="24"/>
          <w:highlight w:val="none"/>
        </w:rPr>
        <w:t>7</w:t>
      </w:r>
      <w:r>
        <w:rPr>
          <w:kern w:val="0"/>
          <w:sz w:val="24"/>
          <w:highlight w:val="none"/>
          <w:lang w:val="en"/>
        </w:rPr>
        <w:t>月对征求意见稿的内容进行了公示，公示内容包括规划环评报告书的全文的网络获取下载、征求意见的主要事项和公众提出意见的方式和途径，公示时限为自公示之日起10个工作日内。</w:t>
      </w:r>
    </w:p>
    <w:p>
      <w:pPr>
        <w:widowControl/>
        <w:spacing w:line="360" w:lineRule="auto"/>
        <w:ind w:firstLine="480" w:firstLineChars="200"/>
        <w:jc w:val="left"/>
        <w:rPr>
          <w:kern w:val="0"/>
          <w:sz w:val="24"/>
          <w:highlight w:val="none"/>
          <w:lang w:val="en"/>
        </w:rPr>
      </w:pPr>
      <w:r>
        <w:rPr>
          <w:kern w:val="0"/>
          <w:sz w:val="24"/>
          <w:highlight w:val="none"/>
          <w:lang w:val="en"/>
        </w:rPr>
        <w:t>本规划环境影响报告书征求意见稿的公示主要内容完整，公示时限均符合</w:t>
      </w:r>
      <w:r>
        <w:rPr>
          <w:sz w:val="24"/>
          <w:highlight w:val="none"/>
        </w:rPr>
        <w:t>《环境影响评价公众参与办法》（生态环境部令第4号）</w:t>
      </w:r>
      <w:r>
        <w:rPr>
          <w:kern w:val="0"/>
          <w:sz w:val="24"/>
          <w:highlight w:val="none"/>
          <w:lang w:val="en"/>
        </w:rPr>
        <w:t>相关要求。</w:t>
      </w:r>
    </w:p>
    <w:p>
      <w:pPr>
        <w:pStyle w:val="5"/>
        <w:bidi w:val="0"/>
        <w:rPr>
          <w:highlight w:val="none"/>
        </w:rPr>
      </w:pPr>
      <w:bookmarkStart w:id="265" w:name="_Toc7176"/>
      <w:bookmarkStart w:id="266" w:name="_Toc515"/>
      <w:r>
        <w:rPr>
          <w:rFonts w:hint="eastAsia"/>
          <w:highlight w:val="none"/>
        </w:rPr>
        <w:t>1</w:t>
      </w:r>
      <w:r>
        <w:rPr>
          <w:highlight w:val="none"/>
        </w:rPr>
        <w:t>0</w:t>
      </w:r>
      <w:r>
        <w:rPr>
          <w:rFonts w:hint="eastAsia"/>
          <w:highlight w:val="none"/>
        </w:rPr>
        <w:t>.3.2公示方式</w:t>
      </w:r>
      <w:bookmarkEnd w:id="265"/>
      <w:bookmarkEnd w:id="266"/>
    </w:p>
    <w:p>
      <w:pPr>
        <w:pStyle w:val="6"/>
        <w:bidi w:val="0"/>
        <w:rPr>
          <w:highlight w:val="none"/>
        </w:rPr>
      </w:pPr>
      <w:r>
        <w:rPr>
          <w:rFonts w:hint="eastAsia"/>
          <w:highlight w:val="none"/>
          <w:lang w:val="en-US" w:eastAsia="zh-CN"/>
        </w:rPr>
        <w:t>1、</w:t>
      </w:r>
      <w:r>
        <w:rPr>
          <w:rFonts w:hint="eastAsia"/>
          <w:highlight w:val="none"/>
        </w:rPr>
        <w:t>公示张贴</w:t>
      </w:r>
    </w:p>
    <w:p>
      <w:pPr>
        <w:pStyle w:val="6"/>
        <w:bidi w:val="0"/>
        <w:rPr>
          <w:kern w:val="0"/>
          <w:sz w:val="24"/>
          <w:highlight w:val="none"/>
          <w:lang w:val="en"/>
        </w:rPr>
      </w:pPr>
      <w:r>
        <w:rPr>
          <w:rFonts w:hint="eastAsia"/>
          <w:kern w:val="0"/>
          <w:sz w:val="24"/>
          <w:highlight w:val="none"/>
          <w:lang w:val="en"/>
        </w:rPr>
        <w:t>规划环境影响报告</w:t>
      </w:r>
      <w:r>
        <w:rPr>
          <w:kern w:val="0"/>
          <w:sz w:val="24"/>
          <w:highlight w:val="none"/>
          <w:lang w:val="en"/>
        </w:rPr>
        <w:t>征求意见稿</w:t>
      </w:r>
      <w:r>
        <w:rPr>
          <w:rFonts w:hint="eastAsia"/>
          <w:kern w:val="0"/>
          <w:sz w:val="24"/>
          <w:highlight w:val="none"/>
          <w:lang w:val="en"/>
        </w:rPr>
        <w:t>于</w:t>
      </w:r>
      <w:r>
        <w:rPr>
          <w:rFonts w:hint="eastAsia"/>
          <w:kern w:val="0"/>
          <w:sz w:val="24"/>
          <w:highlight w:val="none"/>
        </w:rPr>
        <w:t>2022年</w:t>
      </w:r>
      <w:r>
        <w:rPr>
          <w:kern w:val="0"/>
          <w:sz w:val="24"/>
          <w:highlight w:val="none"/>
        </w:rPr>
        <w:t>7</w:t>
      </w:r>
      <w:r>
        <w:rPr>
          <w:rFonts w:hint="eastAsia"/>
          <w:kern w:val="0"/>
          <w:sz w:val="24"/>
          <w:highlight w:val="none"/>
        </w:rPr>
        <w:t>月</w:t>
      </w:r>
      <w:r>
        <w:rPr>
          <w:kern w:val="0"/>
          <w:sz w:val="24"/>
          <w:highlight w:val="none"/>
        </w:rPr>
        <w:t>6</w:t>
      </w:r>
      <w:r>
        <w:rPr>
          <w:rFonts w:hint="eastAsia"/>
          <w:kern w:val="0"/>
          <w:sz w:val="24"/>
          <w:highlight w:val="none"/>
        </w:rPr>
        <w:t>日在林芝市旅游发展局和巴松措景区进行了</w:t>
      </w:r>
      <w:r>
        <w:rPr>
          <w:kern w:val="0"/>
          <w:sz w:val="24"/>
          <w:highlight w:val="none"/>
          <w:lang w:val="en"/>
        </w:rPr>
        <w:t>现场张贴，张贴照片见图</w:t>
      </w:r>
      <w:r>
        <w:rPr>
          <w:kern w:val="0"/>
          <w:sz w:val="24"/>
          <w:highlight w:val="none"/>
        </w:rPr>
        <w:t>10</w:t>
      </w:r>
      <w:r>
        <w:rPr>
          <w:rFonts w:hint="eastAsia"/>
          <w:kern w:val="0"/>
          <w:sz w:val="24"/>
          <w:highlight w:val="none"/>
        </w:rPr>
        <w:t>.</w:t>
      </w:r>
      <w:r>
        <w:rPr>
          <w:kern w:val="0"/>
          <w:sz w:val="24"/>
          <w:highlight w:val="none"/>
          <w:lang w:val="en"/>
        </w:rPr>
        <w:t>3</w:t>
      </w:r>
      <w:r>
        <w:rPr>
          <w:kern w:val="0"/>
          <w:sz w:val="24"/>
          <w:highlight w:val="none"/>
        </w:rPr>
        <w:t>-</w:t>
      </w:r>
      <w:r>
        <w:rPr>
          <w:rFonts w:hint="eastAsia"/>
          <w:kern w:val="0"/>
          <w:sz w:val="24"/>
          <w:highlight w:val="none"/>
          <w:lang w:val="en-US" w:eastAsia="zh-CN"/>
        </w:rPr>
        <w:t>1、10.3-2</w:t>
      </w:r>
      <w:r>
        <w:rPr>
          <w:kern w:val="0"/>
          <w:sz w:val="24"/>
          <w:highlight w:val="none"/>
          <w:lang w:val="en"/>
        </w:rPr>
        <w:t>，张贴公示符合</w:t>
      </w:r>
      <w:r>
        <w:rPr>
          <w:sz w:val="24"/>
          <w:highlight w:val="none"/>
        </w:rPr>
        <w:t>《环境影响评价公众参与办法》（生态环境部令第4号）</w:t>
      </w:r>
      <w:r>
        <w:rPr>
          <w:kern w:val="0"/>
          <w:sz w:val="24"/>
          <w:highlight w:val="none"/>
          <w:lang w:val="en"/>
        </w:rPr>
        <w:t>相关要求。</w:t>
      </w:r>
    </w:p>
    <w:p>
      <w:pPr>
        <w:pStyle w:val="15"/>
        <w:jc w:val="center"/>
        <w:rPr>
          <w:rFonts w:hint="eastAsia"/>
          <w:highlight w:val="none"/>
          <w:lang w:val="en-US" w:eastAsia="zh-CN"/>
        </w:rPr>
      </w:pPr>
      <w:r>
        <w:rPr>
          <w:highlight w:val="none"/>
        </w:rPr>
        <w:drawing>
          <wp:inline distT="0" distB="0" distL="114300" distR="114300">
            <wp:extent cx="3310255" cy="2480310"/>
            <wp:effectExtent l="0" t="0" r="4445" b="1524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4"/>
                    <a:stretch>
                      <a:fillRect/>
                    </a:stretch>
                  </pic:blipFill>
                  <pic:spPr>
                    <a:xfrm>
                      <a:off x="0" y="0"/>
                      <a:ext cx="3310255" cy="2480310"/>
                    </a:xfrm>
                    <a:prstGeom prst="rect">
                      <a:avLst/>
                    </a:prstGeom>
                    <a:noFill/>
                    <a:ln>
                      <a:noFill/>
                    </a:ln>
                  </pic:spPr>
                </pic:pic>
              </a:graphicData>
            </a:graphic>
          </wp:inline>
        </w:drawing>
      </w:r>
      <w:r>
        <w:rPr>
          <w:rFonts w:hint="eastAsia"/>
          <w:highlight w:val="none"/>
          <w:lang w:val="en-US" w:eastAsia="zh-CN"/>
        </w:rPr>
        <w:t xml:space="preserve">  </w:t>
      </w:r>
    </w:p>
    <w:p>
      <w:pPr>
        <w:pStyle w:val="34"/>
        <w:bidi w:val="0"/>
      </w:pPr>
      <w:r>
        <w:rPr>
          <w:rFonts w:hint="eastAsia"/>
          <w:lang w:val="en-US" w:eastAsia="zh-CN"/>
        </w:rPr>
        <w:t xml:space="preserve">图10.3-1  </w:t>
      </w:r>
      <w:r>
        <w:t>林芝旅游局现场公示</w:t>
      </w:r>
    </w:p>
    <w:p>
      <w:pPr>
        <w:pStyle w:val="15"/>
        <w:jc w:val="center"/>
        <w:rPr>
          <w:highlight w:val="none"/>
        </w:rPr>
      </w:pPr>
      <w:r>
        <w:rPr>
          <w:highlight w:val="none"/>
        </w:rPr>
        <w:drawing>
          <wp:inline distT="0" distB="0" distL="114300" distR="114300">
            <wp:extent cx="3344545" cy="2585085"/>
            <wp:effectExtent l="0" t="0" r="8255" b="571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5"/>
                    <a:stretch>
                      <a:fillRect/>
                    </a:stretch>
                  </pic:blipFill>
                  <pic:spPr>
                    <a:xfrm>
                      <a:off x="0" y="0"/>
                      <a:ext cx="3344545" cy="2585085"/>
                    </a:xfrm>
                    <a:prstGeom prst="rect">
                      <a:avLst/>
                    </a:prstGeom>
                    <a:noFill/>
                    <a:ln>
                      <a:noFill/>
                    </a:ln>
                  </pic:spPr>
                </pic:pic>
              </a:graphicData>
            </a:graphic>
          </wp:inline>
        </w:drawing>
      </w:r>
    </w:p>
    <w:p>
      <w:pPr>
        <w:pStyle w:val="34"/>
        <w:rPr>
          <w:highlight w:val="none"/>
          <w:lang w:val="en"/>
        </w:rPr>
      </w:pPr>
      <w:r>
        <w:rPr>
          <w:highlight w:val="none"/>
          <w:lang w:val="en"/>
        </w:rPr>
        <w:t>图</w:t>
      </w:r>
      <w:r>
        <w:rPr>
          <w:rFonts w:hint="eastAsia"/>
          <w:highlight w:val="none"/>
        </w:rPr>
        <w:t>1</w:t>
      </w:r>
      <w:r>
        <w:rPr>
          <w:highlight w:val="none"/>
        </w:rPr>
        <w:t>0.</w:t>
      </w:r>
      <w:r>
        <w:rPr>
          <w:highlight w:val="none"/>
          <w:lang w:val="en"/>
        </w:rPr>
        <w:t>3</w:t>
      </w:r>
      <w:r>
        <w:rPr>
          <w:highlight w:val="none"/>
        </w:rPr>
        <w:t>-</w:t>
      </w:r>
      <w:r>
        <w:rPr>
          <w:rFonts w:hint="eastAsia"/>
          <w:highlight w:val="none"/>
          <w:lang w:val="en-US" w:eastAsia="zh-CN"/>
        </w:rPr>
        <w:t>2</w:t>
      </w:r>
      <w:r>
        <w:rPr>
          <w:highlight w:val="none"/>
          <w:lang w:val="en"/>
        </w:rPr>
        <w:t xml:space="preserve"> 巴松错景区现场张贴公示</w:t>
      </w:r>
    </w:p>
    <w:p>
      <w:pPr>
        <w:pStyle w:val="6"/>
        <w:bidi w:val="0"/>
        <w:rPr>
          <w:highlight w:val="none"/>
        </w:rPr>
      </w:pPr>
      <w:r>
        <w:rPr>
          <w:highlight w:val="none"/>
        </w:rPr>
        <w:t>（2）报纸公示</w:t>
      </w:r>
    </w:p>
    <w:p>
      <w:pPr>
        <w:pStyle w:val="6"/>
        <w:bidi w:val="0"/>
        <w:rPr>
          <w:highlight w:val="none"/>
        </w:rPr>
      </w:pPr>
      <w:r>
        <w:rPr>
          <w:rFonts w:hint="eastAsia"/>
          <w:highlight w:val="none"/>
        </w:rPr>
        <w:t>规划环境影响评价</w:t>
      </w:r>
      <w:r>
        <w:rPr>
          <w:highlight w:val="none"/>
        </w:rPr>
        <w:t>征求意见稿于202</w:t>
      </w:r>
      <w:r>
        <w:rPr>
          <w:rFonts w:hint="eastAsia"/>
          <w:highlight w:val="none"/>
        </w:rPr>
        <w:t>2</w:t>
      </w:r>
      <w:r>
        <w:rPr>
          <w:highlight w:val="none"/>
        </w:rPr>
        <w:t>年7月12日、7月</w:t>
      </w:r>
      <w:r>
        <w:rPr>
          <w:rFonts w:hint="eastAsia"/>
          <w:highlight w:val="none"/>
        </w:rPr>
        <w:t>1</w:t>
      </w:r>
      <w:r>
        <w:rPr>
          <w:highlight w:val="none"/>
        </w:rPr>
        <w:t>5日</w:t>
      </w:r>
      <w:r>
        <w:rPr>
          <w:rFonts w:hint="eastAsia"/>
          <w:highlight w:val="none"/>
        </w:rPr>
        <w:t>分两期</w:t>
      </w:r>
      <w:r>
        <w:rPr>
          <w:highlight w:val="none"/>
        </w:rPr>
        <w:t>在</w:t>
      </w:r>
      <w:r>
        <w:rPr>
          <w:rFonts w:hint="eastAsia"/>
          <w:highlight w:val="none"/>
        </w:rPr>
        <w:t>林芝</w:t>
      </w:r>
      <w:r>
        <w:rPr>
          <w:highlight w:val="none"/>
        </w:rPr>
        <w:t>报进行报纸公示，</w:t>
      </w:r>
      <w:r>
        <w:rPr>
          <w:rFonts w:hint="eastAsia"/>
          <w:highlight w:val="none"/>
        </w:rPr>
        <w:t>林芝</w:t>
      </w:r>
      <w:r>
        <w:rPr>
          <w:highlight w:val="none"/>
        </w:rPr>
        <w:t>报属于</w:t>
      </w:r>
      <w:r>
        <w:rPr>
          <w:rFonts w:hint="eastAsia"/>
          <w:highlight w:val="none"/>
        </w:rPr>
        <w:t>林芝市</w:t>
      </w:r>
      <w:r>
        <w:rPr>
          <w:highlight w:val="none"/>
        </w:rPr>
        <w:t>公众普遍易于接触的报纸</w:t>
      </w:r>
      <w:r>
        <w:rPr>
          <w:rFonts w:hint="eastAsia"/>
          <w:highlight w:val="none"/>
        </w:rPr>
        <w:t>覆盖面、发行量较大的报纸，</w:t>
      </w:r>
      <w:r>
        <w:rPr>
          <w:highlight w:val="none"/>
        </w:rPr>
        <w:t>选取</w:t>
      </w:r>
      <w:r>
        <w:rPr>
          <w:rFonts w:hint="eastAsia"/>
          <w:highlight w:val="none"/>
        </w:rPr>
        <w:t>林芝</w:t>
      </w:r>
      <w:r>
        <w:rPr>
          <w:highlight w:val="none"/>
        </w:rPr>
        <w:t>报作为本次征求意见稿公示报纸媒体符合《环境影响评价公众参与办法》（生态环境部令第4号）相关要求，报纸公示照片见图10.3-</w:t>
      </w:r>
      <w:r>
        <w:rPr>
          <w:rFonts w:hint="eastAsia"/>
          <w:highlight w:val="none"/>
          <w:lang w:val="en-US" w:eastAsia="zh-CN"/>
        </w:rPr>
        <w:t>3、10.3-4</w:t>
      </w:r>
      <w:r>
        <w:rPr>
          <w:highlight w:val="none"/>
        </w:rPr>
        <w:t>。</w:t>
      </w:r>
    </w:p>
    <w:p>
      <w:pPr>
        <w:pStyle w:val="15"/>
        <w:rPr>
          <w:highlight w:val="none"/>
        </w:rPr>
      </w:pPr>
      <w:r>
        <w:rPr>
          <w:highlight w:val="none"/>
        </w:rPr>
        <mc:AlternateContent>
          <mc:Choice Requires="wps">
            <w:drawing>
              <wp:anchor distT="0" distB="0" distL="114300" distR="114300" simplePos="0" relativeHeight="251660288" behindDoc="0" locked="0" layoutInCell="1" allowOverlap="1">
                <wp:simplePos x="0" y="0"/>
                <wp:positionH relativeFrom="column">
                  <wp:posOffset>2884805</wp:posOffset>
                </wp:positionH>
                <wp:positionV relativeFrom="paragraph">
                  <wp:posOffset>441960</wp:posOffset>
                </wp:positionV>
                <wp:extent cx="2324100" cy="2207895"/>
                <wp:effectExtent l="19050" t="19050" r="19050" b="20955"/>
                <wp:wrapNone/>
                <wp:docPr id="36" name="矩形 36"/>
                <wp:cNvGraphicFramePr/>
                <a:graphic xmlns:a="http://schemas.openxmlformats.org/drawingml/2006/main">
                  <a:graphicData uri="http://schemas.microsoft.com/office/word/2010/wordprocessingShape">
                    <wps:wsp>
                      <wps:cNvSpPr/>
                      <wps:spPr>
                        <a:xfrm>
                          <a:off x="0" y="0"/>
                          <a:ext cx="2324100" cy="2207895"/>
                        </a:xfrm>
                        <a:prstGeom prst="rect">
                          <a:avLst/>
                        </a:prstGeom>
                        <a:noFill/>
                        <a:ln w="3810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27.15pt;margin-top:34.8pt;height:173.85pt;width:183pt;z-index:251660288;mso-width-relative:page;mso-height-relative:page;" filled="f" stroked="t" coordsize="21600,21600" o:gfxdata="UEsDBAoAAAAAAIdO4kAAAAAAAAAAAAAAAAAEAAAAZHJzL1BLAwQUAAAACACHTuJAMRrLc9gAAAAK&#10;AQAADwAAAGRycy9kb3ducmV2LnhtbE2PwU7DMAyG70i8Q2QkbixpN8pWmk4CCRDaaWPSrm5j2oom&#10;qZp0K2+POcHR/j/9/lxsZ9uLM42h805DslAgyNXedK7RcPx4uVuDCBGdwd470vBNAbbl9VWBufEX&#10;t6fzITaCS1zIUUMb45BLGeqWLIaFH8hx9ulHi5HHsZFmxAuX216mSmXSYuf4QosDPbdUfx0mq6Gq&#10;5dP8+jZs3tP9tKPdCWM1oda3N4l6BBFpjn8w/OqzOpTsVPnJmSB6Dav71ZJRDdkmA8HAOlW8qDhJ&#10;HpYgy0L+f6H8AVBLAwQUAAAACACHTuJARRztpfoBAAD5AwAADgAAAGRycy9lMm9Eb2MueG1srVPN&#10;jtMwEL4j8Q6W7zRpFpYSNd0DpVwQrLTLA0wdJ7HkP3ncpn0aJG48BI+DeA3GTumyu5ceyMEZz4y/&#10;me/zeHlzMJrtZUDlbMPns5IzaYVrle0b/vV+82rBGUawLWhnZcOPEvnN6uWL5ehrWbnB6VYGRiAW&#10;69E3fIjR10WBYpAGcOa8tBTsXDAQaRv6og0wErrRRVWW18XoQuuDExKRvOspyE+I4RJA13VKyLUT&#10;OyNtnFCD1BCJEg7KI1/lbrtOivil61BGphtOTGNeqQjZ27QWqyXUfQA/KHFqAS5p4QknA8pS0TPU&#10;GiKwXVDPoIwSwaHr4kw4U0xEsiLEYl4+0eZuAC8zF5Ia/Vl0/H+w4vP+NjDVNvzqmjMLhm7897cf&#10;v35+Z+QgdUaPNSXd+dtw2iGZieqhCyb9iQQ7ZEWPZ0XlITJBzuqqej0vSWxBsaoq3y7evUmoxcNx&#10;HzB+lM6wZDQ80JVlJWH/CeOU+jclVbNuo7QmP9TaspH6XkwFgGaxoxmgWsYTH7R9xkGnVZvOpCMY&#10;+u17HdgeaB42m5K+UzuP0lLBNeAw5eVQSoPaqCiTDlAPEtoPtmXx6EkyS0+Fp26MbDnTkl5WsnJm&#10;BKUvySRNtCVpkuKTxsnauvZIN7TzQfUD6TPP/aYITUQW8jS9aeT+3Wekhxe7+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Gstz2AAAAAoBAAAPAAAAAAAAAAEAIAAAACIAAABkcnMvZG93bnJldi54&#10;bWxQSwECFAAUAAAACACHTuJARRztpfoBAAD5AwAADgAAAAAAAAABACAAAAAnAQAAZHJzL2Uyb0Rv&#10;Yy54bWxQSwUGAAAAAAYABgBZAQAAkwUAAAAA&#10;">
                <v:fill on="f" focussize="0,0"/>
                <v:stroke weight="3pt" color="#FF0000" joinstyle="miter"/>
                <v:imagedata o:title=""/>
                <o:lock v:ext="edit" aspectratio="f"/>
              </v:rect>
            </w:pict>
          </mc:Fallback>
        </mc:AlternateContent>
      </w:r>
      <w:r>
        <w:rPr>
          <w:highlight w:val="none"/>
        </w:rPr>
        <w:drawing>
          <wp:inline distT="0" distB="0" distL="114300" distR="114300">
            <wp:extent cx="4692650" cy="5364480"/>
            <wp:effectExtent l="0" t="0" r="7620" b="1270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6"/>
                    <a:stretch>
                      <a:fillRect/>
                    </a:stretch>
                  </pic:blipFill>
                  <pic:spPr>
                    <a:xfrm rot="-5400000">
                      <a:off x="0" y="0"/>
                      <a:ext cx="4692650" cy="5364480"/>
                    </a:xfrm>
                    <a:prstGeom prst="rect">
                      <a:avLst/>
                    </a:prstGeom>
                    <a:noFill/>
                    <a:ln>
                      <a:noFill/>
                    </a:ln>
                  </pic:spPr>
                </pic:pic>
              </a:graphicData>
            </a:graphic>
          </wp:inline>
        </w:drawing>
      </w:r>
    </w:p>
    <w:p>
      <w:pPr>
        <w:pStyle w:val="34"/>
        <w:bidi w:val="0"/>
        <w:rPr>
          <w:highlight w:val="none"/>
        </w:rPr>
      </w:pPr>
      <w:r>
        <w:rPr>
          <w:rFonts w:hint="eastAsia" w:ascii="Times New Roman" w:hAnsi="Times New Roman"/>
          <w:b/>
          <w:bCs/>
          <w:kern w:val="0"/>
          <w:highlight w:val="none"/>
          <w:lang w:val="en"/>
        </w:rPr>
        <w:t>图</w:t>
      </w:r>
      <w:r>
        <w:rPr>
          <w:rFonts w:hint="eastAsia" w:ascii="Times New Roman" w:hAnsi="Times New Roman"/>
          <w:b/>
          <w:bCs/>
          <w:kern w:val="0"/>
          <w:highlight w:val="none"/>
        </w:rPr>
        <w:t>1</w:t>
      </w:r>
      <w:r>
        <w:rPr>
          <w:rFonts w:ascii="Times New Roman" w:hAnsi="Times New Roman"/>
          <w:b/>
          <w:bCs/>
          <w:kern w:val="0"/>
          <w:highlight w:val="none"/>
        </w:rPr>
        <w:t>0</w:t>
      </w:r>
      <w:r>
        <w:rPr>
          <w:rFonts w:hint="eastAsia" w:ascii="Times New Roman" w:hAnsi="Times New Roman"/>
          <w:b/>
          <w:bCs/>
          <w:kern w:val="0"/>
          <w:highlight w:val="none"/>
        </w:rPr>
        <w:t>.3-</w:t>
      </w:r>
      <w:r>
        <w:rPr>
          <w:rFonts w:hint="eastAsia" w:ascii="Times New Roman" w:hAnsi="Times New Roman"/>
          <w:b/>
          <w:bCs/>
          <w:kern w:val="0"/>
          <w:highlight w:val="none"/>
          <w:lang w:val="en-US" w:eastAsia="zh-CN"/>
        </w:rPr>
        <w:t xml:space="preserve">3  </w:t>
      </w:r>
      <w:r>
        <w:rPr>
          <w:rFonts w:hint="eastAsia" w:ascii="Times New Roman" w:hAnsi="Times New Roman"/>
          <w:b/>
          <w:bCs/>
          <w:kern w:val="0"/>
          <w:highlight w:val="none"/>
        </w:rPr>
        <w:t>第一次</w:t>
      </w:r>
      <w:r>
        <w:rPr>
          <w:rFonts w:ascii="Times New Roman" w:hAnsi="Times New Roman"/>
          <w:b/>
          <w:bCs/>
          <w:kern w:val="0"/>
          <w:highlight w:val="none"/>
          <w:lang w:val="en"/>
        </w:rPr>
        <w:t>征求意见稿报纸公示</w:t>
      </w:r>
    </w:p>
    <w:p>
      <w:pPr>
        <w:pStyle w:val="15"/>
        <w:rPr>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3022600</wp:posOffset>
                </wp:positionH>
                <wp:positionV relativeFrom="paragraph">
                  <wp:posOffset>2548255</wp:posOffset>
                </wp:positionV>
                <wp:extent cx="2032635" cy="2387600"/>
                <wp:effectExtent l="19050" t="19050" r="24765" b="31750"/>
                <wp:wrapNone/>
                <wp:docPr id="39" name="矩形 39"/>
                <wp:cNvGraphicFramePr/>
                <a:graphic xmlns:a="http://schemas.openxmlformats.org/drawingml/2006/main">
                  <a:graphicData uri="http://schemas.microsoft.com/office/word/2010/wordprocessingShape">
                    <wps:wsp>
                      <wps:cNvSpPr/>
                      <wps:spPr>
                        <a:xfrm>
                          <a:off x="0" y="0"/>
                          <a:ext cx="2032635" cy="2387600"/>
                        </a:xfrm>
                        <a:prstGeom prst="rect">
                          <a:avLst/>
                        </a:prstGeom>
                        <a:noFill/>
                        <a:ln w="3810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38pt;margin-top:200.65pt;height:188pt;width:160.05pt;z-index:251661312;mso-width-relative:page;mso-height-relative:page;" filled="f" stroked="t" coordsize="21600,21600" o:gfxdata="UEsDBAoAAAAAAIdO4kAAAAAAAAAAAAAAAAAEAAAAZHJzL1BLAwQUAAAACACHTuJAFZsUw9gAAAAL&#10;AQAADwAAAGRycy9kb3ducmV2LnhtbE2PQUvDQBCF74L/YRnBm91NK4mN2RQUVKSnVsHrJBmTYHY2&#10;ZDdt/PeOJ729xzzefK/YLW5QJ5pC79lCsjKgiGvf9NxaeH97urkDFSJyg4NnsvBNAXbl5UWBeePP&#10;fKDTMbZKSjjkaKGLccy1DnVHDsPKj8Ry+/STwyh2anUz4VnK3aDXxqTaYc/yocORHjuqv46zs1DV&#10;+mF5fhm3r+vDvKf9B8ZqRmuvrxJzDyrSEv/C8Isv6FAKU+VnboIaLNxmqWyJIkyyASWJbJsmoCoR&#10;WbYBXRb6/4byB1BLAwQUAAAACACHTuJAjayINfsBAAD5AwAADgAAAGRycy9lMm9Eb2MueG1srVNL&#10;jhMxEN0jcQfLe9Kdjgihlc4sCGGDYKSBAzj+dFvyTy4nnZwGiR2H4DiIa1B2hwwMmyzIolN2lV+9&#10;91xe352sIUcZQXvX0fmspkQ67oV2fUc/f9q9WFECiTnBjHeyo2cJ9G7z/Nl6DK1s/OCNkJEgiIN2&#10;DB0dUgptVQEfpGUw80E6TCofLUu4jH0lIhsR3ZqqqetlNfooQvRcAuDudkrSC2K8BdArpbncen6w&#10;0qUJNUrDEkqCQQegm8JWKcnTR6VAJmI6ikpT+WITjPf5W23WrO0jC4PmFwrsFgpPNFmmHTa9Qm1Z&#10;YuQQ9T9QVvPowas0495Wk5DiCKqY10+8eRhYkEULWg3hajr8P1j+4XgfiRYdXbymxDGLN/7zy7cf&#10;378S3EB3xgAtFj2E+3hZAYZZ6klFm/9RBDkVR89XR+UpEY6bTb1olouXlHDMNYvVq2VdPK8ej4cI&#10;6Z30luSgoxGvrDjJju8hYUss/V2Suzm/08aUazOOjMh7NUdMwhnOosIZwNAG1AOuLzjgjRb5TD4N&#10;sd+/MZEcGc7DblfjL4vEHn+V5YZbBsNUV1LTpFidZPaBtYNk4q0TJJ0DWubwqdDMxkpBiZH4snJU&#10;KhPT5pZKJGEccsmOTx7naO/FGW/oEKLuB/RnXvjmDE5EYX6Z3jxyf64L0uOL3f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ZsUw9gAAAALAQAADwAAAAAAAAABACAAAAAiAAAAZHJzL2Rvd25yZXYu&#10;eG1sUEsBAhQAFAAAAAgAh07iQI2siDX7AQAA+QMAAA4AAAAAAAAAAQAgAAAAJwEAAGRycy9lMm9E&#10;b2MueG1sUEsFBgAAAAAGAAYAWQEAAJQFAAAAAA==&#10;">
                <v:fill on="f" focussize="0,0"/>
                <v:stroke weight="3pt" color="#FF0000" joinstyle="miter"/>
                <v:imagedata o:title=""/>
                <o:lock v:ext="edit" aspectratio="f"/>
              </v:rect>
            </w:pict>
          </mc:Fallback>
        </mc:AlternateContent>
      </w:r>
      <w:r>
        <w:rPr>
          <w:highlight w:val="none"/>
        </w:rPr>
        <w:drawing>
          <wp:inline distT="0" distB="0" distL="114300" distR="114300">
            <wp:extent cx="5279390" cy="7654925"/>
            <wp:effectExtent l="0" t="0" r="16510" b="317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7"/>
                    <a:stretch>
                      <a:fillRect/>
                    </a:stretch>
                  </pic:blipFill>
                  <pic:spPr>
                    <a:xfrm>
                      <a:off x="0" y="0"/>
                      <a:ext cx="5279390" cy="7654925"/>
                    </a:xfrm>
                    <a:prstGeom prst="rect">
                      <a:avLst/>
                    </a:prstGeom>
                    <a:noFill/>
                    <a:ln>
                      <a:noFill/>
                    </a:ln>
                  </pic:spPr>
                </pic:pic>
              </a:graphicData>
            </a:graphic>
          </wp:inline>
        </w:drawing>
      </w:r>
    </w:p>
    <w:p>
      <w:pPr>
        <w:pStyle w:val="34"/>
        <w:bidi w:val="0"/>
        <w:rPr>
          <w:rFonts w:ascii="Times New Roman" w:hAnsi="Times New Roman"/>
          <w:b/>
          <w:bCs/>
          <w:kern w:val="0"/>
          <w:sz w:val="24"/>
          <w:szCs w:val="24"/>
          <w:highlight w:val="none"/>
          <w:lang w:val="en"/>
        </w:rPr>
      </w:pPr>
      <w:r>
        <w:rPr>
          <w:rFonts w:hint="eastAsia" w:ascii="Times New Roman" w:hAnsi="Times New Roman"/>
          <w:b/>
          <w:bCs/>
          <w:kern w:val="0"/>
          <w:sz w:val="24"/>
          <w:szCs w:val="24"/>
          <w:highlight w:val="none"/>
          <w:lang w:val="en"/>
        </w:rPr>
        <w:t>图</w:t>
      </w:r>
      <w:r>
        <w:rPr>
          <w:rFonts w:hint="eastAsia" w:ascii="Times New Roman" w:hAnsi="Times New Roman"/>
          <w:b/>
          <w:bCs/>
          <w:kern w:val="0"/>
          <w:sz w:val="24"/>
          <w:szCs w:val="24"/>
          <w:highlight w:val="none"/>
        </w:rPr>
        <w:t>1</w:t>
      </w:r>
      <w:r>
        <w:rPr>
          <w:rFonts w:ascii="Times New Roman" w:hAnsi="Times New Roman"/>
          <w:b/>
          <w:bCs/>
          <w:kern w:val="0"/>
          <w:sz w:val="24"/>
          <w:szCs w:val="24"/>
          <w:highlight w:val="none"/>
        </w:rPr>
        <w:t>0</w:t>
      </w:r>
      <w:r>
        <w:rPr>
          <w:rFonts w:hint="eastAsia" w:ascii="Times New Roman" w:hAnsi="Times New Roman"/>
          <w:b/>
          <w:bCs/>
          <w:kern w:val="0"/>
          <w:sz w:val="24"/>
          <w:szCs w:val="24"/>
          <w:highlight w:val="none"/>
        </w:rPr>
        <w:t>.3-</w:t>
      </w:r>
      <w:r>
        <w:rPr>
          <w:rFonts w:hint="eastAsia"/>
          <w:b/>
          <w:bCs/>
          <w:kern w:val="0"/>
          <w:sz w:val="24"/>
          <w:szCs w:val="24"/>
          <w:highlight w:val="none"/>
          <w:lang w:val="en-US" w:eastAsia="zh-CN"/>
        </w:rPr>
        <w:t>4</w:t>
      </w:r>
      <w:r>
        <w:rPr>
          <w:rFonts w:hint="eastAsia" w:ascii="Times New Roman" w:hAnsi="Times New Roman"/>
          <w:b/>
          <w:bCs/>
          <w:kern w:val="0"/>
          <w:sz w:val="24"/>
          <w:szCs w:val="24"/>
          <w:highlight w:val="none"/>
        </w:rPr>
        <w:t xml:space="preserve"> </w:t>
      </w:r>
      <w:r>
        <w:rPr>
          <w:rFonts w:hint="eastAsia"/>
          <w:b/>
          <w:bCs/>
          <w:kern w:val="0"/>
          <w:sz w:val="24"/>
          <w:szCs w:val="24"/>
          <w:highlight w:val="none"/>
          <w:lang w:val="en-US" w:eastAsia="zh-CN"/>
        </w:rPr>
        <w:t>第二次</w:t>
      </w:r>
      <w:r>
        <w:rPr>
          <w:rFonts w:ascii="Times New Roman" w:hAnsi="Times New Roman"/>
          <w:b/>
          <w:bCs/>
          <w:kern w:val="0"/>
          <w:sz w:val="24"/>
          <w:szCs w:val="24"/>
          <w:highlight w:val="none"/>
          <w:lang w:val="en"/>
        </w:rPr>
        <w:t>征求意见稿报纸公示</w:t>
      </w:r>
    </w:p>
    <w:p>
      <w:pPr>
        <w:pStyle w:val="6"/>
        <w:bidi w:val="0"/>
        <w:rPr>
          <w:b/>
          <w:bCs/>
          <w:highlight w:val="none"/>
        </w:rPr>
      </w:pPr>
      <w:r>
        <w:rPr>
          <w:rFonts w:hint="eastAsia"/>
          <w:b/>
          <w:bCs/>
          <w:highlight w:val="none"/>
          <w:lang w:val="en-US" w:eastAsia="zh-CN"/>
        </w:rPr>
        <w:t>3、</w:t>
      </w:r>
      <w:r>
        <w:rPr>
          <w:rFonts w:hint="eastAsia"/>
          <w:b/>
          <w:bCs/>
          <w:highlight w:val="none"/>
        </w:rPr>
        <w:t>网络</w:t>
      </w:r>
      <w:r>
        <w:rPr>
          <w:b/>
          <w:bCs/>
          <w:highlight w:val="none"/>
        </w:rPr>
        <w:t>公示</w:t>
      </w:r>
    </w:p>
    <w:p>
      <w:pPr>
        <w:pStyle w:val="6"/>
        <w:bidi w:val="0"/>
        <w:rPr>
          <w:highlight w:val="none"/>
          <w:lang w:val="en"/>
        </w:rPr>
      </w:pPr>
      <w:r>
        <w:rPr>
          <w:rFonts w:hint="eastAsia"/>
          <w:highlight w:val="none"/>
          <w:lang w:val="en"/>
        </w:rPr>
        <w:t>规划环境影响报告书</w:t>
      </w:r>
      <w:r>
        <w:rPr>
          <w:highlight w:val="none"/>
          <w:lang w:val="en"/>
        </w:rPr>
        <w:t>征求意见稿在</w:t>
      </w:r>
      <w:r>
        <w:rPr>
          <w:rFonts w:hint="eastAsia"/>
          <w:highlight w:val="none"/>
          <w:lang w:val="en"/>
        </w:rPr>
        <w:t>林芝市旅游发展局</w:t>
      </w:r>
      <w:r>
        <w:rPr>
          <w:highlight w:val="none"/>
          <w:lang w:val="en"/>
        </w:rPr>
        <w:t>网站进行</w:t>
      </w:r>
      <w:r>
        <w:rPr>
          <w:rFonts w:hint="eastAsia"/>
          <w:highlight w:val="none"/>
          <w:lang w:val="en"/>
        </w:rPr>
        <w:t>网络</w:t>
      </w:r>
      <w:r>
        <w:rPr>
          <w:highlight w:val="none"/>
          <w:lang w:val="en"/>
        </w:rPr>
        <w:t>公示，公示网址：</w:t>
      </w:r>
    </w:p>
    <w:p>
      <w:pPr>
        <w:keepNext w:val="0"/>
        <w:keepLines w:val="0"/>
        <w:widowControl w:val="0"/>
        <w:suppressLineNumbers w:val="0"/>
        <w:spacing w:before="0" w:beforeAutospacing="0" w:after="0" w:afterAutospacing="0" w:line="360" w:lineRule="auto"/>
        <w:ind w:right="0"/>
        <w:jc w:val="both"/>
        <w:rPr>
          <w:rFonts w:hint="eastAsia" w:ascii="Times New Roman" w:hAnsi="Times New Roman" w:eastAsia="宋体" w:cs="宋体"/>
          <w:color w:val="000000"/>
          <w:kern w:val="2"/>
          <w:sz w:val="24"/>
          <w:szCs w:val="24"/>
          <w:lang w:val="en-US" w:eastAsia="zh-CN" w:bidi="ar"/>
        </w:rPr>
      </w:pPr>
      <w:r>
        <w:rPr>
          <w:highlight w:val="none"/>
          <w:lang w:val="en"/>
        </w:rPr>
        <w:t>http://www.lfw.linzhi.gov.cn/lzslyfzwyh/c103820/202208/ea2c683dfa724992ab53c278d22fa7e0.shtml</w:t>
      </w:r>
      <w:r>
        <w:rPr>
          <w:rFonts w:hint="eastAsia"/>
          <w:highlight w:val="none"/>
          <w:lang w:val="en" w:eastAsia="zh-CN"/>
        </w:rPr>
        <w:t>，</w:t>
      </w:r>
      <w:r>
        <w:rPr>
          <w:rFonts w:hint="eastAsia" w:ascii="Times New Roman" w:hAnsi="Times New Roman" w:eastAsia="宋体" w:cs="宋体"/>
          <w:color w:val="auto"/>
          <w:kern w:val="2"/>
          <w:sz w:val="24"/>
          <w:szCs w:val="24"/>
          <w:highlight w:val="none"/>
          <w:lang w:val="en-US" w:eastAsia="zh-CN" w:bidi="ar"/>
        </w:rPr>
        <w:t>公示日期为：2022年8月</w:t>
      </w:r>
      <w:r>
        <w:rPr>
          <w:rFonts w:hint="eastAsia" w:eastAsia="宋体" w:cs="宋体"/>
          <w:color w:val="auto"/>
          <w:kern w:val="2"/>
          <w:sz w:val="24"/>
          <w:szCs w:val="24"/>
          <w:highlight w:val="none"/>
          <w:lang w:val="en-US" w:eastAsia="zh-CN" w:bidi="ar"/>
        </w:rPr>
        <w:t>4</w:t>
      </w:r>
      <w:r>
        <w:rPr>
          <w:rFonts w:hint="eastAsia" w:ascii="Times New Roman" w:hAnsi="Times New Roman" w:eastAsia="宋体" w:cs="宋体"/>
          <w:color w:val="auto"/>
          <w:kern w:val="2"/>
          <w:sz w:val="24"/>
          <w:szCs w:val="24"/>
          <w:highlight w:val="none"/>
          <w:lang w:val="en-US" w:eastAsia="zh-CN" w:bidi="ar"/>
        </w:rPr>
        <w:t>日；公示期限为自公示之日起10个工作日。符合《环境影响评价公众参与办法》（生态环境部令第</w:t>
      </w:r>
      <w:r>
        <w:rPr>
          <w:rFonts w:hint="default" w:ascii="Times New Roman" w:hAnsi="Times New Roman" w:eastAsia="宋体" w:cs="Times New Roman"/>
          <w:color w:val="auto"/>
          <w:kern w:val="2"/>
          <w:sz w:val="24"/>
          <w:szCs w:val="24"/>
          <w:highlight w:val="none"/>
          <w:lang w:val="en-US" w:eastAsia="zh-CN" w:bidi="ar"/>
        </w:rPr>
        <w:t>4</w:t>
      </w:r>
      <w:r>
        <w:rPr>
          <w:rFonts w:hint="eastAsia" w:ascii="Times New Roman" w:hAnsi="Times New Roman" w:eastAsia="宋体" w:cs="宋体"/>
          <w:color w:val="auto"/>
          <w:kern w:val="2"/>
          <w:sz w:val="24"/>
          <w:szCs w:val="24"/>
          <w:highlight w:val="none"/>
          <w:lang w:val="en-US" w:eastAsia="zh-CN" w:bidi="ar"/>
        </w:rPr>
        <w:t>号）的规定。公示截图详见下</w:t>
      </w:r>
      <w:r>
        <w:rPr>
          <w:rFonts w:hint="eastAsia" w:ascii="Times New Roman" w:hAnsi="Times New Roman" w:eastAsia="宋体" w:cs="宋体"/>
          <w:color w:val="000000"/>
          <w:kern w:val="2"/>
          <w:sz w:val="24"/>
          <w:szCs w:val="24"/>
          <w:lang w:val="en-US" w:eastAsia="zh-CN" w:bidi="ar"/>
        </w:rPr>
        <w:t>图。</w:t>
      </w:r>
    </w:p>
    <w:p>
      <w:pPr>
        <w:pStyle w:val="15"/>
        <w:jc w:val="center"/>
        <w:rPr>
          <w:highlight w:val="none"/>
        </w:rPr>
      </w:pPr>
      <w:r>
        <w:rPr>
          <w:highlight w:val="none"/>
        </w:rPr>
        <w:drawing>
          <wp:inline distT="0" distB="0" distL="114300" distR="114300">
            <wp:extent cx="5278755" cy="3378835"/>
            <wp:effectExtent l="0" t="0" r="17145" b="1206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28"/>
                    <a:stretch>
                      <a:fillRect/>
                    </a:stretch>
                  </pic:blipFill>
                  <pic:spPr>
                    <a:xfrm>
                      <a:off x="0" y="0"/>
                      <a:ext cx="5278755" cy="3378835"/>
                    </a:xfrm>
                    <a:prstGeom prst="rect">
                      <a:avLst/>
                    </a:prstGeom>
                    <a:noFill/>
                    <a:ln>
                      <a:noFill/>
                    </a:ln>
                  </pic:spPr>
                </pic:pic>
              </a:graphicData>
            </a:graphic>
          </wp:inline>
        </w:drawing>
      </w:r>
    </w:p>
    <w:p>
      <w:pPr>
        <w:pStyle w:val="34"/>
        <w:bidi w:val="0"/>
        <w:rPr>
          <w:lang w:val="en"/>
        </w:rPr>
      </w:pPr>
      <w:r>
        <w:rPr>
          <w:lang w:val="en"/>
        </w:rPr>
        <w:t>图</w:t>
      </w:r>
      <w:r>
        <w:rPr>
          <w:rFonts w:hint="eastAsia"/>
        </w:rPr>
        <w:t>1</w:t>
      </w:r>
      <w:r>
        <w:t>0.</w:t>
      </w:r>
      <w:r>
        <w:rPr>
          <w:lang w:val="en"/>
        </w:rPr>
        <w:t>3</w:t>
      </w:r>
      <w:r>
        <w:t>-</w:t>
      </w:r>
      <w:r>
        <w:rPr>
          <w:rFonts w:hint="eastAsia"/>
          <w:lang w:val="en-US" w:eastAsia="zh-CN"/>
        </w:rPr>
        <w:t>5</w:t>
      </w:r>
      <w:r>
        <w:t xml:space="preserve">  </w:t>
      </w:r>
      <w:r>
        <w:rPr>
          <w:rFonts w:hint="eastAsia"/>
          <w:lang w:val="en"/>
        </w:rPr>
        <w:t>征求意见稿网络</w:t>
      </w:r>
      <w:r>
        <w:rPr>
          <w:lang w:val="en"/>
        </w:rPr>
        <w:t>公示</w:t>
      </w:r>
    </w:p>
    <w:p>
      <w:pPr>
        <w:pStyle w:val="5"/>
        <w:bidi w:val="0"/>
        <w:rPr>
          <w:highlight w:val="none"/>
        </w:rPr>
      </w:pPr>
      <w:bookmarkStart w:id="267" w:name="_Toc7375"/>
      <w:bookmarkStart w:id="268" w:name="_Toc19034"/>
      <w:r>
        <w:rPr>
          <w:rFonts w:hint="eastAsia"/>
          <w:highlight w:val="none"/>
        </w:rPr>
        <w:t>1</w:t>
      </w:r>
      <w:r>
        <w:rPr>
          <w:highlight w:val="none"/>
        </w:rPr>
        <w:t>0</w:t>
      </w:r>
      <w:r>
        <w:rPr>
          <w:rFonts w:hint="eastAsia"/>
          <w:highlight w:val="none"/>
        </w:rPr>
        <w:t>.3.3查阅情况</w:t>
      </w:r>
      <w:bookmarkEnd w:id="267"/>
      <w:bookmarkEnd w:id="268"/>
    </w:p>
    <w:p>
      <w:pPr>
        <w:adjustRightInd w:val="0"/>
        <w:snapToGrid w:val="0"/>
        <w:spacing w:line="360" w:lineRule="auto"/>
        <w:ind w:firstLine="480" w:firstLineChars="200"/>
        <w:rPr>
          <w:sz w:val="24"/>
          <w:highlight w:val="none"/>
        </w:rPr>
      </w:pPr>
      <w:r>
        <w:rPr>
          <w:sz w:val="24"/>
          <w:highlight w:val="none"/>
        </w:rPr>
        <w:t>公示期间，除提供报告及公众意见表网络下载方式外，</w:t>
      </w:r>
      <w:r>
        <w:rPr>
          <w:rFonts w:hint="eastAsia"/>
          <w:sz w:val="24"/>
          <w:highlight w:val="none"/>
        </w:rPr>
        <w:t>另在林芝市旅游发展局</w:t>
      </w:r>
      <w:r>
        <w:rPr>
          <w:sz w:val="24"/>
          <w:highlight w:val="none"/>
        </w:rPr>
        <w:t>放置了供公众查阅的纸质版报告，公示期间，未有团体和个人查阅纸质报告。</w:t>
      </w:r>
    </w:p>
    <w:p>
      <w:pPr>
        <w:pStyle w:val="5"/>
        <w:bidi w:val="0"/>
        <w:rPr>
          <w:color w:val="00B050"/>
          <w:highlight w:val="none"/>
        </w:rPr>
      </w:pPr>
      <w:bookmarkStart w:id="269" w:name="_Toc31012"/>
      <w:r>
        <w:rPr>
          <w:rFonts w:hint="eastAsia"/>
          <w:color w:val="00B050"/>
          <w:highlight w:val="none"/>
        </w:rPr>
        <w:t>1</w:t>
      </w:r>
      <w:r>
        <w:rPr>
          <w:rFonts w:hint="eastAsia"/>
          <w:color w:val="00B050"/>
          <w:highlight w:val="none"/>
          <w:lang w:val="en-US" w:eastAsia="zh-CN"/>
        </w:rPr>
        <w:t>0</w:t>
      </w:r>
      <w:r>
        <w:rPr>
          <w:rFonts w:hint="eastAsia"/>
          <w:color w:val="00B050"/>
          <w:highlight w:val="none"/>
        </w:rPr>
        <w:t>.3.4公众提出意见情况</w:t>
      </w:r>
      <w:bookmarkEnd w:id="269"/>
    </w:p>
    <w:p>
      <w:pPr>
        <w:ind w:firstLine="480" w:firstLineChars="200"/>
        <w:rPr>
          <w:color w:val="00B050"/>
          <w:kern w:val="0"/>
          <w:highlight w:val="none"/>
          <w:lang w:val="en"/>
        </w:rPr>
      </w:pPr>
      <w:r>
        <w:rPr>
          <w:color w:val="00B050"/>
          <w:kern w:val="0"/>
          <w:highlight w:val="none"/>
          <w:lang w:val="en"/>
        </w:rPr>
        <w:t>公示期间，未收到公众意见反馈表及相关意见。</w:t>
      </w:r>
    </w:p>
    <w:p>
      <w:pPr>
        <w:pStyle w:val="5"/>
        <w:bidi w:val="0"/>
        <w:rPr>
          <w:color w:val="00B050"/>
        </w:rPr>
      </w:pPr>
      <w:bookmarkStart w:id="270" w:name="_Toc9195"/>
      <w:bookmarkStart w:id="271" w:name="_Toc16905"/>
      <w:r>
        <w:rPr>
          <w:rFonts w:hint="eastAsia"/>
          <w:color w:val="00B050"/>
          <w:lang w:val="en-US" w:eastAsia="zh-CN"/>
        </w:rPr>
        <w:t>10.3.5</w:t>
      </w:r>
      <w:r>
        <w:rPr>
          <w:rFonts w:hint="eastAsia"/>
          <w:color w:val="00B050"/>
        </w:rPr>
        <w:t>其他公众参与情况</w:t>
      </w:r>
      <w:bookmarkEnd w:id="270"/>
      <w:bookmarkEnd w:id="271"/>
    </w:p>
    <w:p>
      <w:pPr>
        <w:adjustRightInd w:val="0"/>
        <w:snapToGrid w:val="0"/>
        <w:spacing w:line="360" w:lineRule="auto"/>
        <w:ind w:firstLine="480" w:firstLineChars="200"/>
        <w:rPr>
          <w:rFonts w:hint="eastAsia"/>
          <w:color w:val="00B050"/>
          <w:highlight w:val="none"/>
          <w:lang w:val="en-US" w:eastAsia="zh-CN"/>
        </w:rPr>
      </w:pPr>
      <w:r>
        <w:rPr>
          <w:rFonts w:hint="eastAsia"/>
          <w:color w:val="00B050"/>
          <w:highlight w:val="none"/>
          <w:lang w:val="en-US" w:eastAsia="zh-CN"/>
        </w:rPr>
        <w:t>为充分征求当地政府及相关主管部门对本规划环评报告的意见，</w:t>
      </w:r>
      <w:r>
        <w:rPr>
          <w:rFonts w:hint="eastAsia"/>
          <w:color w:val="00B050"/>
          <w:highlight w:val="none"/>
        </w:rPr>
        <w:t>林芝市旅游发展局</w:t>
      </w:r>
      <w:r>
        <w:rPr>
          <w:rFonts w:hint="eastAsia"/>
          <w:color w:val="00B050"/>
          <w:highlight w:val="none"/>
          <w:lang w:val="en-US" w:eastAsia="zh-CN"/>
        </w:rPr>
        <w:t>将征求意见稿（电子版）发送相关单位，请各单位对征求意见稿进行认真审核，期间陆续收到各单位的反馈意见和建议，报告编制单位根据各单位反馈意见和建议对环境影响报告书进行了认真修改。</w:t>
      </w:r>
    </w:p>
    <w:p>
      <w:pPr>
        <w:rPr>
          <w:highlight w:val="none"/>
        </w:rPr>
      </w:pPr>
    </w:p>
    <w:p>
      <w:pPr>
        <w:spacing w:line="360" w:lineRule="auto"/>
        <w:ind w:firstLine="562" w:firstLineChars="200"/>
        <w:rPr>
          <w:rFonts w:ascii="Times New Roman" w:hAnsi="Times New Roman" w:eastAsia="宋体" w:cs="Times New Roman"/>
          <w:b/>
          <w:bCs w:val="0"/>
          <w:color w:val="auto"/>
          <w:sz w:val="28"/>
          <w:szCs w:val="28"/>
          <w:highlight w:val="none"/>
        </w:rPr>
        <w:sectPr>
          <w:pgSz w:w="11906" w:h="16838"/>
          <w:pgMar w:top="1440" w:right="1800" w:bottom="1440" w:left="1800" w:header="851" w:footer="992" w:gutter="0"/>
          <w:pgNumType w:fmt="decimal"/>
          <w:cols w:space="425" w:num="1"/>
          <w:docGrid w:type="lines" w:linePitch="312" w:charSpace="0"/>
        </w:sectPr>
      </w:pPr>
    </w:p>
    <w:p>
      <w:pPr>
        <w:pStyle w:val="3"/>
        <w:bidi w:val="0"/>
        <w:rPr>
          <w:rFonts w:hint="eastAsia"/>
          <w:color w:val="auto"/>
          <w:highlight w:val="none"/>
        </w:rPr>
      </w:pPr>
      <w:bookmarkStart w:id="272" w:name="_Toc93156080"/>
      <w:bookmarkStart w:id="273" w:name="_Toc21107"/>
      <w:r>
        <w:rPr>
          <w:rFonts w:hint="eastAsia"/>
          <w:color w:val="auto"/>
          <w:highlight w:val="none"/>
        </w:rPr>
        <w:t>11评价结论</w:t>
      </w:r>
      <w:bookmarkEnd w:id="272"/>
      <w:bookmarkEnd w:id="273"/>
    </w:p>
    <w:p>
      <w:pPr>
        <w:pStyle w:val="4"/>
        <w:rPr>
          <w:rFonts w:hint="eastAsia"/>
        </w:rPr>
      </w:pPr>
      <w:bookmarkStart w:id="274" w:name="_Toc12208"/>
      <w:r>
        <w:rPr>
          <w:rFonts w:hint="eastAsia"/>
        </w:rPr>
        <w:t>11.1规划编制背景与规划概况</w:t>
      </w:r>
      <w:bookmarkEnd w:id="274"/>
    </w:p>
    <w:p>
      <w:pPr>
        <w:pStyle w:val="6"/>
        <w:rPr>
          <w:rFonts w:hint="eastAsia"/>
          <w:color w:val="1A15F1"/>
          <w:lang w:eastAsia="zh-CN"/>
        </w:rPr>
      </w:pPr>
      <w:r>
        <w:rPr>
          <w:rFonts w:hint="eastAsia"/>
          <w:color w:val="1A15F1"/>
          <w:highlight w:val="none"/>
          <w:lang w:val="en-US" w:eastAsia="zh-CN"/>
        </w:rPr>
        <w:t>全域旅游发展规划作为全新的旅游规划形式，涉及的内容非常广泛，其认知方式、发展路径有别于传统规划，亦鲜有可供参考借鉴的成熟体系。《林芝市全域旅游发展规划（2018~2025年）》按照相关标准和技术规范，结合林芝市现有旅游产业基础、运营体制，从全域旅游解析、全域旅游发展条件分析、全域旅游产业条件分析、林芝全域发展战略、全资源整合、全空间拓展、全产业融合、全要素提升、全体系覆盖、全方位协作、环境保护规划、创建计划等方面，在</w:t>
      </w:r>
      <w:r>
        <w:rPr>
          <w:rFonts w:hint="eastAsia"/>
          <w:color w:val="1A15F1"/>
        </w:rPr>
        <w:t>规划时间内</w:t>
      </w:r>
      <w:r>
        <w:rPr>
          <w:rFonts w:hint="eastAsia"/>
          <w:color w:val="1A15F1"/>
          <w:lang w:val="en-US" w:eastAsia="zh-CN"/>
        </w:rPr>
        <w:t>为</w:t>
      </w:r>
      <w:r>
        <w:rPr>
          <w:rFonts w:hint="eastAsia"/>
          <w:color w:val="1A15F1"/>
          <w:highlight w:val="none"/>
          <w:lang w:val="en-US" w:eastAsia="zh-CN"/>
        </w:rPr>
        <w:t>林芝市成功创建“国家全域旅游示范区”</w:t>
      </w:r>
      <w:r>
        <w:rPr>
          <w:rFonts w:hint="eastAsia"/>
          <w:color w:val="1A15F1"/>
          <w:lang w:val="en-US" w:eastAsia="zh-CN"/>
        </w:rPr>
        <w:t>提供了</w:t>
      </w:r>
      <w:r>
        <w:rPr>
          <w:rFonts w:hint="eastAsia"/>
          <w:color w:val="1A15F1"/>
        </w:rPr>
        <w:t>基本思路和行动指南</w:t>
      </w:r>
      <w:r>
        <w:rPr>
          <w:rFonts w:hint="eastAsia"/>
          <w:color w:val="1A15F1"/>
          <w:lang w:eastAsia="zh-CN"/>
        </w:rPr>
        <w:t>。</w:t>
      </w:r>
    </w:p>
    <w:p>
      <w:pPr>
        <w:pStyle w:val="6"/>
        <w:ind w:firstLine="480"/>
        <w:rPr>
          <w:rFonts w:hint="eastAsia"/>
          <w:color w:val="1A15F1"/>
        </w:rPr>
      </w:pPr>
      <w:r>
        <w:rPr>
          <w:rFonts w:hint="eastAsia"/>
          <w:color w:val="1A15F1"/>
        </w:rPr>
        <w:t>本次规划年限为201</w:t>
      </w:r>
      <w:r>
        <w:rPr>
          <w:rFonts w:hint="eastAsia"/>
          <w:color w:val="1A15F1"/>
          <w:lang w:val="en-US" w:eastAsia="zh-CN"/>
        </w:rPr>
        <w:t>8</w:t>
      </w:r>
      <w:r>
        <w:rPr>
          <w:rFonts w:hint="eastAsia"/>
          <w:color w:val="1A15F1"/>
        </w:rPr>
        <w:t>年至</w:t>
      </w:r>
      <w:r>
        <w:rPr>
          <w:rFonts w:hint="eastAsia"/>
          <w:color w:val="1A15F1"/>
          <w:lang w:val="en-US" w:eastAsia="zh-CN"/>
        </w:rPr>
        <w:t>2025</w:t>
      </w:r>
      <w:r>
        <w:rPr>
          <w:rFonts w:hint="eastAsia"/>
          <w:color w:val="1A15F1"/>
        </w:rPr>
        <w:t>年，</w:t>
      </w:r>
      <w:r>
        <w:rPr>
          <w:rFonts w:hint="eastAsia"/>
          <w:color w:val="1A15F1"/>
          <w:highlight w:val="none"/>
        </w:rPr>
        <w:t>其中201</w:t>
      </w:r>
      <w:r>
        <w:rPr>
          <w:rFonts w:hint="eastAsia"/>
          <w:color w:val="1A15F1"/>
          <w:highlight w:val="none"/>
          <w:lang w:val="en-US" w:eastAsia="zh-CN"/>
        </w:rPr>
        <w:t>8</w:t>
      </w:r>
      <w:r>
        <w:rPr>
          <w:rFonts w:hint="eastAsia"/>
          <w:color w:val="1A15F1"/>
          <w:highlight w:val="none"/>
        </w:rPr>
        <w:t>~2020年为近期；2021~202</w:t>
      </w:r>
      <w:r>
        <w:rPr>
          <w:rFonts w:hint="eastAsia"/>
          <w:color w:val="1A15F1"/>
          <w:highlight w:val="none"/>
          <w:lang w:val="en-US" w:eastAsia="zh-CN"/>
        </w:rPr>
        <w:t>3</w:t>
      </w:r>
      <w:r>
        <w:rPr>
          <w:rFonts w:hint="eastAsia"/>
          <w:color w:val="1A15F1"/>
          <w:highlight w:val="none"/>
        </w:rPr>
        <w:t>年为中期；202</w:t>
      </w:r>
      <w:r>
        <w:rPr>
          <w:rFonts w:hint="eastAsia"/>
          <w:color w:val="1A15F1"/>
          <w:highlight w:val="none"/>
          <w:lang w:val="en-US" w:eastAsia="zh-CN"/>
        </w:rPr>
        <w:t>4</w:t>
      </w:r>
      <w:r>
        <w:rPr>
          <w:rFonts w:hint="eastAsia"/>
          <w:color w:val="1A15F1"/>
          <w:highlight w:val="none"/>
        </w:rPr>
        <w:t>~20</w:t>
      </w:r>
      <w:r>
        <w:rPr>
          <w:rFonts w:hint="eastAsia"/>
          <w:color w:val="1A15F1"/>
          <w:highlight w:val="none"/>
          <w:lang w:val="en-US" w:eastAsia="zh-CN"/>
        </w:rPr>
        <w:t>25</w:t>
      </w:r>
      <w:r>
        <w:rPr>
          <w:rFonts w:hint="eastAsia"/>
          <w:color w:val="1A15F1"/>
          <w:highlight w:val="none"/>
        </w:rPr>
        <w:t>年为远期。</w:t>
      </w:r>
      <w:r>
        <w:rPr>
          <w:rFonts w:hint="eastAsia"/>
          <w:color w:val="1A15F1"/>
        </w:rPr>
        <w:t>规划范围为林芝市行政管辖范围，具体包括巴宜区、米林县、朗县、工布江达县、波密县、墨脱县、察隅县七个县区，共7.6万km</w:t>
      </w:r>
      <w:r>
        <w:rPr>
          <w:rFonts w:hint="eastAsia"/>
          <w:color w:val="1A15F1"/>
          <w:vertAlign w:val="superscript"/>
        </w:rPr>
        <w:t>2</w:t>
      </w:r>
      <w:r>
        <w:rPr>
          <w:rFonts w:hint="eastAsia"/>
          <w:color w:val="1A15F1"/>
        </w:rPr>
        <w:t>。</w:t>
      </w:r>
    </w:p>
    <w:p>
      <w:pPr>
        <w:pStyle w:val="6"/>
        <w:bidi w:val="0"/>
        <w:rPr>
          <w:rFonts w:hint="eastAsia"/>
          <w:color w:val="1A15F1"/>
          <w:highlight w:val="none"/>
          <w:lang w:val="en-US" w:eastAsia="zh-CN"/>
        </w:rPr>
      </w:pPr>
      <w:r>
        <w:rPr>
          <w:rFonts w:hint="eastAsia"/>
          <w:color w:val="1A15F1"/>
          <w:lang w:eastAsia="zh-CN"/>
        </w:rPr>
        <w:t>“</w:t>
      </w:r>
      <w:r>
        <w:rPr>
          <w:rFonts w:hint="eastAsia"/>
          <w:color w:val="1A15F1"/>
        </w:rPr>
        <w:t>林芝市全域旅游发展规划（2018-2025年）</w:t>
      </w:r>
      <w:r>
        <w:rPr>
          <w:rFonts w:hint="eastAsia"/>
          <w:color w:val="1A15F1"/>
          <w:lang w:eastAsia="zh-CN"/>
        </w:rPr>
        <w:t>”</w:t>
      </w:r>
      <w:r>
        <w:rPr>
          <w:rFonts w:hint="eastAsia"/>
          <w:color w:val="1A15F1"/>
          <w:lang w:val="en-US" w:eastAsia="zh-CN"/>
        </w:rPr>
        <w:t>中林芝的形象定位</w:t>
      </w:r>
      <w:r>
        <w:rPr>
          <w:rFonts w:hint="eastAsia"/>
          <w:color w:val="1A15F1"/>
          <w:highlight w:val="none"/>
          <w:lang w:val="en-US" w:eastAsia="zh-CN"/>
        </w:rPr>
        <w:t>为“</w:t>
      </w:r>
      <w:r>
        <w:rPr>
          <w:rFonts w:hint="default"/>
          <w:color w:val="1A15F1"/>
          <w:highlight w:val="none"/>
          <w:lang w:val="en-US" w:eastAsia="zh-CN"/>
        </w:rPr>
        <w:t>人间净地·醉美林芝</w:t>
      </w:r>
      <w:r>
        <w:rPr>
          <w:rFonts w:hint="eastAsia"/>
          <w:color w:val="1A15F1"/>
          <w:highlight w:val="none"/>
          <w:lang w:val="en-US" w:eastAsia="zh-CN"/>
        </w:rPr>
        <w:t>”，规划</w:t>
      </w:r>
      <w:r>
        <w:rPr>
          <w:rFonts w:hint="eastAsia"/>
          <w:color w:val="1A15F1"/>
          <w:highlight w:val="none"/>
        </w:rPr>
        <w:t>从市场到政府，搭建全域旅游大平台</w:t>
      </w:r>
      <w:r>
        <w:rPr>
          <w:rFonts w:hint="eastAsia"/>
          <w:color w:val="1A15F1"/>
          <w:highlight w:val="none"/>
          <w:lang w:eastAsia="zh-CN"/>
        </w:rPr>
        <w:t>，</w:t>
      </w:r>
      <w:r>
        <w:rPr>
          <w:rFonts w:hint="eastAsia"/>
          <w:color w:val="1A15F1"/>
          <w:highlight w:val="none"/>
        </w:rPr>
        <w:t>激发多边协作。立足</w:t>
      </w:r>
      <w:r>
        <w:rPr>
          <w:rFonts w:hint="eastAsia"/>
          <w:color w:val="1A15F1"/>
          <w:highlight w:val="none"/>
          <w:lang w:val="en-US" w:eastAsia="zh-CN"/>
        </w:rPr>
        <w:t>林芝市</w:t>
      </w:r>
      <w:r>
        <w:rPr>
          <w:rFonts w:hint="eastAsia"/>
          <w:color w:val="1A15F1"/>
          <w:highlight w:val="none"/>
        </w:rPr>
        <w:t>自身资源、紧跟市场需求、围绕旅游体验、创新旅游产品，快速构建核心吸引力。从景区到产业，逐步培育全域旅游核心竞争力推动泛景区化旅游目的地建设，</w:t>
      </w:r>
      <w:r>
        <w:rPr>
          <w:rFonts w:hint="eastAsia"/>
          <w:color w:val="1A15F1"/>
          <w:highlight w:val="none"/>
          <w:lang w:val="en-US" w:eastAsia="zh-CN"/>
        </w:rPr>
        <w:t>使林芝市成为</w:t>
      </w:r>
      <w:r>
        <w:rPr>
          <w:rFonts w:hint="default"/>
          <w:color w:val="1A15F1"/>
          <w:highlight w:val="none"/>
          <w:lang w:val="en-US" w:eastAsia="zh-CN"/>
        </w:rPr>
        <w:t>世界级高原生态旅游度假目的地、世界级公路旅游目的地</w:t>
      </w:r>
      <w:r>
        <w:rPr>
          <w:rFonts w:hint="eastAsia"/>
          <w:color w:val="1A15F1"/>
          <w:highlight w:val="none"/>
          <w:lang w:val="en-US" w:eastAsia="zh-CN"/>
        </w:rPr>
        <w:t>。</w:t>
      </w:r>
    </w:p>
    <w:p>
      <w:pPr>
        <w:pStyle w:val="4"/>
        <w:rPr>
          <w:rFonts w:hint="eastAsia"/>
        </w:rPr>
      </w:pPr>
      <w:bookmarkStart w:id="275" w:name="_Toc15662"/>
      <w:r>
        <w:rPr>
          <w:rFonts w:hint="eastAsia"/>
        </w:rPr>
        <w:t>11.2生态环境现状与存在问题</w:t>
      </w:r>
      <w:bookmarkEnd w:id="275"/>
    </w:p>
    <w:p>
      <w:pPr>
        <w:pStyle w:val="5"/>
        <w:rPr>
          <w:rFonts w:hint="eastAsia"/>
        </w:rPr>
      </w:pPr>
      <w:bookmarkStart w:id="276" w:name="_Toc17928"/>
      <w:r>
        <w:rPr>
          <w:rFonts w:hint="eastAsia"/>
        </w:rPr>
        <w:t>11.2.1生态环境现状</w:t>
      </w:r>
      <w:bookmarkEnd w:id="276"/>
    </w:p>
    <w:p>
      <w:pPr>
        <w:pStyle w:val="6"/>
        <w:ind w:firstLine="482"/>
        <w:rPr>
          <w:rFonts w:hint="eastAsia"/>
          <w:b/>
          <w:bCs/>
        </w:rPr>
      </w:pPr>
      <w:r>
        <w:rPr>
          <w:rFonts w:hint="eastAsia"/>
          <w:b/>
          <w:bCs/>
        </w:rPr>
        <w:t>1、环境空气</w:t>
      </w:r>
    </w:p>
    <w:p>
      <w:pPr>
        <w:pStyle w:val="6"/>
        <w:ind w:firstLine="480"/>
        <w:rPr>
          <w:rFonts w:hint="eastAsia"/>
        </w:rPr>
      </w:pPr>
      <w:r>
        <w:rPr>
          <w:rFonts w:hint="eastAsia"/>
        </w:rPr>
        <w:t>根据《林芝市环境质量报告书》（2016~2020年），2</w:t>
      </w:r>
      <w:r>
        <w:t>020</w:t>
      </w:r>
      <w:r>
        <w:rPr>
          <w:rFonts w:hint="eastAsia"/>
        </w:rPr>
        <w:t>年林芝市除米林县、波密县环境空气质量达到《环境空气质量标准》（GB3095-2012）中二级标准，其余县（朗县、墨脱县、察隅县、工布江达县）均能达到《环境空气质量标准》（GB3095-2012）中一级标准。表明林芝市2</w:t>
      </w:r>
      <w:r>
        <w:t>020</w:t>
      </w:r>
      <w:r>
        <w:rPr>
          <w:rFonts w:hint="eastAsia"/>
        </w:rPr>
        <w:t>年环境空气质量较好，属于达标区。</w:t>
      </w:r>
    </w:p>
    <w:p>
      <w:pPr>
        <w:pStyle w:val="6"/>
        <w:ind w:firstLine="480"/>
        <w:rPr>
          <w:rFonts w:hint="eastAsia"/>
        </w:rPr>
      </w:pPr>
      <w:r>
        <w:rPr>
          <w:rFonts w:hint="eastAsia"/>
        </w:rPr>
        <w:t>通过分析林芝市中心城区（巴宜区）2016年~2020年主要污染物变化趋势，近5年来，SO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、O</w:t>
      </w:r>
      <w:r>
        <w:rPr>
          <w:rFonts w:hint="eastAsia"/>
          <w:vertAlign w:val="subscript"/>
        </w:rPr>
        <w:t>3</w:t>
      </w:r>
      <w:r>
        <w:rPr>
          <w:rFonts w:hint="eastAsia"/>
        </w:rPr>
        <w:t>可以满足《环境空气质量标准》（GB3095-2012）及其修改单中对应的二级标准限值要求，年均浓度总体变化趋势较为平稳。区域2016~2020年NO</w:t>
      </w:r>
      <w:r>
        <w:rPr>
          <w:rFonts w:hint="eastAsia"/>
          <w:vertAlign w:val="subscript"/>
        </w:rPr>
        <w:t>2</w:t>
      </w:r>
      <w:r>
        <w:rPr>
          <w:rFonts w:hint="eastAsia"/>
        </w:rPr>
        <w:t>年均浓度可以满足《环境空气质量标准》（GB3095-2012）及其修改单中对应的二级标准限值要求。随着林芝市工业和城市的发展，2016~2017年NO</w:t>
      </w:r>
      <w:r>
        <w:rPr>
          <w:rFonts w:hint="eastAsia"/>
          <w:vertAlign w:val="subscript"/>
        </w:rPr>
        <w:t>2</w:t>
      </w:r>
      <w:r>
        <w:rPr>
          <w:rFonts w:hint="eastAsia"/>
        </w:rPr>
        <w:t>年均浓度略有上升，2018年略有下降保持稳定，2019~2020年度又有上升趋势，上升幅度很小。</w:t>
      </w:r>
    </w:p>
    <w:p>
      <w:pPr>
        <w:pStyle w:val="6"/>
        <w:ind w:firstLine="482"/>
        <w:rPr>
          <w:b/>
          <w:bCs/>
        </w:rPr>
      </w:pPr>
      <w:r>
        <w:rPr>
          <w:rFonts w:hint="eastAsia"/>
          <w:b/>
          <w:bCs/>
        </w:rPr>
        <w:t>2、地表水</w:t>
      </w:r>
    </w:p>
    <w:p>
      <w:pPr>
        <w:pStyle w:val="6"/>
        <w:ind w:firstLine="480"/>
        <w:rPr>
          <w:rFonts w:hint="eastAsia"/>
        </w:rPr>
      </w:pPr>
      <w:r>
        <w:rPr>
          <w:rFonts w:hint="eastAsia"/>
        </w:rPr>
        <w:t>根据《林芝市环境质量报告书（2016~2020年）》，2020年林芝市内雅鲁藏布江干流9个监测断面水质达标率均为100%，雅鲁藏布支流尼洋河4个监测断面水质达标率均为100%、帕隆藏布2个监测断面水质达标率均为100%，桑昂曲宗3个监测断面水质达标率均为100%,怒江1个监测断面水质达标率均为100%，独龙江1个监测断面水质达标率均为100%。</w:t>
      </w:r>
    </w:p>
    <w:p>
      <w:pPr>
        <w:pStyle w:val="6"/>
        <w:ind w:firstLine="482"/>
        <w:rPr>
          <w:b/>
          <w:bCs/>
        </w:rPr>
      </w:pPr>
      <w:r>
        <w:rPr>
          <w:rFonts w:hint="eastAsia"/>
          <w:b/>
          <w:bCs/>
        </w:rPr>
        <w:t>3、声环境</w:t>
      </w:r>
    </w:p>
    <w:p>
      <w:pPr>
        <w:pStyle w:val="6"/>
        <w:ind w:firstLine="480"/>
        <w:rPr>
          <w:rFonts w:hint="eastAsia"/>
        </w:rPr>
      </w:pPr>
      <w:r>
        <w:rPr>
          <w:rFonts w:hint="eastAsia"/>
        </w:rPr>
        <w:t>根据《林芝市环境质量报告书（2016~2020年）》，2020年，林芝市中心城区区域噪声昼间平均等效A声级57.5分贝，达到城市区域环境噪声总体水平等级划分三级标准，昼间声环境质量总体水平“一般”。中心城区道路交通噪声有效测点数为20个，监测路段总长度为16.1公里，昼间平均等效声级为67.3分贝。根据道路交通噪声强度等级划分，道路交通噪声达到“一级”标准，道路交通噪声声环境质量“好”。林芝市共监测各类功能区22点次，其中昼、夜间各11点次，各类功能区监测点位达标率均为100%</w:t>
      </w:r>
    </w:p>
    <w:p>
      <w:pPr>
        <w:pStyle w:val="6"/>
        <w:ind w:firstLine="482"/>
        <w:rPr>
          <w:rFonts w:hint="eastAsia"/>
          <w:b/>
          <w:bCs/>
        </w:rPr>
      </w:pPr>
      <w:r>
        <w:rPr>
          <w:rFonts w:hint="eastAsia"/>
          <w:b/>
          <w:bCs/>
        </w:rPr>
        <w:t>4、土壤质量现状</w:t>
      </w:r>
    </w:p>
    <w:p>
      <w:pPr>
        <w:pStyle w:val="6"/>
        <w:ind w:firstLine="480"/>
        <w:rPr>
          <w:rFonts w:hint="eastAsia"/>
        </w:rPr>
      </w:pPr>
      <w:r>
        <w:rPr>
          <w:rFonts w:hint="eastAsia"/>
        </w:rPr>
        <w:t>根据《林芝市环境质量报告书（2016~2020年）》：2020年，林芝市各县区130个试点村庄中，墨脱县5个试点村共15个土壤监测点位：察隅县17个试点村共51个土壤监测点位：巴宜区15个试点村共12个土壤监测点位：波密县80个试点村共273个士塘监测点位；工布江达县5个试点村庄，5个土壤监测点位：米林县5个试点村庄共5个土壤监测点位：共361个土壤监测点位均符合《土壤环境质量农用地土壤污染风险管控标准》（GB15618-2018）表1农用地土壤污染风险筛选值要求。</w:t>
      </w:r>
    </w:p>
    <w:p>
      <w:pPr>
        <w:pStyle w:val="5"/>
      </w:pPr>
      <w:bookmarkStart w:id="277" w:name="_Toc29864"/>
      <w:r>
        <w:rPr>
          <w:rFonts w:hint="eastAsia"/>
        </w:rPr>
        <w:t>11.2.2存在问题</w:t>
      </w:r>
      <w:bookmarkEnd w:id="277"/>
    </w:p>
    <w:p>
      <w:pPr>
        <w:pStyle w:val="6"/>
        <w:ind w:firstLine="480"/>
        <w:rPr>
          <w:rFonts w:hint="eastAsia"/>
        </w:rPr>
      </w:pPr>
      <w:r>
        <w:rPr>
          <w:rFonts w:hint="eastAsia"/>
        </w:rPr>
        <w:t>林芝市旅游资源丰富、品级高，在旅游业的发展上有着得天独厚的优势，但是开发深度不够，旅游产品体系单一，以观光、体验等形式为主，旅游产品面临着形式趋同和特色性不足的弊端。林芝市内有5个自然保护区、3个国家级森林公园、3个国家级湿地公园、1个国家级地质公园，旅游资源丰富、文化深厚、旅游市场潜力巨大，但另一方面也面临生态环境脆弱的问题，旅游开发将给当地自然环境和原生社区带来一定的影响和冲击。景区内部交通有待改善，景区之间及景区内部的公共交通系统尚未建立，景区回头路、断头路较多。基础设施建设不到位，林芝市生活污水集中收集率仅为16.3%。污水处理系统倘若不尽完善，可能对水环境造成一定污染风险。</w:t>
      </w:r>
    </w:p>
    <w:p>
      <w:pPr>
        <w:pStyle w:val="6"/>
        <w:ind w:firstLine="480"/>
      </w:pPr>
      <w:r>
        <w:rPr>
          <w:rFonts w:hint="eastAsia"/>
        </w:rPr>
        <w:t>同时还发现岗云杉林及柏树王园林景区存在部分观景平台、栈道涉及自然保护区核心区的情况。</w:t>
      </w:r>
    </w:p>
    <w:p>
      <w:pPr>
        <w:pStyle w:val="4"/>
        <w:rPr>
          <w:rFonts w:hint="eastAsia"/>
        </w:rPr>
      </w:pPr>
      <w:bookmarkStart w:id="278" w:name="_Toc13738"/>
      <w:r>
        <w:rPr>
          <w:rFonts w:hint="eastAsia"/>
        </w:rPr>
        <w:t>11.3规划环境影响特征与预测评价结论</w:t>
      </w:r>
      <w:bookmarkEnd w:id="278"/>
    </w:p>
    <w:p>
      <w:pPr>
        <w:pStyle w:val="6"/>
        <w:ind w:firstLine="480"/>
        <w:rPr>
          <w:rFonts w:hint="eastAsia"/>
        </w:rPr>
      </w:pPr>
      <w:r>
        <w:rPr>
          <w:rFonts w:hint="eastAsia"/>
        </w:rPr>
        <w:t>本次规划环评预测情景设置至规划末期20</w:t>
      </w:r>
      <w:r>
        <w:rPr>
          <w:rFonts w:hint="eastAsia"/>
          <w:lang w:val="en-US" w:eastAsia="zh-CN"/>
        </w:rPr>
        <w:t>25</w:t>
      </w:r>
      <w:r>
        <w:rPr>
          <w:rFonts w:hint="eastAsia"/>
        </w:rPr>
        <w:t>年林芝市年接待游客量达</w:t>
      </w:r>
      <w:r>
        <w:rPr>
          <w:rFonts w:hint="eastAsia"/>
          <w:lang w:val="en-US" w:eastAsia="zh-CN"/>
        </w:rPr>
        <w:t>1900</w:t>
      </w:r>
      <w:r>
        <w:rPr>
          <w:rFonts w:hint="eastAsia"/>
        </w:rPr>
        <w:t>万人次。根据旅游资源利用率、配套设施、各旅游景区管理、清洁水平及循环经济的情况设定各污染物指标值。</w:t>
      </w:r>
    </w:p>
    <w:p>
      <w:pPr>
        <w:pStyle w:val="6"/>
        <w:ind w:firstLine="482"/>
        <w:rPr>
          <w:rFonts w:hint="eastAsia"/>
          <w:b/>
          <w:bCs/>
          <w:color w:val="1A15F1"/>
        </w:rPr>
      </w:pPr>
      <w:r>
        <w:rPr>
          <w:rFonts w:hint="eastAsia"/>
          <w:b/>
          <w:bCs/>
          <w:color w:val="1A15F1"/>
        </w:rPr>
        <w:t>1、地表水环境影响</w:t>
      </w:r>
    </w:p>
    <w:p>
      <w:pPr>
        <w:pStyle w:val="6"/>
        <w:ind w:firstLine="480"/>
        <w:rPr>
          <w:rFonts w:hint="eastAsia"/>
          <w:color w:val="1A15F1"/>
        </w:rPr>
      </w:pPr>
      <w:r>
        <w:rPr>
          <w:rFonts w:hint="eastAsia"/>
          <w:color w:val="1A15F1"/>
        </w:rPr>
        <w:t>根据</w:t>
      </w:r>
      <w:r>
        <w:rPr>
          <w:rFonts w:hint="eastAsia"/>
          <w:color w:val="1A15F1"/>
          <w:lang w:val="en-US" w:eastAsia="zh-CN"/>
        </w:rPr>
        <w:t>本次评价</w:t>
      </w:r>
      <w:r>
        <w:rPr>
          <w:rFonts w:hint="eastAsia"/>
          <w:color w:val="1A15F1"/>
        </w:rPr>
        <w:t>设置</w:t>
      </w:r>
      <w:r>
        <w:rPr>
          <w:rFonts w:hint="eastAsia"/>
          <w:color w:val="1A15F1"/>
          <w:lang w:val="en-US" w:eastAsia="zh-CN"/>
        </w:rPr>
        <w:t>预测情景</w:t>
      </w:r>
      <w:r>
        <w:rPr>
          <w:rFonts w:hint="eastAsia"/>
          <w:color w:val="1A15F1"/>
        </w:rPr>
        <w:t>，至规划末年20</w:t>
      </w:r>
      <w:r>
        <w:rPr>
          <w:rFonts w:hint="eastAsia"/>
          <w:color w:val="1A15F1"/>
          <w:lang w:val="en-US" w:eastAsia="zh-CN"/>
        </w:rPr>
        <w:t>25</w:t>
      </w:r>
      <w:r>
        <w:rPr>
          <w:rFonts w:hint="eastAsia"/>
          <w:color w:val="1A15F1"/>
        </w:rPr>
        <w:t>年，</w:t>
      </w:r>
      <w:r>
        <w:rPr>
          <w:rFonts w:hint="eastAsia"/>
          <w:color w:val="1A15F1"/>
          <w:lang w:val="en-US" w:eastAsia="zh-CN"/>
        </w:rPr>
        <w:t>生活</w:t>
      </w:r>
      <w:r>
        <w:rPr>
          <w:rFonts w:hint="eastAsia"/>
          <w:color w:val="1A15F1"/>
        </w:rPr>
        <w:t>污水排放量约为</w:t>
      </w:r>
      <w:r>
        <w:rPr>
          <w:rFonts w:hint="eastAsia"/>
          <w:color w:val="00B050"/>
          <w:lang w:val="en-US" w:eastAsia="zh-CN"/>
        </w:rPr>
        <w:t>91.2</w:t>
      </w:r>
      <w:r>
        <w:rPr>
          <w:rFonts w:hint="eastAsia"/>
          <w:color w:val="00B050"/>
        </w:rPr>
        <w:t>t、</w:t>
      </w:r>
      <w:r>
        <w:rPr>
          <w:rFonts w:hint="eastAsia"/>
          <w:color w:val="00B050"/>
          <w:lang w:val="en-US" w:eastAsia="zh-CN"/>
        </w:rPr>
        <w:t>9.12</w:t>
      </w:r>
      <w:r>
        <w:rPr>
          <w:rFonts w:hint="eastAsia"/>
          <w:color w:val="00B050"/>
        </w:rPr>
        <w:t>t、</w:t>
      </w:r>
      <w:r>
        <w:rPr>
          <w:rFonts w:hint="eastAsia"/>
          <w:color w:val="00B050"/>
          <w:lang w:val="en-US" w:eastAsia="zh-CN"/>
        </w:rPr>
        <w:t>0.91</w:t>
      </w:r>
      <w:r>
        <w:rPr>
          <w:rFonts w:hint="eastAsia"/>
          <w:color w:val="00B050"/>
        </w:rPr>
        <w:t>t</w:t>
      </w:r>
      <w:r>
        <w:rPr>
          <w:rFonts w:hint="eastAsia"/>
          <w:color w:val="1A15F1"/>
        </w:rPr>
        <w:t>，分别占</w:t>
      </w:r>
      <w:r>
        <w:rPr>
          <w:rFonts w:hint="eastAsia"/>
          <w:color w:val="1A15F1"/>
          <w:lang w:val="en-US" w:eastAsia="zh-CN"/>
        </w:rPr>
        <w:t>林芝市</w:t>
      </w:r>
      <w:r>
        <w:rPr>
          <w:rFonts w:hint="eastAsia"/>
          <w:color w:val="1A15F1"/>
        </w:rPr>
        <w:t>20</w:t>
      </w:r>
      <w:r>
        <w:rPr>
          <w:rFonts w:hint="eastAsia"/>
          <w:color w:val="1A15F1"/>
          <w:lang w:val="en-US" w:eastAsia="zh-CN"/>
        </w:rPr>
        <w:t>25</w:t>
      </w:r>
      <w:r>
        <w:rPr>
          <w:rFonts w:hint="eastAsia"/>
          <w:color w:val="1A15F1"/>
        </w:rPr>
        <w:t>年</w:t>
      </w:r>
      <w:r>
        <w:rPr>
          <w:rFonts w:hint="eastAsia"/>
          <w:color w:val="1A15F1"/>
          <w:lang w:val="en-US" w:eastAsia="zh-CN"/>
        </w:rPr>
        <w:t>水污染物</w:t>
      </w:r>
      <w:r>
        <w:rPr>
          <w:rFonts w:hint="eastAsia"/>
          <w:color w:val="1A15F1"/>
        </w:rPr>
        <w:t>允许排放总量的</w:t>
      </w:r>
      <w:r>
        <w:rPr>
          <w:rFonts w:hint="eastAsia"/>
          <w:color w:val="00B050"/>
          <w:lang w:val="en-US" w:eastAsia="zh-CN"/>
        </w:rPr>
        <w:t>3.04</w:t>
      </w:r>
      <w:r>
        <w:rPr>
          <w:rFonts w:hint="eastAsia"/>
          <w:color w:val="00B050"/>
        </w:rPr>
        <w:t>%、</w:t>
      </w:r>
      <w:r>
        <w:rPr>
          <w:rFonts w:hint="eastAsia"/>
          <w:color w:val="00B050"/>
          <w:lang w:val="en-US" w:eastAsia="zh-CN"/>
        </w:rPr>
        <w:t>6.18</w:t>
      </w:r>
      <w:r>
        <w:rPr>
          <w:rFonts w:hint="eastAsia"/>
          <w:color w:val="00B050"/>
        </w:rPr>
        <w:t>%、</w:t>
      </w:r>
      <w:r>
        <w:rPr>
          <w:rFonts w:hint="eastAsia"/>
          <w:color w:val="00B050"/>
          <w:lang w:val="en-US" w:eastAsia="zh-CN"/>
        </w:rPr>
        <w:t>2.54</w:t>
      </w:r>
      <w:r>
        <w:rPr>
          <w:rFonts w:hint="eastAsia"/>
          <w:color w:val="00B050"/>
        </w:rPr>
        <w:t>%</w:t>
      </w:r>
      <w:r>
        <w:rPr>
          <w:rFonts w:hint="eastAsia"/>
          <w:color w:val="1A15F1"/>
        </w:rPr>
        <w:t>。在所有产生废水均能得到收集并处理达到排放标准的前提下，林芝市规划期内旅游业的发展排放的废水，水污染物所占允许排放量的比例较低。</w:t>
      </w:r>
    </w:p>
    <w:p>
      <w:pPr>
        <w:keepNext w:val="0"/>
        <w:keepLines w:val="0"/>
        <w:widowControl w:val="0"/>
        <w:suppressLineNumbers w:val="0"/>
        <w:spacing w:before="0" w:beforeAutospacing="0" w:after="0" w:afterAutospacing="0" w:line="360" w:lineRule="auto"/>
        <w:ind w:left="0" w:right="0" w:firstLine="482"/>
        <w:jc w:val="both"/>
        <w:rPr>
          <w:color w:val="1A15F1"/>
          <w:sz w:val="24"/>
          <w:szCs w:val="24"/>
          <w:lang w:val="en-US"/>
        </w:rPr>
      </w:pPr>
      <w:r>
        <w:rPr>
          <w:rFonts w:hint="eastAsia"/>
          <w:color w:val="1A15F1"/>
        </w:rPr>
        <w:t>规划具体实施过程中，在选址的基础上，通过因地制宜的选择污水收集处理方式，以集中处理为主，不能集中处理的采取分散式定点处理，处理后有限进行回用，降低污染物排放量，</w:t>
      </w:r>
      <w:r>
        <w:rPr>
          <w:rFonts w:hint="eastAsia"/>
          <w:color w:val="1A15F1"/>
          <w:lang w:val="en-US" w:eastAsia="zh-CN"/>
        </w:rPr>
        <w:t>林芝市水</w:t>
      </w:r>
      <w:r>
        <w:rPr>
          <w:rFonts w:hint="eastAsia"/>
          <w:color w:val="1A15F1"/>
        </w:rPr>
        <w:t>环境容量可以支撑本次规划实施。</w:t>
      </w:r>
    </w:p>
    <w:p>
      <w:pPr>
        <w:pStyle w:val="6"/>
        <w:numPr>
          <w:ilvl w:val="0"/>
          <w:numId w:val="14"/>
        </w:numPr>
        <w:ind w:firstLine="482"/>
        <w:rPr>
          <w:rFonts w:hint="eastAsia"/>
          <w:b/>
          <w:bCs/>
          <w:color w:val="1A15F1"/>
        </w:rPr>
      </w:pPr>
      <w:r>
        <w:rPr>
          <w:rFonts w:hint="eastAsia"/>
          <w:b/>
          <w:bCs/>
          <w:color w:val="1A15F1"/>
        </w:rPr>
        <w:t>大气环境影响</w:t>
      </w:r>
    </w:p>
    <w:p>
      <w:pPr>
        <w:pStyle w:val="6"/>
        <w:ind w:firstLine="480"/>
        <w:rPr>
          <w:rFonts w:hint="eastAsia"/>
          <w:color w:val="1A15F1"/>
        </w:rPr>
      </w:pPr>
      <w:r>
        <w:rPr>
          <w:rFonts w:hint="eastAsia"/>
          <w:color w:val="1A15F1"/>
        </w:rPr>
        <w:t>运营期旅游业的主要废气是餐饮油烟、机动车尾气和垃圾收集点的恶臭气体。各景点、酒店等配套餐饮业按照环保要求安装油烟净化设施，油烟废气经油烟净化设施处理后由专用烟道高于屋顶排放，并避开周围敏感建筑物。油烟净化设施净化</w:t>
      </w:r>
      <w:r>
        <w:rPr>
          <w:color w:val="1A15F1"/>
        </w:rPr>
        <w:t>油烟排放浓度和去除效率应当符合</w:t>
      </w:r>
      <w:r>
        <w:rPr>
          <w:rFonts w:hint="eastAsia"/>
          <w:color w:val="1A15F1"/>
        </w:rPr>
        <w:t>《饮食业油烟排放标准》（GB18483-2001）中油烟的最高允许排放浓度的标准限值要求和《饮食业环境保护技术规范》（HJ554-2010）的要求，实现达标排放，对大气环境影响较小。</w:t>
      </w:r>
    </w:p>
    <w:p>
      <w:pPr>
        <w:pStyle w:val="6"/>
        <w:ind w:firstLine="480"/>
        <w:rPr>
          <w:rFonts w:hint="eastAsia"/>
          <w:color w:val="1A15F1"/>
        </w:rPr>
      </w:pPr>
      <w:r>
        <w:rPr>
          <w:rFonts w:hint="eastAsia"/>
          <w:color w:val="1A15F1"/>
        </w:rPr>
        <w:t>景区停车场设置在景区之外，且停车场设置在较为空旷的地方，停车场周边设置高密度的绿化防护，机动车尾气容易扩散，且被绿化吸收；此外，进入景区道路两旁绿化覆盖率较高，因此，机动车尾气对周围大气环境影响不大。</w:t>
      </w:r>
    </w:p>
    <w:p>
      <w:pPr>
        <w:pStyle w:val="6"/>
        <w:ind w:firstLine="480"/>
        <w:rPr>
          <w:rFonts w:hint="eastAsia"/>
          <w:color w:val="1A15F1"/>
        </w:rPr>
      </w:pPr>
      <w:r>
        <w:rPr>
          <w:rFonts w:hint="eastAsia"/>
          <w:color w:val="1A15F1"/>
        </w:rPr>
        <w:t>垃圾收集点外围可设置绿化隔离带，垃圾运输车辆采用拉臂勾车与移动式垃圾收集箱相结合的方式，密闭运输，运输过程不会造成垃圾散落和臭气的污染。污水处理站各处理池加盖封闭，公厕化粪池定期清理，实施以上措施后臭气对周围环境影响小。</w:t>
      </w:r>
    </w:p>
    <w:p>
      <w:pPr>
        <w:pStyle w:val="6"/>
        <w:ind w:firstLine="482"/>
        <w:rPr>
          <w:rFonts w:hint="eastAsia"/>
          <w:b/>
          <w:bCs/>
        </w:rPr>
      </w:pPr>
      <w:r>
        <w:rPr>
          <w:rFonts w:hint="eastAsia"/>
          <w:b/>
          <w:bCs/>
        </w:rPr>
        <w:t>3、固体废物环境影响</w:t>
      </w:r>
    </w:p>
    <w:p>
      <w:pPr>
        <w:pStyle w:val="6"/>
        <w:ind w:firstLine="480"/>
        <w:rPr>
          <w:rFonts w:hint="eastAsia"/>
        </w:rPr>
      </w:pPr>
      <w:r>
        <w:rPr>
          <w:rFonts w:hint="eastAsia"/>
        </w:rPr>
        <w:t>根据本规划定位，旅游活动产生的固体废弃物的影响主要分为生活垃圾。</w:t>
      </w:r>
    </w:p>
    <w:p>
      <w:pPr>
        <w:pStyle w:val="6"/>
        <w:ind w:firstLine="480"/>
        <w:rPr>
          <w:rFonts w:hint="eastAsia"/>
        </w:rPr>
      </w:pPr>
      <w:r>
        <w:rPr>
          <w:rFonts w:hint="eastAsia"/>
        </w:rPr>
        <w:t>规划区内设置与其容纳规模相符的垃圾收集、分类、装运的设施，并与属地生活垃圾集中无害化处理单位做好衔接，对产生的垃圾进行分类，并及时清运。</w:t>
      </w:r>
    </w:p>
    <w:p>
      <w:pPr>
        <w:pStyle w:val="6"/>
        <w:ind w:firstLine="480"/>
        <w:rPr>
          <w:rFonts w:hint="eastAsia"/>
        </w:rPr>
      </w:pPr>
      <w:r>
        <w:rPr>
          <w:rFonts w:hint="eastAsia"/>
        </w:rPr>
        <w:t>规划区内涉及酒店、餐馆等区域产生的餐饮垃圾应进行严格监管，禁止随意排放，应完善环保设施和设备，加强对垃圾的收集和管理，定期由市政部门专用车辆分类转运，送至相关处理机构进行处理。</w:t>
      </w:r>
    </w:p>
    <w:p>
      <w:pPr>
        <w:pStyle w:val="6"/>
        <w:ind w:firstLine="480"/>
        <w:rPr>
          <w:rFonts w:hint="eastAsia"/>
        </w:rPr>
      </w:pPr>
      <w:r>
        <w:rPr>
          <w:rFonts w:hint="eastAsia"/>
        </w:rPr>
        <w:t>在采取了上述处理措施后，本规划的项目运营期固废对周边环境影响不大。</w:t>
      </w:r>
    </w:p>
    <w:p>
      <w:pPr>
        <w:pStyle w:val="6"/>
        <w:ind w:firstLine="482"/>
        <w:rPr>
          <w:rFonts w:ascii="宋体" w:hAnsi="宋体" w:cs="宋体"/>
          <w:b/>
          <w:bCs/>
          <w:color w:val="000000"/>
        </w:rPr>
      </w:pPr>
      <w:r>
        <w:rPr>
          <w:rFonts w:hint="eastAsia"/>
          <w:b/>
          <w:bCs/>
        </w:rPr>
        <w:t>4、</w:t>
      </w:r>
      <w:r>
        <w:rPr>
          <w:rFonts w:ascii="宋体" w:hAnsi="宋体" w:cs="宋体"/>
          <w:b/>
          <w:bCs/>
          <w:color w:val="000000"/>
        </w:rPr>
        <w:t>生态</w:t>
      </w:r>
      <w:r>
        <w:rPr>
          <w:rFonts w:hint="eastAsia" w:ascii="宋体" w:hAnsi="宋体" w:cs="宋体"/>
          <w:b/>
          <w:bCs/>
          <w:color w:val="000000"/>
        </w:rPr>
        <w:t>环境影响</w:t>
      </w:r>
    </w:p>
    <w:p>
      <w:pPr>
        <w:pStyle w:val="6"/>
        <w:ind w:firstLine="480"/>
      </w:pPr>
      <w:r>
        <w:rPr>
          <w:rFonts w:hint="eastAsia" w:ascii="宋体" w:hAnsi="宋体" w:cs="宋体"/>
          <w:color w:val="000000"/>
        </w:rPr>
        <w:t>规划</w:t>
      </w:r>
      <w:r>
        <w:t>建设</w:t>
      </w:r>
      <w:r>
        <w:rPr>
          <w:rFonts w:hint="eastAsia" w:ascii="宋体" w:hAnsi="宋体" w:cs="宋体"/>
          <w:color w:val="000000"/>
        </w:rPr>
        <w:t>项目</w:t>
      </w:r>
      <w:r>
        <w:t>产生的生态影响主要在施工期，如土地占用、水土流失、植被损失、施工噪声对动物生境的影响、施工期对规划区景观的影响等。鉴于整个规划为大范围内的点状开发，规划的实施不会造成规划区内动植物种类的变化，对规划区生物多样性及生态系统的稳定性产生的影响较小。在运营期，随着游客数量增加，应加强森林防火与病虫害防治</w:t>
      </w:r>
      <w:r>
        <w:rPr>
          <w:rFonts w:hint="eastAsia"/>
        </w:rPr>
        <w:t>，</w:t>
      </w:r>
      <w:r>
        <w:t>以及生态恢复，扩大林地面积。</w:t>
      </w:r>
    </w:p>
    <w:p>
      <w:pPr>
        <w:pStyle w:val="4"/>
        <w:rPr>
          <w:rFonts w:hint="eastAsia"/>
        </w:rPr>
      </w:pPr>
      <w:bookmarkStart w:id="279" w:name="_Toc21167"/>
      <w:r>
        <w:rPr>
          <w:rFonts w:hint="eastAsia"/>
        </w:rPr>
        <w:t>11.4资源环境压力与承载力状态评估结论</w:t>
      </w:r>
      <w:bookmarkEnd w:id="279"/>
    </w:p>
    <w:p>
      <w:pPr>
        <w:pStyle w:val="6"/>
        <w:ind w:firstLine="480"/>
        <w:rPr>
          <w:rFonts w:hint="eastAsia"/>
          <w:color w:val="1A15F1"/>
        </w:rPr>
      </w:pPr>
      <w:r>
        <w:rPr>
          <w:rFonts w:hint="eastAsia"/>
          <w:color w:val="1A15F1"/>
        </w:rPr>
        <w:t>根据</w:t>
      </w:r>
      <w:r>
        <w:rPr>
          <w:rFonts w:hint="eastAsia"/>
          <w:color w:val="1A15F1"/>
          <w:lang w:val="en-US" w:eastAsia="zh-CN"/>
        </w:rPr>
        <w:t>本次评价</w:t>
      </w:r>
      <w:r>
        <w:rPr>
          <w:rFonts w:hint="eastAsia"/>
          <w:color w:val="1A15F1"/>
        </w:rPr>
        <w:t>设置</w:t>
      </w:r>
      <w:r>
        <w:rPr>
          <w:rFonts w:hint="eastAsia"/>
          <w:color w:val="1A15F1"/>
          <w:lang w:val="en-US" w:eastAsia="zh-CN"/>
        </w:rPr>
        <w:t>预测情景</w:t>
      </w:r>
      <w:r>
        <w:rPr>
          <w:rFonts w:hint="eastAsia"/>
          <w:color w:val="1A15F1"/>
        </w:rPr>
        <w:t>，至规划末年20</w:t>
      </w:r>
      <w:r>
        <w:rPr>
          <w:rFonts w:hint="eastAsia"/>
          <w:color w:val="1A15F1"/>
          <w:lang w:val="en-US" w:eastAsia="zh-CN"/>
        </w:rPr>
        <w:t>25</w:t>
      </w:r>
      <w:r>
        <w:rPr>
          <w:rFonts w:hint="eastAsia"/>
          <w:color w:val="1A15F1"/>
        </w:rPr>
        <w:t>年，</w:t>
      </w:r>
      <w:r>
        <w:rPr>
          <w:rFonts w:hint="eastAsia"/>
          <w:color w:val="1A15F1"/>
          <w:lang w:val="en-US" w:eastAsia="zh-CN"/>
        </w:rPr>
        <w:t>生活</w:t>
      </w:r>
      <w:r>
        <w:rPr>
          <w:rFonts w:hint="eastAsia"/>
          <w:color w:val="1A15F1"/>
        </w:rPr>
        <w:t>污水排放量约为</w:t>
      </w:r>
      <w:r>
        <w:rPr>
          <w:rFonts w:hint="eastAsia"/>
          <w:color w:val="00B050"/>
          <w:lang w:val="en-US" w:eastAsia="zh-CN"/>
        </w:rPr>
        <w:t>91.2</w:t>
      </w:r>
      <w:r>
        <w:rPr>
          <w:rFonts w:hint="eastAsia"/>
          <w:color w:val="00B050"/>
        </w:rPr>
        <w:t>t、</w:t>
      </w:r>
      <w:r>
        <w:rPr>
          <w:rFonts w:hint="eastAsia"/>
          <w:color w:val="00B050"/>
          <w:lang w:val="en-US" w:eastAsia="zh-CN"/>
        </w:rPr>
        <w:t>9.12</w:t>
      </w:r>
      <w:r>
        <w:rPr>
          <w:rFonts w:hint="eastAsia"/>
          <w:color w:val="00B050"/>
        </w:rPr>
        <w:t>t、</w:t>
      </w:r>
      <w:r>
        <w:rPr>
          <w:rFonts w:hint="eastAsia"/>
          <w:color w:val="00B050"/>
          <w:lang w:val="en-US" w:eastAsia="zh-CN"/>
        </w:rPr>
        <w:t>0.91</w:t>
      </w:r>
      <w:r>
        <w:rPr>
          <w:rFonts w:hint="eastAsia"/>
          <w:color w:val="1A15F1"/>
        </w:rPr>
        <w:t>t，分别占20</w:t>
      </w:r>
      <w:r>
        <w:rPr>
          <w:rFonts w:hint="eastAsia"/>
          <w:color w:val="1A15F1"/>
          <w:lang w:val="en-US" w:eastAsia="zh-CN"/>
        </w:rPr>
        <w:t>25</w:t>
      </w:r>
      <w:r>
        <w:rPr>
          <w:rFonts w:hint="eastAsia"/>
          <w:color w:val="1A15F1"/>
        </w:rPr>
        <w:t>年允许排放总量的</w:t>
      </w:r>
      <w:r>
        <w:rPr>
          <w:rFonts w:hint="eastAsia"/>
          <w:color w:val="00B050"/>
          <w:lang w:val="en-US" w:eastAsia="zh-CN"/>
        </w:rPr>
        <w:t>3.04</w:t>
      </w:r>
      <w:r>
        <w:rPr>
          <w:rFonts w:hint="eastAsia"/>
          <w:color w:val="00B050"/>
        </w:rPr>
        <w:t>%、</w:t>
      </w:r>
      <w:r>
        <w:rPr>
          <w:rFonts w:hint="eastAsia"/>
          <w:color w:val="00B050"/>
          <w:lang w:val="en-US" w:eastAsia="zh-CN"/>
        </w:rPr>
        <w:t>6.18</w:t>
      </w:r>
      <w:r>
        <w:rPr>
          <w:rFonts w:hint="eastAsia"/>
          <w:color w:val="00B050"/>
        </w:rPr>
        <w:t>%、</w:t>
      </w:r>
      <w:r>
        <w:rPr>
          <w:rFonts w:hint="eastAsia"/>
          <w:color w:val="00B050"/>
          <w:lang w:val="en-US" w:eastAsia="zh-CN"/>
        </w:rPr>
        <w:t>2.54</w:t>
      </w:r>
      <w:r>
        <w:rPr>
          <w:rFonts w:hint="eastAsia"/>
          <w:color w:val="00B050"/>
        </w:rPr>
        <w:t>%</w:t>
      </w:r>
      <w:r>
        <w:rPr>
          <w:rFonts w:hint="eastAsia"/>
          <w:color w:val="1A15F1"/>
        </w:rPr>
        <w:t>。在所有产生废水均能得到收集并处理达到排放标准的前提下，林芝市规划期内旅游业的发展排放的废水，水污染物所占允许排放量的比例较低。</w:t>
      </w:r>
    </w:p>
    <w:p>
      <w:pPr>
        <w:pStyle w:val="6"/>
        <w:ind w:firstLine="480"/>
        <w:rPr>
          <w:color w:val="1A15F1"/>
          <w:highlight w:val="none"/>
        </w:rPr>
      </w:pPr>
      <w:r>
        <w:rPr>
          <w:rFonts w:hint="eastAsia"/>
          <w:color w:val="1A15F1"/>
          <w:highlight w:val="none"/>
        </w:rPr>
        <w:t>规划具体实施过程中，在选址的基础上，通过因地制宜的选择污水收集处理方式，以集中处理为主，不能集中处理的采取分散式定点处理</w:t>
      </w:r>
      <w:r>
        <w:rPr>
          <w:rFonts w:hint="eastAsia"/>
          <w:color w:val="1A15F1"/>
          <w:highlight w:val="none"/>
          <w:lang w:eastAsia="zh-CN"/>
        </w:rPr>
        <w:t>。</w:t>
      </w:r>
      <w:r>
        <w:rPr>
          <w:rFonts w:hint="eastAsia"/>
          <w:color w:val="1A15F1"/>
          <w:highlight w:val="none"/>
          <w:lang w:val="en-US" w:eastAsia="zh-CN"/>
        </w:rPr>
        <w:t>由于林芝市境内I类、II类水体较多，I类、II类水功能区禁止新建排污口，已有排污口不能增加排放量。</w:t>
      </w:r>
      <w:r>
        <w:rPr>
          <w:color w:val="1A15F1"/>
          <w:highlight w:val="none"/>
        </w:rPr>
        <w:t>本次</w:t>
      </w:r>
      <w:r>
        <w:rPr>
          <w:rFonts w:hint="eastAsia"/>
          <w:color w:val="1A15F1"/>
          <w:highlight w:val="none"/>
          <w:lang w:val="en-US" w:eastAsia="zh-CN"/>
        </w:rPr>
        <w:t>评价</w:t>
      </w:r>
      <w:r>
        <w:rPr>
          <w:color w:val="1A15F1"/>
          <w:highlight w:val="none"/>
        </w:rPr>
        <w:t>考虑到区域水环境功能敏感</w:t>
      </w:r>
      <w:r>
        <w:rPr>
          <w:rFonts w:hint="eastAsia"/>
          <w:color w:val="1A15F1"/>
          <w:highlight w:val="none"/>
          <w:lang w:eastAsia="zh-CN"/>
        </w:rPr>
        <w:t>，</w:t>
      </w:r>
      <w:r>
        <w:rPr>
          <w:rFonts w:hint="eastAsia"/>
          <w:color w:val="1A15F1"/>
          <w:highlight w:val="none"/>
          <w:lang w:val="en-US" w:eastAsia="zh-CN"/>
        </w:rPr>
        <w:t>要求后续选址位于废水</w:t>
      </w:r>
      <w:r>
        <w:rPr>
          <w:rFonts w:hint="eastAsia"/>
          <w:color w:val="1A15F1"/>
          <w:highlight w:val="none"/>
        </w:rPr>
        <w:t>不允许排放</w:t>
      </w:r>
      <w:r>
        <w:rPr>
          <w:rFonts w:hint="eastAsia"/>
          <w:color w:val="1A15F1"/>
          <w:highlight w:val="none"/>
          <w:lang w:val="en-US" w:eastAsia="zh-CN"/>
        </w:rPr>
        <w:t>区域的</w:t>
      </w:r>
      <w:r>
        <w:rPr>
          <w:rFonts w:hint="eastAsia"/>
          <w:color w:val="1A15F1"/>
          <w:highlight w:val="none"/>
        </w:rPr>
        <w:t>，要求</w:t>
      </w:r>
      <w:r>
        <w:rPr>
          <w:rFonts w:hint="eastAsia"/>
          <w:color w:val="1A15F1"/>
          <w:highlight w:val="none"/>
          <w:lang w:val="en-US" w:eastAsia="zh-CN"/>
        </w:rPr>
        <w:t>废水收集处理后</w:t>
      </w:r>
      <w:r>
        <w:rPr>
          <w:rFonts w:hint="eastAsia"/>
          <w:color w:val="1A15F1"/>
          <w:highlight w:val="none"/>
        </w:rPr>
        <w:t>尽量回用</w:t>
      </w:r>
      <w:r>
        <w:rPr>
          <w:rFonts w:hint="eastAsia"/>
          <w:color w:val="1A15F1"/>
          <w:highlight w:val="none"/>
          <w:lang w:eastAsia="zh-CN"/>
        </w:rPr>
        <w:t>，</w:t>
      </w:r>
      <w:r>
        <w:rPr>
          <w:rFonts w:hint="eastAsia"/>
          <w:color w:val="1A15F1"/>
          <w:highlight w:val="none"/>
        </w:rPr>
        <w:t>降低污染物排放量</w:t>
      </w:r>
      <w:r>
        <w:rPr>
          <w:rFonts w:hint="eastAsia"/>
          <w:color w:val="1A15F1"/>
          <w:highlight w:val="none"/>
          <w:lang w:eastAsia="zh-CN"/>
        </w:rPr>
        <w:t>；</w:t>
      </w:r>
      <w:r>
        <w:rPr>
          <w:rFonts w:hint="eastAsia"/>
          <w:color w:val="1A15F1"/>
          <w:highlight w:val="none"/>
          <w:lang w:val="en-US" w:eastAsia="zh-CN"/>
        </w:rPr>
        <w:t>综上，林芝市水</w:t>
      </w:r>
      <w:r>
        <w:rPr>
          <w:rFonts w:hint="eastAsia"/>
          <w:color w:val="1A15F1"/>
          <w:highlight w:val="none"/>
        </w:rPr>
        <w:t>环境容量可以支撑本次规划实施。</w:t>
      </w:r>
    </w:p>
    <w:p>
      <w:pPr>
        <w:pStyle w:val="6"/>
        <w:ind w:firstLine="480"/>
        <w:rPr>
          <w:rFonts w:hint="eastAsia"/>
          <w:color w:val="1A15F1"/>
        </w:rPr>
      </w:pPr>
      <w:r>
        <w:rPr>
          <w:rFonts w:hint="eastAsia"/>
          <w:color w:val="1A15F1"/>
        </w:rPr>
        <w:t>规划实施阶段，大气污染主要来自建设期间的施工废气扬尘；餐饮业的餐饮油烟废气、车辆排放的尾气以及垃圾收集点的恶臭气体。其中餐饮油烟及施工扬尘对局地影响较大，也是在运营中重点管控内容。但旅游车辆排放的汽车尾气对区域空气污染影响较之明显，规划末年20</w:t>
      </w:r>
      <w:r>
        <w:rPr>
          <w:rFonts w:hint="eastAsia"/>
          <w:color w:val="1A15F1"/>
          <w:lang w:val="en-US" w:eastAsia="zh-CN"/>
        </w:rPr>
        <w:t>25</w:t>
      </w:r>
      <w:r>
        <w:rPr>
          <w:rFonts w:hint="eastAsia"/>
          <w:color w:val="1A15F1"/>
        </w:rPr>
        <w:t>年，旅游车辆的主要污染物</w:t>
      </w:r>
      <w:r>
        <w:rPr>
          <w:rFonts w:hint="eastAsia"/>
          <w:color w:val="1A15F1"/>
          <w:lang w:val="en-US" w:eastAsia="zh-CN"/>
        </w:rPr>
        <w:t>NOx、SO</w:t>
      </w:r>
      <w:r>
        <w:rPr>
          <w:rFonts w:hint="eastAsia"/>
          <w:color w:val="1A15F1"/>
          <w:vertAlign w:val="subscript"/>
          <w:lang w:val="en-US" w:eastAsia="zh-CN"/>
        </w:rPr>
        <w:t>2</w:t>
      </w:r>
      <w:r>
        <w:rPr>
          <w:rFonts w:hint="eastAsia"/>
          <w:color w:val="1A15F1"/>
          <w:vertAlign w:val="baseline"/>
          <w:lang w:val="en-US" w:eastAsia="zh-CN"/>
        </w:rPr>
        <w:t>排放总量</w:t>
      </w:r>
      <w:r>
        <w:rPr>
          <w:rFonts w:hint="eastAsia"/>
          <w:color w:val="1A15F1"/>
          <w:lang w:val="en-US" w:eastAsia="zh-CN"/>
        </w:rPr>
        <w:t>均</w:t>
      </w:r>
      <w:r>
        <w:rPr>
          <w:rFonts w:hint="eastAsia"/>
          <w:color w:val="1A15F1"/>
        </w:rPr>
        <w:t>小于林芝市“三线一单”废气污染物排放总量，满足林芝市“三线一单”要求。</w:t>
      </w:r>
      <w:r>
        <w:rPr>
          <w:rFonts w:hint="eastAsia"/>
          <w:color w:val="1A15F1"/>
          <w:lang w:val="en-US" w:eastAsia="zh-CN"/>
        </w:rPr>
        <w:t>林芝市全域旅游发展规划（2018-2025年）</w:t>
      </w:r>
      <w:r>
        <w:rPr>
          <w:rFonts w:hint="eastAsia" w:ascii="Times New Roman" w:hAnsi="Times New Roman" w:eastAsia="宋体" w:cs="宋体"/>
          <w:color w:val="1A15F1"/>
          <w:kern w:val="2"/>
          <w:sz w:val="24"/>
          <w:szCs w:val="24"/>
          <w:lang w:val="en-US" w:eastAsia="zh-CN" w:bidi="ar"/>
        </w:rPr>
        <w:t>的实施是可行的。</w:t>
      </w:r>
    </w:p>
    <w:p>
      <w:pPr>
        <w:pStyle w:val="4"/>
        <w:rPr>
          <w:rFonts w:hint="eastAsia"/>
        </w:rPr>
      </w:pPr>
      <w:bookmarkStart w:id="280" w:name="_Toc18289"/>
      <w:r>
        <w:rPr>
          <w:rFonts w:hint="eastAsia"/>
        </w:rPr>
        <w:t>11.5规划实施制约因素与优化调整建议</w:t>
      </w:r>
      <w:bookmarkEnd w:id="280"/>
    </w:p>
    <w:p>
      <w:pPr>
        <w:pStyle w:val="5"/>
        <w:rPr>
          <w:rFonts w:hint="eastAsia"/>
        </w:rPr>
      </w:pPr>
      <w:bookmarkStart w:id="281" w:name="_Toc489"/>
      <w:r>
        <w:rPr>
          <w:rFonts w:hint="eastAsia"/>
        </w:rPr>
        <w:t>11.5.1规划实施制约因素</w:t>
      </w:r>
      <w:bookmarkEnd w:id="281"/>
    </w:p>
    <w:p>
      <w:pPr>
        <w:pStyle w:val="6"/>
        <w:ind w:firstLine="480"/>
        <w:rPr>
          <w:rFonts w:hint="eastAsia"/>
        </w:rPr>
      </w:pPr>
      <w:r>
        <w:rPr>
          <w:rFonts w:hint="eastAsia"/>
        </w:rPr>
        <w:t>1、鉴于旅游开发的特殊性，旅游项目大部分会考虑在生态环境好、自然风光美等条件较好的区域建设，按目前划定的规划范围，涉及的重要生态敏感区主要有5个自然保护区、3个国家级森林公园、3个国家级湿地公园、1个国家级地质公园，规划项目可能受各类敏感区管控要求的制约。</w:t>
      </w:r>
    </w:p>
    <w:p>
      <w:pPr>
        <w:pStyle w:val="6"/>
        <w:ind w:firstLine="482"/>
        <w:rPr>
          <w:rFonts w:hint="eastAsia"/>
        </w:rPr>
      </w:pPr>
      <w:r>
        <w:rPr>
          <w:rFonts w:hint="eastAsia"/>
          <w:b/>
          <w:bCs/>
        </w:rPr>
        <w:t>2、</w:t>
      </w:r>
      <w:r>
        <w:rPr>
          <w:rFonts w:hint="eastAsia"/>
        </w:rPr>
        <w:t>根据规划区域内基础设施建设情况，评价范围内可依托的污水集中处理工程主要集中在城市建成区、乡镇及部分成熟景区，除少数规划项目可以依托已建成污水处理工程外，其余规划项目污水处理系统倘若不尽完善，可能对水环境造成一定污染风险。因此，污水处理工程的建设和稳定运行是旅游开发的限制因素之一。</w:t>
      </w:r>
    </w:p>
    <w:p>
      <w:pPr>
        <w:pStyle w:val="6"/>
        <w:ind w:firstLine="480"/>
        <w:rPr>
          <w:rFonts w:hint="eastAsia"/>
        </w:rPr>
      </w:pPr>
      <w:r>
        <w:rPr>
          <w:rFonts w:hint="eastAsia"/>
        </w:rPr>
        <w:t>3、规划区涉及一些行政村虽建设了简易生活垃圾收集池，但大部分乡镇生活垃圾的收集和处理还没有完全形成有效系统，村与村、村与镇距离较远，转运成本极高，转运难度较大，生活垃圾处理方式不规范，多为露天自行堆放，旅游过程产生大量生活垃圾的处理也是旅游开发的限制因素之一。</w:t>
      </w:r>
    </w:p>
    <w:p>
      <w:pPr>
        <w:pStyle w:val="5"/>
        <w:rPr>
          <w:rFonts w:hint="eastAsia"/>
        </w:rPr>
      </w:pPr>
      <w:bookmarkStart w:id="282" w:name="_Toc21437"/>
      <w:r>
        <w:rPr>
          <w:rFonts w:hint="eastAsia"/>
        </w:rPr>
        <w:t>11.5.2规划优化调整建议</w:t>
      </w:r>
      <w:bookmarkEnd w:id="282"/>
    </w:p>
    <w:p>
      <w:pPr>
        <w:pStyle w:val="6"/>
        <w:ind w:firstLine="482"/>
        <w:rPr>
          <w:rFonts w:hint="eastAsia"/>
          <w:b/>
          <w:bCs/>
        </w:rPr>
      </w:pPr>
      <w:r>
        <w:rPr>
          <w:rFonts w:hint="eastAsia"/>
          <w:b/>
          <w:bCs/>
        </w:rPr>
        <w:t>1、现有景区问题处置建议</w:t>
      </w:r>
    </w:p>
    <w:p>
      <w:pPr>
        <w:pStyle w:val="6"/>
        <w:ind w:firstLine="480"/>
        <w:rPr>
          <w:rFonts w:hint="eastAsia"/>
        </w:rPr>
      </w:pPr>
      <w:r>
        <w:rPr>
          <w:rFonts w:hint="eastAsia"/>
        </w:rPr>
        <w:t>（1）世界柏树王园林景区处置建议</w:t>
      </w:r>
    </w:p>
    <w:p>
      <w:pPr>
        <w:pStyle w:val="6"/>
        <w:ind w:firstLine="480"/>
        <w:rPr>
          <w:rFonts w:hint="eastAsia"/>
          <w:highlight w:val="yellow"/>
        </w:rPr>
      </w:pPr>
      <w:r>
        <w:rPr>
          <w:rFonts w:hint="eastAsia"/>
        </w:rPr>
        <w:t>对于世界柏树王园林景区内的栈道和观景平台涉及林芝巴结巨柏自然保护区缓冲区，并将该部分观景平台作为景区的核心区对游客进行开放的情况，本次环评建议当地政府应按照《中华人民共和国自然保护区条例》的要求应禁止游客进入核心区及缓冲区范围内。同时建议当地政府对该保护区的功能区划和范围进行适当调整，在满足《中华人民共和国自然保护区条例》中的相关要后，才能对游客开放。如若不能调整，本次环评考虑到拆除现有的景观平台及栈道所带来的景观、生态影响较大，建议保留其景观设施，对涉及自然保护区缓冲区的观景平台及栈道进行功能调整，用于从事经自然保护区管理机构批准的非破坏性的科学研究、教学实习和标本采集活动等行为。</w:t>
      </w:r>
    </w:p>
    <w:p>
      <w:pPr>
        <w:pStyle w:val="6"/>
        <w:ind w:firstLine="480"/>
        <w:rPr>
          <w:rFonts w:hint="eastAsia"/>
        </w:rPr>
      </w:pPr>
      <w:r>
        <w:rPr>
          <w:rFonts w:hint="eastAsia"/>
        </w:rPr>
        <w:t>（2）岗云杉林景区处置建议</w:t>
      </w:r>
    </w:p>
    <w:p>
      <w:pPr>
        <w:pStyle w:val="6"/>
        <w:ind w:firstLine="480"/>
        <w:rPr>
          <w:rFonts w:hint="eastAsia"/>
        </w:rPr>
      </w:pPr>
      <w:r>
        <w:rPr>
          <w:rFonts w:hint="eastAsia"/>
        </w:rPr>
        <w:t>根据中央第四生态环境保护督察组向西藏自治区反馈督察情况，波密县岗云杉林景区部分观景台、栈道涉及西藏雅鲁藏布大峡谷国家自然保护区核心区。目前，西藏自治区人民政府、林芝市政府、波密县政府正在督促其进行整改，现已将位于核心区、缓冲区的景区全部关闭，禁止游客进入。考虑到拆除现有的景观平台及栈道所带来的景观、生态影响较大，本次环评建议保留现有位于核心区、缓冲区的全部设施，并将其功能调整为用于从事经自然保护区管理机构批准的非破坏性的科学研究、教学实习和标本采集活动的平台及通道。</w:t>
      </w:r>
    </w:p>
    <w:p>
      <w:pPr>
        <w:pStyle w:val="6"/>
        <w:ind w:firstLine="482"/>
        <w:rPr>
          <w:b/>
          <w:bCs/>
        </w:rPr>
      </w:pPr>
      <w:r>
        <w:rPr>
          <w:rFonts w:hint="eastAsia"/>
          <w:b/>
          <w:bCs/>
        </w:rPr>
        <w:t>2、合理布局</w:t>
      </w:r>
    </w:p>
    <w:p>
      <w:pPr>
        <w:pStyle w:val="6"/>
        <w:ind w:firstLine="480"/>
        <w:rPr>
          <w:rFonts w:hint="eastAsia"/>
        </w:rPr>
      </w:pPr>
      <w:r>
        <w:rPr>
          <w:rFonts w:hint="eastAsia"/>
        </w:rPr>
        <w:t>通过叠图分析，拟进行的旅游资源项目与生态保护红线存在重叠区域。根据生态空间管控要求，自然保护地核心保护区以外的其它区域严格原则上禁止开发性、生产性建设活动，但可可允许适度的参观旅游及相关的必要公共设施建设。</w:t>
      </w:r>
    </w:p>
    <w:p>
      <w:pPr>
        <w:pStyle w:val="6"/>
        <w:ind w:firstLine="480"/>
        <w:rPr>
          <w:rFonts w:hint="eastAsia"/>
        </w:rPr>
      </w:pPr>
      <w:r>
        <w:rPr>
          <w:rFonts w:hint="eastAsia"/>
        </w:rPr>
        <w:t>经叠图初步筛选涉及生态红线的项目，不涉及自然保护区核心区及缓冲区。仅在保护区实验区开展对生态功能不造成破坏为前提的旅游活动，由于本次的旅游资源为示意点位，叠图分析时可能存在一定误差以及旅游资源基础设施具体实施选址落地存在差异，最终可能会影响叠图判断，因此后续规划项目实际落地时建议与生态保护红线勘界核实。</w:t>
      </w:r>
    </w:p>
    <w:p>
      <w:pPr>
        <w:pStyle w:val="6"/>
        <w:ind w:firstLine="480"/>
        <w:rPr>
          <w:rFonts w:hint="eastAsia"/>
          <w:color w:val="2A26F7"/>
        </w:rPr>
      </w:pPr>
      <w:r>
        <w:rPr>
          <w:rFonts w:hint="eastAsia"/>
        </w:rPr>
        <w:t>在规划项目实施过程中要与空间开发保护管理相衔接，实行严格的管控和保护措施，后续规划项目</w:t>
      </w:r>
      <w:r>
        <w:t>建设时应严格按照</w:t>
      </w:r>
      <w:r>
        <w:rPr>
          <w:rFonts w:hint="eastAsia"/>
        </w:rPr>
        <w:t>生态保护红线管控要求执行</w:t>
      </w:r>
      <w:r>
        <w:rPr>
          <w:rFonts w:hint="eastAsia"/>
          <w:color w:val="2A26F7"/>
        </w:rPr>
        <w:t>。</w:t>
      </w:r>
    </w:p>
    <w:p>
      <w:pPr>
        <w:pStyle w:val="6"/>
        <w:ind w:firstLine="482"/>
        <w:rPr>
          <w:b/>
          <w:bCs/>
        </w:rPr>
      </w:pPr>
      <w:r>
        <w:rPr>
          <w:rFonts w:hint="eastAsia"/>
          <w:b/>
          <w:bCs/>
        </w:rPr>
        <w:t>3、</w:t>
      </w:r>
      <w:r>
        <w:rPr>
          <w:b/>
          <w:bCs/>
        </w:rPr>
        <w:t>排水方案调整建议</w:t>
      </w:r>
    </w:p>
    <w:p>
      <w:pPr>
        <w:pStyle w:val="6"/>
        <w:ind w:firstLine="480"/>
      </w:pPr>
      <w:r>
        <w:rPr>
          <w:rFonts w:hint="eastAsia"/>
        </w:rPr>
        <w:t>《规划》中未提出废水处理方案，由于规划涉及范围较广，且各区内规划项目具有不确定性，按照情景预测，并结合目前各县建成的污水处理厂情况及各景区建成的污水处理设施，再结合本规划发展方向及目标，环评建议排水方案如下：</w:t>
      </w:r>
    </w:p>
    <w:p>
      <w:pPr>
        <w:pStyle w:val="6"/>
        <w:ind w:firstLine="480"/>
      </w:pPr>
      <w:r>
        <w:rPr>
          <w:rFonts w:hint="eastAsia"/>
        </w:rPr>
        <w:t>（1）针对</w:t>
      </w:r>
      <w:r>
        <w:t>依托城市建成区而建的规划项目（未确定选址的），选址首先考虑已敷设污水收集管网的区域，旅游区内产生的废水经过预处理达到《污水综合排放标准》（GB8978-1996）三级标准及《污水排入城镇下水道水质标准》（GB/T1962-2015）表1（A）等级标准后排入市政污水管网，最终进入污水处理厂进行处理。</w:t>
      </w:r>
    </w:p>
    <w:p>
      <w:pPr>
        <w:pStyle w:val="6"/>
        <w:ind w:firstLine="480"/>
        <w:rPr>
          <w:rFonts w:hint="eastAsia"/>
        </w:rPr>
      </w:pPr>
      <w:r>
        <w:rPr>
          <w:rFonts w:hint="eastAsia"/>
        </w:rPr>
        <w:t>（2）针对</w:t>
      </w:r>
      <w:r>
        <w:t>无法依托市政污水管网的，或选址位于远离城市建成区的规划项目，各景区配套</w:t>
      </w:r>
      <w:r>
        <w:rPr>
          <w:rFonts w:hint="eastAsia"/>
        </w:rPr>
        <w:t>建设</w:t>
      </w:r>
      <w:r>
        <w:t>生态污水处理站或小型污水处理站，并要求污水经处理达到《城镇污水处理厂污染物排放标准》（GB18918-2002）一级A标准部分回用于绿化和道路洒水降尘</w:t>
      </w:r>
      <w:r>
        <w:rPr>
          <w:rFonts w:hint="eastAsia"/>
        </w:rPr>
        <w:t>，</w:t>
      </w:r>
      <w:r>
        <w:t>回用不完的外排至附近河流</w:t>
      </w:r>
      <w:r>
        <w:rPr>
          <w:rFonts w:hint="eastAsia"/>
        </w:rPr>
        <w:t>。</w:t>
      </w:r>
    </w:p>
    <w:p>
      <w:pPr>
        <w:pStyle w:val="6"/>
        <w:ind w:firstLine="480"/>
      </w:pPr>
      <w:r>
        <w:rPr>
          <w:rFonts w:hint="eastAsia"/>
        </w:rPr>
        <w:t>（3）针对</w:t>
      </w:r>
      <w:r>
        <w:t>规划区内已开发的景区配套建设污水处理站，已建有污水处理站的，提倡改进污水处理工艺，将处理后达到回用标准的</w:t>
      </w:r>
      <w:r>
        <w:rPr>
          <w:rFonts w:hint="eastAsia"/>
        </w:rPr>
        <w:t>中水</w:t>
      </w:r>
      <w:r>
        <w:t>回用于景观、绿化及洒水降尘等，减少排放量，剩余达到《城镇污水处理厂污染物排放标准》（GB18918-2002）一级A标后排放。</w:t>
      </w:r>
    </w:p>
    <w:p>
      <w:pPr>
        <w:pStyle w:val="6"/>
        <w:ind w:firstLine="482"/>
        <w:rPr>
          <w:rFonts w:hint="eastAsia"/>
          <w:b/>
          <w:bCs/>
        </w:rPr>
      </w:pPr>
      <w:r>
        <w:rPr>
          <w:rFonts w:hint="eastAsia"/>
          <w:b/>
          <w:bCs/>
        </w:rPr>
        <w:t>4、污水</w:t>
      </w:r>
      <w:r>
        <w:rPr>
          <w:rFonts w:hint="eastAsia"/>
          <w:b/>
          <w:bCs/>
          <w:lang w:val="en-US" w:eastAsia="zh-CN"/>
        </w:rPr>
        <w:t>处理</w:t>
      </w:r>
      <w:r>
        <w:rPr>
          <w:rFonts w:hint="eastAsia"/>
          <w:b/>
          <w:bCs/>
        </w:rPr>
        <w:t>设施规划补充建议</w:t>
      </w:r>
    </w:p>
    <w:p>
      <w:pPr>
        <w:pStyle w:val="6"/>
        <w:ind w:firstLine="480"/>
        <w:rPr>
          <w:rFonts w:hint="eastAsia"/>
        </w:rPr>
      </w:pPr>
      <w:r>
        <w:rPr>
          <w:rFonts w:hint="eastAsia"/>
        </w:rPr>
        <w:t>规划区内可依托的污水集中处理工程主要集中在城市建成区或乡镇上，少数规划项目可以依托景区自建污水处理工程外，其余规划项目污水处理系统倘若不尽完善，可能对水环境造成一定污染风险。因此，污水处理方案需按规划项目的分期建设进度配套建设，并在规划中进行补充。根据旅游业发展特点，建议实施集中处理和分散处理相结合的污水处理方案。对于布局在乡村的景区，首先应采取节水措施，从源头上减少污废水的排放，同时加快新建污水处理设施的修建，确保在规划实施后，该区域产生的污废水能处理达标后排放。</w:t>
      </w:r>
    </w:p>
    <w:p>
      <w:pPr>
        <w:pStyle w:val="6"/>
        <w:ind w:firstLine="480"/>
        <w:rPr>
          <w:rFonts w:hint="default"/>
          <w:b/>
          <w:bCs/>
          <w:color w:val="auto"/>
          <w:lang w:val="en-US" w:eastAsia="zh-CN"/>
        </w:rPr>
      </w:pPr>
      <w:r>
        <w:rPr>
          <w:rFonts w:hint="eastAsia"/>
          <w:b/>
          <w:bCs/>
          <w:color w:val="auto"/>
          <w:lang w:val="en-US" w:eastAsia="zh-CN"/>
        </w:rPr>
        <w:t>5、关于冰川（雪）资源开发保护的优化建议</w:t>
      </w:r>
    </w:p>
    <w:p>
      <w:pPr>
        <w:pStyle w:val="6"/>
        <w:ind w:firstLine="480"/>
        <w:rPr>
          <w:rFonts w:hint="default"/>
          <w:color w:val="auto"/>
          <w:lang w:val="en-US" w:eastAsia="zh-CN"/>
        </w:rPr>
      </w:pPr>
      <w:r>
        <w:rPr>
          <w:rFonts w:hint="eastAsia"/>
          <w:color w:val="auto"/>
          <w:lang w:val="en-US" w:eastAsia="zh-CN"/>
        </w:rPr>
        <w:t>西藏自治区生态环境厅于2022年6月24日发布了《关于进一步严格冰川（雪）资源开发生态环境保护源头管控的通知》，将重要冰川、雪山纳入水环境优先保护区域，依法禁止或限制相关开发建设活动。本次规划环评依据《关于进一步严格冰川（雪）资源开发生态环境保护源头管控的通知》（西藏自治区生态环境厅，2022年6月24日），对规划提出以下优化建议。</w:t>
      </w:r>
    </w:p>
    <w:p>
      <w:pPr>
        <w:pStyle w:val="6"/>
        <w:numPr>
          <w:ilvl w:val="0"/>
          <w:numId w:val="13"/>
        </w:numPr>
        <w:ind w:firstLine="480"/>
        <w:rPr>
          <w:rFonts w:hint="default" w:eastAsia="宋体"/>
          <w:color w:val="auto"/>
          <w:lang w:val="en-US" w:eastAsia="zh-CN"/>
        </w:rPr>
      </w:pPr>
      <w:r>
        <w:rPr>
          <w:rFonts w:hint="eastAsia"/>
          <w:color w:val="000000"/>
          <w:spacing w:val="0"/>
          <w:w w:val="100"/>
          <w:position w:val="0"/>
          <w:shd w:val="clear" w:color="auto" w:fill="auto"/>
          <w:lang w:val="en-US" w:eastAsia="zh-CN"/>
        </w:rPr>
        <w:t>对于涉及冰川（雪）资源开发的项目需按照《规划环境影响评价条例》、《建设项目环境保护管理条例》及《建设项目环境影响评价分类管理名录》等开展环境影响评价工作。</w:t>
      </w:r>
    </w:p>
    <w:p>
      <w:pPr>
        <w:pStyle w:val="6"/>
        <w:numPr>
          <w:ilvl w:val="0"/>
          <w:numId w:val="13"/>
        </w:numPr>
        <w:bidi w:val="0"/>
        <w:ind w:left="0" w:leftChars="0" w:firstLine="480" w:firstLineChars="200"/>
        <w:rPr>
          <w:rFonts w:hint="eastAsia"/>
          <w:color w:val="000000"/>
          <w:spacing w:val="0"/>
          <w:w w:val="100"/>
          <w:position w:val="0"/>
          <w:shd w:val="clear" w:color="auto" w:fill="auto"/>
          <w:lang w:val="en-US" w:eastAsia="zh-CN"/>
        </w:rPr>
      </w:pPr>
      <w:r>
        <w:rPr>
          <w:rFonts w:hint="eastAsia"/>
          <w:color w:val="000000"/>
          <w:spacing w:val="0"/>
          <w:w w:val="100"/>
          <w:position w:val="0"/>
          <w:shd w:val="clear" w:color="auto" w:fill="auto"/>
          <w:lang w:val="en-US" w:eastAsia="zh-CN"/>
        </w:rPr>
        <w:t>对于县级及以上各相关部门组织编制的涉及冰川（雪）资源开发规划应依法开展规划环境影响评价，环境影响报告书在依法报送具有权限的生态环境部门审查前，应将报告书送</w:t>
      </w:r>
      <w:r>
        <w:rPr>
          <w:rFonts w:hint="eastAsia"/>
          <w:color w:val="auto"/>
          <w:lang w:val="en-US" w:eastAsia="zh-CN"/>
        </w:rPr>
        <w:t>西藏自治区生态环境厅</w:t>
      </w:r>
      <w:r>
        <w:rPr>
          <w:rFonts w:hint="eastAsia"/>
          <w:color w:val="000000"/>
          <w:spacing w:val="0"/>
          <w:w w:val="100"/>
          <w:position w:val="0"/>
          <w:shd w:val="clear" w:color="auto" w:fill="auto"/>
          <w:lang w:val="en-US" w:eastAsia="zh-CN"/>
        </w:rPr>
        <w:t>征求意见；篇章或者说明应在规划报批前，将包含篇章或说明的规划送</w:t>
      </w:r>
      <w:r>
        <w:rPr>
          <w:rFonts w:hint="eastAsia"/>
          <w:color w:val="auto"/>
          <w:lang w:val="en-US" w:eastAsia="zh-CN"/>
        </w:rPr>
        <w:t>西藏自治区生态环境厅</w:t>
      </w:r>
      <w:r>
        <w:rPr>
          <w:rFonts w:hint="eastAsia"/>
          <w:color w:val="000000"/>
          <w:spacing w:val="0"/>
          <w:w w:val="100"/>
          <w:position w:val="0"/>
          <w:shd w:val="clear" w:color="auto" w:fill="auto"/>
          <w:lang w:val="en-US" w:eastAsia="zh-CN"/>
        </w:rPr>
        <w:t>征求意见。</w:t>
      </w:r>
    </w:p>
    <w:p>
      <w:pPr>
        <w:pStyle w:val="6"/>
        <w:bidi w:val="0"/>
      </w:pPr>
      <w:r>
        <w:t>以下项目，需编制环境影响报告书（表）的，其环评文件一律报</w:t>
      </w:r>
      <w:r>
        <w:rPr>
          <w:rFonts w:hint="eastAsia"/>
          <w:color w:val="auto"/>
          <w:lang w:val="en-US" w:eastAsia="zh-CN"/>
        </w:rPr>
        <w:t>西藏自治区生态环境厅</w:t>
      </w:r>
      <w:r>
        <w:t>审批。</w:t>
      </w:r>
    </w:p>
    <w:p>
      <w:pPr>
        <w:pStyle w:val="6"/>
        <w:bidi w:val="0"/>
      </w:pPr>
      <w:r>
        <w:rPr>
          <w:rFonts w:hint="eastAsia"/>
          <w:lang w:eastAsia="zh-CN"/>
        </w:rPr>
        <w:t>①</w:t>
      </w:r>
      <w:r>
        <w:t>涉及冰川（雪）资源的观光、游览等旅游开发类建设项目；</w:t>
      </w:r>
    </w:p>
    <w:p>
      <w:pPr>
        <w:pStyle w:val="6"/>
        <w:bidi w:val="0"/>
      </w:pPr>
      <w:r>
        <w:rPr>
          <w:rFonts w:hint="eastAsia"/>
          <w:lang w:eastAsia="zh-CN"/>
        </w:rPr>
        <w:t>②</w:t>
      </w:r>
      <w:r>
        <w:t>涉及原生冰川、雪山资源的滑雪场、攀登等体育运动场馆类建设项目；</w:t>
      </w:r>
    </w:p>
    <w:p>
      <w:pPr>
        <w:pStyle w:val="6"/>
        <w:bidi w:val="0"/>
      </w:pPr>
      <w:r>
        <w:rPr>
          <w:rFonts w:hint="eastAsia"/>
          <w:lang w:eastAsia="zh-CN"/>
        </w:rPr>
        <w:t>③</w:t>
      </w:r>
      <w:r>
        <w:t>涉及直接开采冰川水资源的矿泉水开发等建设项目；</w:t>
      </w:r>
    </w:p>
    <w:p>
      <w:pPr>
        <w:pStyle w:val="6"/>
        <w:bidi w:val="0"/>
      </w:pPr>
      <w:r>
        <w:rPr>
          <w:rFonts w:hint="eastAsia"/>
          <w:lang w:eastAsia="zh-CN"/>
        </w:rPr>
        <w:t>④</w:t>
      </w:r>
      <w:r>
        <w:t>涉及直接占用或扰动冰川资源的矿产资源开发类建设项目；</w:t>
      </w:r>
    </w:p>
    <w:p>
      <w:pPr>
        <w:pStyle w:val="6"/>
        <w:ind w:firstLine="482"/>
        <w:rPr>
          <w:rFonts w:hint="eastAsia"/>
          <w:b/>
          <w:bCs/>
        </w:rPr>
      </w:pPr>
      <w:r>
        <w:rPr>
          <w:rFonts w:hint="eastAsia"/>
          <w:b/>
          <w:bCs/>
        </w:rPr>
        <w:t>5、及时开展各县域及景区的规划环评</w:t>
      </w:r>
    </w:p>
    <w:p>
      <w:pPr>
        <w:pStyle w:val="6"/>
        <w:ind w:firstLine="480"/>
        <w:rPr>
          <w:rFonts w:hint="eastAsia" w:eastAsia="宋体"/>
          <w:color w:val="00B050"/>
          <w:highlight w:val="none"/>
          <w:lang w:val="en-US" w:eastAsia="zh-CN"/>
        </w:rPr>
      </w:pPr>
      <w:r>
        <w:rPr>
          <w:rFonts w:hint="eastAsia"/>
          <w:color w:val="00B050"/>
          <w:highlight w:val="none"/>
        </w:rPr>
        <w:t>《林芝市全域旅游发展规划（2018</w:t>
      </w:r>
      <w:r>
        <w:rPr>
          <w:rFonts w:hint="eastAsia"/>
          <w:color w:val="00B050"/>
          <w:highlight w:val="none"/>
          <w:lang w:val="en-US" w:eastAsia="zh-CN"/>
        </w:rPr>
        <w:t>~</w:t>
      </w:r>
      <w:r>
        <w:rPr>
          <w:rFonts w:hint="eastAsia"/>
          <w:color w:val="00B050"/>
          <w:highlight w:val="none"/>
        </w:rPr>
        <w:t>2025年）》是指导林芝市</w:t>
      </w:r>
      <w:r>
        <w:rPr>
          <w:rFonts w:hint="eastAsia"/>
          <w:color w:val="00B050"/>
          <w:highlight w:val="none"/>
          <w:lang w:val="en-US" w:eastAsia="zh-CN"/>
        </w:rPr>
        <w:t>全域</w:t>
      </w:r>
      <w:r>
        <w:rPr>
          <w:rFonts w:hint="eastAsia"/>
          <w:color w:val="00B050"/>
          <w:highlight w:val="none"/>
        </w:rPr>
        <w:t>旅游发展的规划，规划仅从宏观层面给出了林芝市</w:t>
      </w:r>
      <w:r>
        <w:rPr>
          <w:rFonts w:hint="eastAsia"/>
          <w:color w:val="00B050"/>
          <w:highlight w:val="none"/>
          <w:lang w:val="en-US" w:eastAsia="zh-CN"/>
        </w:rPr>
        <w:t>全域</w:t>
      </w:r>
      <w:r>
        <w:rPr>
          <w:rFonts w:hint="eastAsia"/>
          <w:color w:val="00B050"/>
          <w:highlight w:val="none"/>
        </w:rPr>
        <w:t>发展总体目标和发展方向，规划内容较为宏观，未给出定量的发展规模、指标。目前林芝市各区县已经完成了各县域</w:t>
      </w:r>
      <w:r>
        <w:rPr>
          <w:rFonts w:hint="eastAsia"/>
          <w:color w:val="00B050"/>
          <w:highlight w:val="none"/>
          <w:lang w:val="en-US" w:eastAsia="zh-CN"/>
        </w:rPr>
        <w:t>全域</w:t>
      </w:r>
      <w:r>
        <w:rPr>
          <w:rFonts w:hint="eastAsia"/>
          <w:color w:val="00B050"/>
          <w:highlight w:val="none"/>
        </w:rPr>
        <w:t>旅游总体规划，根据《中华人民共和国环境影响评价法》、《规划环境影响评价条例》等法律法规要求，《林芝市全域旅游发展规划（2018-2025年）》涉及到的各县域</w:t>
      </w:r>
      <w:r>
        <w:rPr>
          <w:rFonts w:hint="eastAsia"/>
          <w:color w:val="00B050"/>
          <w:highlight w:val="none"/>
          <w:lang w:val="en-US" w:eastAsia="zh-CN"/>
        </w:rPr>
        <w:t>全域</w:t>
      </w:r>
      <w:r>
        <w:rPr>
          <w:rFonts w:hint="eastAsia"/>
          <w:color w:val="00B050"/>
          <w:highlight w:val="none"/>
        </w:rPr>
        <w:t>旅游</w:t>
      </w:r>
      <w:r>
        <w:rPr>
          <w:rFonts w:hint="eastAsia"/>
          <w:color w:val="00B050"/>
          <w:highlight w:val="none"/>
          <w:lang w:val="en-US" w:eastAsia="zh-CN"/>
        </w:rPr>
        <w:t>发展</w:t>
      </w:r>
      <w:r>
        <w:rPr>
          <w:rFonts w:hint="eastAsia"/>
          <w:color w:val="00B050"/>
          <w:highlight w:val="none"/>
        </w:rPr>
        <w:t>规划应同步开展环境影响评价工作。</w:t>
      </w:r>
      <w:r>
        <w:rPr>
          <w:rFonts w:hint="eastAsia"/>
          <w:color w:val="00B050"/>
          <w:highlight w:val="none"/>
          <w:lang w:val="en-US" w:eastAsia="zh-CN"/>
        </w:rPr>
        <w:t>同时</w:t>
      </w:r>
      <w:r>
        <w:rPr>
          <w:rFonts w:hint="eastAsia"/>
          <w:color w:val="00B050"/>
          <w:highlight w:val="none"/>
        </w:rPr>
        <w:t>已</w:t>
      </w:r>
      <w:r>
        <w:rPr>
          <w:rFonts w:hint="eastAsia"/>
          <w:color w:val="00B050"/>
          <w:highlight w:val="none"/>
          <w:lang w:val="en-US" w:eastAsia="zh-CN"/>
        </w:rPr>
        <w:t>开展</w:t>
      </w:r>
      <w:r>
        <w:rPr>
          <w:rFonts w:hint="eastAsia"/>
          <w:color w:val="00B050"/>
          <w:highlight w:val="none"/>
        </w:rPr>
        <w:t>总规或控</w:t>
      </w:r>
      <w:r>
        <w:rPr>
          <w:rFonts w:hint="eastAsia"/>
          <w:color w:val="00B050"/>
          <w:highlight w:val="none"/>
          <w:lang w:val="en-US" w:eastAsia="zh-CN"/>
        </w:rPr>
        <w:t>性</w:t>
      </w:r>
      <w:r>
        <w:rPr>
          <w:rFonts w:hint="eastAsia"/>
          <w:color w:val="00B050"/>
          <w:highlight w:val="none"/>
        </w:rPr>
        <w:t>详规</w:t>
      </w:r>
      <w:r>
        <w:rPr>
          <w:rFonts w:hint="eastAsia"/>
          <w:color w:val="00B050"/>
          <w:highlight w:val="none"/>
          <w:lang w:val="en-US" w:eastAsia="zh-CN"/>
        </w:rPr>
        <w:t>的景区、旅游资源应</w:t>
      </w:r>
      <w:r>
        <w:rPr>
          <w:rFonts w:hint="eastAsia"/>
          <w:color w:val="00B050"/>
          <w:highlight w:val="none"/>
        </w:rPr>
        <w:t>尽快开展景区规划环境影响评价</w:t>
      </w:r>
      <w:r>
        <w:rPr>
          <w:rFonts w:hint="eastAsia"/>
          <w:color w:val="00B050"/>
          <w:highlight w:val="none"/>
          <w:lang w:val="en-US" w:eastAsia="zh-CN"/>
        </w:rPr>
        <w:t>工作。</w:t>
      </w:r>
    </w:p>
    <w:p>
      <w:pPr>
        <w:pStyle w:val="4"/>
        <w:rPr>
          <w:rFonts w:hint="eastAsia"/>
        </w:rPr>
      </w:pPr>
      <w:bookmarkStart w:id="283" w:name="_Toc14398"/>
      <w:r>
        <w:rPr>
          <w:rFonts w:hint="eastAsia"/>
        </w:rPr>
        <w:t>11.6规划实施生态环境保护目标和要求</w:t>
      </w:r>
      <w:bookmarkEnd w:id="283"/>
    </w:p>
    <w:p>
      <w:pPr>
        <w:pStyle w:val="6"/>
        <w:ind w:firstLine="480"/>
      </w:pPr>
      <w:r>
        <w:rPr>
          <w:rFonts w:hint="eastAsia"/>
        </w:rPr>
        <w:t>本次环境影响评价指标体系分为经济、资源、环境三方面，其环境影响评价指标体系详见表11.6-1。</w:t>
      </w:r>
    </w:p>
    <w:p>
      <w:pPr>
        <w:pStyle w:val="27"/>
      </w:pPr>
      <w:r>
        <w:rPr>
          <w:rFonts w:hint="eastAsia"/>
        </w:rPr>
        <w:t>表11.6-1  规划环境影响评价指标体系一览表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2947"/>
        <w:gridCol w:w="1983"/>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环境主题</w:t>
            </w:r>
          </w:p>
        </w:tc>
        <w:tc>
          <w:tcPr>
            <w:tcW w:w="2950" w:type="dxa"/>
            <w:noWrap w:val="0"/>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指标</w:t>
            </w:r>
          </w:p>
        </w:tc>
        <w:tc>
          <w:tcPr>
            <w:tcW w:w="1984" w:type="dxa"/>
            <w:noWrap w:val="0"/>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指标目标</w:t>
            </w:r>
          </w:p>
        </w:tc>
        <w:tc>
          <w:tcPr>
            <w:tcW w:w="2325" w:type="dxa"/>
            <w:noWrap w:val="0"/>
            <w:vAlign w:val="center"/>
          </w:tcPr>
          <w:p>
            <w:pPr>
              <w:pStyle w:val="29"/>
              <w:keepNext w:val="0"/>
              <w:keepLines w:val="0"/>
              <w:suppressLineNumbers w:val="0"/>
              <w:spacing w:before="0" w:beforeAutospacing="0" w:after="0" w:afterAutospacing="0"/>
              <w:ind w:left="0" w:right="0"/>
              <w:rPr>
                <w:rFonts w:hint="default"/>
                <w:b/>
                <w:bCs/>
              </w:rPr>
            </w:pPr>
            <w:r>
              <w:rPr>
                <w:rFonts w:hint="eastAsia"/>
                <w:b/>
                <w:bCs/>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生态空间</w:t>
            </w: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生态保护红线</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严守</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《林芝市“三线一单”生态环境分区管控实施方案》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国土空间规划</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遵守</w:t>
            </w:r>
          </w:p>
        </w:tc>
        <w:tc>
          <w:tcPr>
            <w:tcW w:w="2325" w:type="dxa"/>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生态制度</w:t>
            </w: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生态文明建设规划</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制定并实施</w:t>
            </w:r>
          </w:p>
        </w:tc>
        <w:tc>
          <w:tcPr>
            <w:tcW w:w="2325" w:type="dxa"/>
            <w:vMerge w:val="restart"/>
            <w:noWrap w:val="0"/>
            <w:vAlign w:val="center"/>
          </w:tcPr>
          <w:p>
            <w:pPr>
              <w:pStyle w:val="29"/>
              <w:keepNext w:val="0"/>
              <w:keepLines w:val="0"/>
              <w:suppressLineNumbers w:val="0"/>
              <w:spacing w:before="0" w:beforeAutospacing="0" w:after="0" w:afterAutospacing="0"/>
              <w:ind w:left="0" w:right="0"/>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自然资源资产负债表</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编制并实施</w:t>
            </w:r>
          </w:p>
        </w:tc>
        <w:tc>
          <w:tcPr>
            <w:tcW w:w="2325"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生态环境损害责任追究</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开展实施</w:t>
            </w:r>
          </w:p>
        </w:tc>
        <w:tc>
          <w:tcPr>
            <w:tcW w:w="2325"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排污许可证核发</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遵守实施</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《排污许可管理条例》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环境信息公开</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实施</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《环保法》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城镇生态自然环境值指标</w:t>
            </w: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城市规划区绿化覆盖率</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40%</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城市饮用水质达标率</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城市生活垃圾无害化处理率</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城市生活污水集中处理率</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声环境功能区达标率</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餐饮业油烟处置率</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环境质量</w:t>
            </w: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环境空气</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各区达标</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《环境空气质量标准》</w:t>
            </w:r>
          </w:p>
          <w:p>
            <w:pPr>
              <w:pStyle w:val="29"/>
              <w:keepNext w:val="0"/>
              <w:keepLines w:val="0"/>
              <w:suppressLineNumbers w:val="0"/>
              <w:spacing w:before="0" w:beforeAutospacing="0" w:after="0" w:afterAutospacing="0"/>
              <w:ind w:left="0" w:right="0"/>
              <w:rPr>
                <w:rFonts w:hint="default"/>
              </w:rPr>
            </w:pPr>
            <w:r>
              <w:rPr>
                <w:rFonts w:hint="eastAsia"/>
              </w:rPr>
              <w:t>（</w:t>
            </w:r>
            <w:r>
              <w:rPr>
                <w:rFonts w:hint="default"/>
              </w:rPr>
              <w:t>GB3095-2012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地表水环境</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各区达标</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《地表水环境质量标准》（</w:t>
            </w:r>
            <w:r>
              <w:rPr>
                <w:rFonts w:hint="default"/>
              </w:rPr>
              <w:t>GB3838-2002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声环境</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各区达标</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《声环境质量标准》（</w:t>
            </w:r>
            <w:r>
              <w:rPr>
                <w:rFonts w:hint="default"/>
              </w:rPr>
              <w:t>GB3096-2008</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土壤环境</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各区达标</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《土壤环境质量标准》</w:t>
            </w:r>
          </w:p>
          <w:p>
            <w:pPr>
              <w:pStyle w:val="29"/>
              <w:keepNext w:val="0"/>
              <w:keepLines w:val="0"/>
              <w:suppressLineNumbers w:val="0"/>
              <w:spacing w:before="0" w:beforeAutospacing="0" w:after="0" w:afterAutospacing="0"/>
              <w:ind w:left="0" w:right="0"/>
              <w:rPr>
                <w:rFonts w:hint="default"/>
              </w:rPr>
            </w:pPr>
            <w:r>
              <w:rPr>
                <w:rFonts w:hint="eastAsia"/>
              </w:rPr>
              <w:t>（</w:t>
            </w:r>
            <w:r>
              <w:rPr>
                <w:rFonts w:hint="default"/>
              </w:rPr>
              <w:t>GB15618-2018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空气质量综合指数优良率</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各区达标</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生态环境状况指数</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各区达标</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旅游生态环境承载力</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各区达标</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r>
              <w:rPr>
                <w:rFonts w:hint="default"/>
              </w:rPr>
              <w:t>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管理</w:t>
            </w: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环境管理制度与能力</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完善</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生态旅游信息平台的完善度</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完善</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pStyle w:val="29"/>
              <w:keepNext w:val="0"/>
              <w:keepLines w:val="0"/>
              <w:suppressLineNumbers w:val="0"/>
              <w:spacing w:before="0" w:beforeAutospacing="0" w:after="0" w:afterAutospacing="0"/>
              <w:ind w:left="0" w:right="0"/>
              <w:rPr>
                <w:rFonts w:hint="default"/>
              </w:rPr>
            </w:pPr>
          </w:p>
        </w:tc>
        <w:tc>
          <w:tcPr>
            <w:tcW w:w="2950"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环评制度执行率</w:t>
            </w:r>
          </w:p>
        </w:tc>
        <w:tc>
          <w:tcPr>
            <w:tcW w:w="1984"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100%</w:t>
            </w:r>
          </w:p>
        </w:tc>
        <w:tc>
          <w:tcPr>
            <w:tcW w:w="2325" w:type="dxa"/>
            <w:noWrap w:val="0"/>
            <w:vAlign w:val="center"/>
          </w:tcPr>
          <w:p>
            <w:pPr>
              <w:pStyle w:val="29"/>
              <w:keepNext w:val="0"/>
              <w:keepLines w:val="0"/>
              <w:suppressLineNumbers w:val="0"/>
              <w:spacing w:before="0" w:beforeAutospacing="0" w:after="0" w:afterAutospacing="0"/>
              <w:ind w:left="0" w:right="0"/>
              <w:rPr>
                <w:rFonts w:hint="default"/>
              </w:rPr>
            </w:pPr>
            <w:r>
              <w:rPr>
                <w:rFonts w:hint="eastAsia"/>
              </w:rPr>
              <w:t>《环评法》</w:t>
            </w:r>
          </w:p>
        </w:tc>
      </w:tr>
    </w:tbl>
    <w:p>
      <w:pPr>
        <w:pStyle w:val="4"/>
        <w:rPr>
          <w:rFonts w:hint="eastAsia"/>
        </w:rPr>
      </w:pPr>
      <w:bookmarkStart w:id="284" w:name="_Toc9140"/>
      <w:r>
        <w:rPr>
          <w:rFonts w:hint="eastAsia"/>
        </w:rPr>
        <w:t>11.7总体评价结论</w:t>
      </w:r>
      <w:bookmarkEnd w:id="284"/>
    </w:p>
    <w:p>
      <w:pPr>
        <w:pStyle w:val="6"/>
        <w:ind w:firstLine="480"/>
        <w:rPr>
          <w:rFonts w:hint="eastAsia"/>
          <w:color w:val="1A15F1"/>
          <w:highlight w:val="none"/>
        </w:rPr>
      </w:pPr>
      <w:r>
        <w:rPr>
          <w:rFonts w:hint="eastAsia"/>
          <w:color w:val="1A15F1"/>
          <w:highlight w:val="none"/>
        </w:rPr>
        <w:t>从环境保护角度分析，</w:t>
      </w:r>
      <w:r>
        <w:rPr>
          <w:rFonts w:hint="eastAsia"/>
          <w:b w:val="0"/>
          <w:bCs w:val="0"/>
          <w:color w:val="1A15F1"/>
          <w:lang w:val="en-US" w:eastAsia="zh-CN"/>
        </w:rPr>
        <w:t>“林芝市全域旅游发展规划（2018~2025年）”</w:t>
      </w:r>
      <w:r>
        <w:rPr>
          <w:rFonts w:hint="eastAsia"/>
          <w:color w:val="1A15F1"/>
          <w:highlight w:val="none"/>
          <w:lang w:val="en-US" w:eastAsia="zh-CN"/>
        </w:rPr>
        <w:t>规划</w:t>
      </w:r>
      <w:r>
        <w:rPr>
          <w:rFonts w:hint="eastAsia"/>
          <w:color w:val="1A15F1"/>
          <w:highlight w:val="none"/>
        </w:rPr>
        <w:t>布局、发展定位严守生态保护红线，具有环境合理性，在后续规划实施过程中须严格落实规划环评中提出的污染防治措施并按照调整建议进行调整</w:t>
      </w:r>
      <w:r>
        <w:rPr>
          <w:rFonts w:hint="eastAsia"/>
          <w:color w:val="1A15F1"/>
          <w:highlight w:val="none"/>
          <w:lang w:eastAsia="zh-CN"/>
        </w:rPr>
        <w:t>，</w:t>
      </w:r>
      <w:r>
        <w:rPr>
          <w:rFonts w:hint="eastAsia"/>
          <w:color w:val="1A15F1"/>
          <w:highlight w:val="none"/>
        </w:rPr>
        <w:t>经过调整并严格执行“三线一单”的规划可作为评价推荐的规划方案，该规划从环境保护的角度来说才是可行的。</w:t>
      </w:r>
    </w:p>
    <w:p>
      <w:pPr>
        <w:pStyle w:val="6"/>
        <w:bidi w:val="0"/>
        <w:rPr>
          <w:rFonts w:hint="eastAsia"/>
          <w:color w:val="auto"/>
          <w:highlight w:val="none"/>
          <w:lang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altName w:val="宋体"/>
    <w:panose1 w:val="00000000000000000000"/>
    <w:charset w:val="86"/>
    <w:family w:val="roman"/>
    <w:pitch w:val="default"/>
    <w:sig w:usb0="00000000" w:usb1="0000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Noto Sans CJK JP Regular">
    <w:altName w:val="Arial"/>
    <w:panose1 w:val="00000000000000000000"/>
    <w:charset w:val="00"/>
    <w:family w:val="swiss"/>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MicrosoftYaHe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VI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VI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VI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jc w:val="center"/>
      <w:rPr>
        <w:b w:val="0"/>
        <w:bCs w:val="0"/>
        <w:i w:val="0"/>
        <w:iCs w:val="0"/>
        <w:u w:val="none"/>
      </w:rPr>
    </w:pPr>
    <w:r>
      <w:rPr>
        <w:rFonts w:hint="eastAsia"/>
        <w:color w:val="auto"/>
        <w:lang w:val="en-US" w:eastAsia="zh-CN"/>
      </w:rPr>
      <w:t>林芝市全域旅游发展规划（2018~2025）</w:t>
    </w:r>
    <w:r>
      <w:rPr>
        <w:rFonts w:hint="eastAsia"/>
        <w:b w:val="0"/>
        <w:bCs w:val="0"/>
        <w:i w:val="0"/>
        <w:iCs w:val="0"/>
        <w:color w:val="auto"/>
        <w:u w:val="none"/>
      </w:rPr>
      <w:t>环</w:t>
    </w:r>
    <w:r>
      <w:rPr>
        <w:rFonts w:hint="eastAsia"/>
        <w:b w:val="0"/>
        <w:bCs w:val="0"/>
        <w:i w:val="0"/>
        <w:iCs w:val="0"/>
        <w:u w:val="none"/>
      </w:rPr>
      <w:t>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jc w:val="center"/>
      <w:rPr>
        <w:b w:val="0"/>
        <w:bCs w:val="0"/>
        <w:i w:val="0"/>
        <w:iCs w:val="0"/>
        <w:u w:val="none"/>
      </w:rPr>
    </w:pPr>
    <w:r>
      <w:rPr>
        <w:rFonts w:hint="eastAsia"/>
        <w:color w:val="auto"/>
        <w:lang w:val="en-US" w:eastAsia="zh-CN"/>
      </w:rPr>
      <w:t>林芝市全域旅游发展规划（2018-2025年）</w:t>
    </w:r>
    <w:r>
      <w:rPr>
        <w:rFonts w:hint="eastAsia"/>
        <w:b w:val="0"/>
        <w:bCs w:val="0"/>
        <w:i w:val="0"/>
        <w:iCs w:val="0"/>
        <w:u w:val="none"/>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CB3B1C"/>
    <w:multiLevelType w:val="singleLevel"/>
    <w:tmpl w:val="86CB3B1C"/>
    <w:lvl w:ilvl="0" w:tentative="0">
      <w:start w:val="1"/>
      <w:numFmt w:val="chineseCounting"/>
      <w:suff w:val="nothing"/>
      <w:lvlText w:val="%1、"/>
      <w:lvlJc w:val="left"/>
      <w:rPr>
        <w:rFonts w:hint="eastAsia"/>
      </w:rPr>
    </w:lvl>
  </w:abstractNum>
  <w:abstractNum w:abstractNumId="1">
    <w:nsid w:val="902B3CB1"/>
    <w:multiLevelType w:val="singleLevel"/>
    <w:tmpl w:val="902B3CB1"/>
    <w:lvl w:ilvl="0" w:tentative="0">
      <w:start w:val="1"/>
      <w:numFmt w:val="decimal"/>
      <w:suff w:val="nothing"/>
      <w:lvlText w:val="%1）"/>
      <w:lvlJc w:val="left"/>
    </w:lvl>
  </w:abstractNum>
  <w:abstractNum w:abstractNumId="2">
    <w:nsid w:val="ADA37684"/>
    <w:multiLevelType w:val="singleLevel"/>
    <w:tmpl w:val="ADA37684"/>
    <w:lvl w:ilvl="0" w:tentative="0">
      <w:start w:val="6"/>
      <w:numFmt w:val="chineseCounting"/>
      <w:suff w:val="space"/>
      <w:lvlText w:val="第%1章"/>
      <w:lvlJc w:val="left"/>
      <w:rPr>
        <w:rFonts w:hint="eastAsia"/>
      </w:rPr>
    </w:lvl>
  </w:abstractNum>
  <w:abstractNum w:abstractNumId="3">
    <w:nsid w:val="D26CAF08"/>
    <w:multiLevelType w:val="singleLevel"/>
    <w:tmpl w:val="D26CAF08"/>
    <w:lvl w:ilvl="0" w:tentative="0">
      <w:start w:val="1"/>
      <w:numFmt w:val="decimal"/>
      <w:suff w:val="nothing"/>
      <w:lvlText w:val="%1、"/>
      <w:lvlJc w:val="left"/>
    </w:lvl>
  </w:abstractNum>
  <w:abstractNum w:abstractNumId="4">
    <w:nsid w:val="D5207EA0"/>
    <w:multiLevelType w:val="singleLevel"/>
    <w:tmpl w:val="D5207EA0"/>
    <w:lvl w:ilvl="0" w:tentative="0">
      <w:start w:val="1"/>
      <w:numFmt w:val="decimal"/>
      <w:suff w:val="nothing"/>
      <w:lvlText w:val="%1）"/>
      <w:lvlJc w:val="left"/>
    </w:lvl>
  </w:abstractNum>
  <w:abstractNum w:abstractNumId="5">
    <w:nsid w:val="DFDFD863"/>
    <w:multiLevelType w:val="singleLevel"/>
    <w:tmpl w:val="DFDFD863"/>
    <w:lvl w:ilvl="0" w:tentative="0">
      <w:start w:val="3"/>
      <w:numFmt w:val="decimal"/>
      <w:suff w:val="nothing"/>
      <w:lvlText w:val="（%1）"/>
      <w:lvlJc w:val="left"/>
    </w:lvl>
  </w:abstractNum>
  <w:abstractNum w:abstractNumId="6">
    <w:nsid w:val="EABE13BA"/>
    <w:multiLevelType w:val="singleLevel"/>
    <w:tmpl w:val="EABE13BA"/>
    <w:lvl w:ilvl="0" w:tentative="0">
      <w:start w:val="2"/>
      <w:numFmt w:val="decimal"/>
      <w:suff w:val="nothing"/>
      <w:lvlText w:val="（%1）"/>
      <w:lvlJc w:val="left"/>
    </w:lvl>
  </w:abstractNum>
  <w:abstractNum w:abstractNumId="7">
    <w:nsid w:val="17866E9B"/>
    <w:multiLevelType w:val="singleLevel"/>
    <w:tmpl w:val="17866E9B"/>
    <w:lvl w:ilvl="0" w:tentative="0">
      <w:start w:val="1"/>
      <w:numFmt w:val="decimal"/>
      <w:suff w:val="nothing"/>
      <w:lvlText w:val="%1、"/>
      <w:lvlJc w:val="left"/>
    </w:lvl>
  </w:abstractNum>
  <w:abstractNum w:abstractNumId="8">
    <w:nsid w:val="27FC2BEC"/>
    <w:multiLevelType w:val="singleLevel"/>
    <w:tmpl w:val="27FC2BEC"/>
    <w:lvl w:ilvl="0" w:tentative="0">
      <w:start w:val="1"/>
      <w:numFmt w:val="decimal"/>
      <w:suff w:val="nothing"/>
      <w:lvlText w:val="%1）"/>
      <w:lvlJc w:val="left"/>
    </w:lvl>
  </w:abstractNum>
  <w:abstractNum w:abstractNumId="9">
    <w:nsid w:val="31F82438"/>
    <w:multiLevelType w:val="singleLevel"/>
    <w:tmpl w:val="31F82438"/>
    <w:lvl w:ilvl="0" w:tentative="0">
      <w:start w:val="1"/>
      <w:numFmt w:val="decimal"/>
      <w:suff w:val="nothing"/>
      <w:lvlText w:val="%1、"/>
      <w:lvlJc w:val="left"/>
    </w:lvl>
  </w:abstractNum>
  <w:abstractNum w:abstractNumId="10">
    <w:nsid w:val="3BB09F9F"/>
    <w:multiLevelType w:val="singleLevel"/>
    <w:tmpl w:val="3BB09F9F"/>
    <w:lvl w:ilvl="0" w:tentative="0">
      <w:start w:val="1"/>
      <w:numFmt w:val="decimal"/>
      <w:suff w:val="nothing"/>
      <w:lvlText w:val="%1、"/>
      <w:lvlJc w:val="left"/>
      <w:pPr>
        <w:ind w:left="40"/>
      </w:pPr>
    </w:lvl>
  </w:abstractNum>
  <w:abstractNum w:abstractNumId="11">
    <w:nsid w:val="41A11ABF"/>
    <w:multiLevelType w:val="singleLevel"/>
    <w:tmpl w:val="41A11ABF"/>
    <w:lvl w:ilvl="0" w:tentative="0">
      <w:start w:val="1"/>
      <w:numFmt w:val="decimal"/>
      <w:suff w:val="nothing"/>
      <w:lvlText w:val="（%1）"/>
      <w:lvlJc w:val="left"/>
    </w:lvl>
  </w:abstractNum>
  <w:abstractNum w:abstractNumId="12">
    <w:nsid w:val="41DBD496"/>
    <w:multiLevelType w:val="singleLevel"/>
    <w:tmpl w:val="41DBD496"/>
    <w:lvl w:ilvl="0" w:tentative="0">
      <w:start w:val="1"/>
      <w:numFmt w:val="decimal"/>
      <w:suff w:val="nothing"/>
      <w:lvlText w:val="%1、"/>
      <w:lvlJc w:val="left"/>
    </w:lvl>
  </w:abstractNum>
  <w:abstractNum w:abstractNumId="13">
    <w:nsid w:val="5D32B2E2"/>
    <w:multiLevelType w:val="singleLevel"/>
    <w:tmpl w:val="5D32B2E2"/>
    <w:lvl w:ilvl="0" w:tentative="0">
      <w:start w:val="2"/>
      <w:numFmt w:val="decimal"/>
      <w:suff w:val="nothing"/>
      <w:lvlText w:val="（%1）"/>
      <w:lvlJc w:val="left"/>
    </w:lvl>
  </w:abstractNum>
  <w:abstractNum w:abstractNumId="14">
    <w:nsid w:val="61A1596B"/>
    <w:multiLevelType w:val="singleLevel"/>
    <w:tmpl w:val="61A1596B"/>
    <w:lvl w:ilvl="0" w:tentative="0">
      <w:start w:val="1"/>
      <w:numFmt w:val="decimal"/>
      <w:suff w:val="nothing"/>
      <w:lvlText w:val="（%1）"/>
      <w:lvlJc w:val="left"/>
    </w:lvl>
  </w:abstractNum>
  <w:abstractNum w:abstractNumId="15">
    <w:nsid w:val="74DF0B27"/>
    <w:multiLevelType w:val="singleLevel"/>
    <w:tmpl w:val="74DF0B27"/>
    <w:lvl w:ilvl="0" w:tentative="0">
      <w:start w:val="2"/>
      <w:numFmt w:val="decimal"/>
      <w:suff w:val="nothing"/>
      <w:lvlText w:val="%1、"/>
      <w:lvlJc w:val="left"/>
    </w:lvl>
  </w:abstractNum>
  <w:num w:numId="1">
    <w:abstractNumId w:val="10"/>
  </w:num>
  <w:num w:numId="2">
    <w:abstractNumId w:val="6"/>
  </w:num>
  <w:num w:numId="3">
    <w:abstractNumId w:val="0"/>
  </w:num>
  <w:num w:numId="4">
    <w:abstractNumId w:val="15"/>
  </w:num>
  <w:num w:numId="5">
    <w:abstractNumId w:val="13"/>
  </w:num>
  <w:num w:numId="6">
    <w:abstractNumId w:val="2"/>
  </w:num>
  <w:num w:numId="7">
    <w:abstractNumId w:val="5"/>
  </w:num>
  <w:num w:numId="8">
    <w:abstractNumId w:val="3"/>
  </w:num>
  <w:num w:numId="9">
    <w:abstractNumId w:val="12"/>
  </w:num>
  <w:num w:numId="10">
    <w:abstractNumId w:val="14"/>
  </w:num>
  <w:num w:numId="11">
    <w:abstractNumId w:val="4"/>
  </w:num>
  <w:num w:numId="12">
    <w:abstractNumId w:val="9"/>
  </w:num>
  <w:num w:numId="13">
    <w:abstractNumId w:val="11"/>
  </w:num>
  <w:num w:numId="14">
    <w:abstractNumId w:val="7"/>
  </w:num>
  <w:num w:numId="15">
    <w:abstractNumId w:va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0YjA5ZTZmNGJmM2Y5YzE4YzlkMGI0NzVlNDkyOTcifQ=="/>
  </w:docVars>
  <w:rsids>
    <w:rsidRoot w:val="5BDF172C"/>
    <w:rsid w:val="001F6B24"/>
    <w:rsid w:val="04EB72A0"/>
    <w:rsid w:val="04F62786"/>
    <w:rsid w:val="05A65E7C"/>
    <w:rsid w:val="08EA32A0"/>
    <w:rsid w:val="0CFD3901"/>
    <w:rsid w:val="0FBD4EED"/>
    <w:rsid w:val="18B45539"/>
    <w:rsid w:val="19736DB8"/>
    <w:rsid w:val="1AEA093F"/>
    <w:rsid w:val="1B7E4A4D"/>
    <w:rsid w:val="1BD971AE"/>
    <w:rsid w:val="1CF67334"/>
    <w:rsid w:val="1DA83346"/>
    <w:rsid w:val="1E970AF4"/>
    <w:rsid w:val="1F220B81"/>
    <w:rsid w:val="1F2C7A38"/>
    <w:rsid w:val="214572EE"/>
    <w:rsid w:val="243E16B8"/>
    <w:rsid w:val="26266BAA"/>
    <w:rsid w:val="266B324B"/>
    <w:rsid w:val="285030C5"/>
    <w:rsid w:val="2E642344"/>
    <w:rsid w:val="3313660B"/>
    <w:rsid w:val="42D564F2"/>
    <w:rsid w:val="446B5CAE"/>
    <w:rsid w:val="44893152"/>
    <w:rsid w:val="4E8812BF"/>
    <w:rsid w:val="580E7CBD"/>
    <w:rsid w:val="59475CB1"/>
    <w:rsid w:val="5BDF172C"/>
    <w:rsid w:val="5F0040D5"/>
    <w:rsid w:val="62F2726F"/>
    <w:rsid w:val="64F54838"/>
    <w:rsid w:val="6B483677"/>
    <w:rsid w:val="6BB06B75"/>
    <w:rsid w:val="6EB60250"/>
    <w:rsid w:val="6EB92A69"/>
    <w:rsid w:val="71821664"/>
    <w:rsid w:val="779F2B70"/>
    <w:rsid w:val="786C4762"/>
    <w:rsid w:val="7B503992"/>
    <w:rsid w:val="7D272C8C"/>
    <w:rsid w:val="7E3D2DB2"/>
    <w:rsid w:val="7F765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spacing w:before="360" w:after="360"/>
      <w:jc w:val="center"/>
      <w:outlineLvl w:val="0"/>
    </w:pPr>
    <w:rPr>
      <w:rFonts w:eastAsia="黑体"/>
      <w:b/>
      <w:kern w:val="44"/>
      <w:sz w:val="32"/>
    </w:rPr>
  </w:style>
  <w:style w:type="paragraph" w:styleId="4">
    <w:name w:val="heading 2"/>
    <w:basedOn w:val="1"/>
    <w:next w:val="1"/>
    <w:link w:val="40"/>
    <w:unhideWhenUsed/>
    <w:qFormat/>
    <w:uiPriority w:val="0"/>
    <w:pPr>
      <w:keepNext/>
      <w:keepLines/>
      <w:spacing w:before="400" w:after="120" w:line="400" w:lineRule="exact"/>
      <w:jc w:val="left"/>
      <w:outlineLvl w:val="1"/>
    </w:pPr>
    <w:rPr>
      <w:rFonts w:ascii="Times New Roman" w:hAnsi="Times New Roman" w:eastAsia="黑体"/>
      <w:b/>
      <w:sz w:val="28"/>
    </w:rPr>
  </w:style>
  <w:style w:type="paragraph" w:styleId="5">
    <w:name w:val="heading 3"/>
    <w:basedOn w:val="1"/>
    <w:next w:val="6"/>
    <w:link w:val="41"/>
    <w:unhideWhenUsed/>
    <w:qFormat/>
    <w:uiPriority w:val="0"/>
    <w:pPr>
      <w:keepNext/>
      <w:keepLines/>
      <w:spacing w:before="120" w:after="60" w:line="360" w:lineRule="auto"/>
      <w:jc w:val="left"/>
      <w:outlineLvl w:val="2"/>
    </w:pPr>
    <w:rPr>
      <w:rFonts w:ascii="Times New Roman" w:hAnsi="Times New Roman" w:eastAsia="黑体"/>
      <w:b/>
    </w:rPr>
  </w:style>
  <w:style w:type="paragraph" w:styleId="2">
    <w:name w:val="heading 4"/>
    <w:basedOn w:val="1"/>
    <w:next w:val="1"/>
    <w:unhideWhenUsed/>
    <w:qFormat/>
    <w:uiPriority w:val="0"/>
    <w:pPr>
      <w:keepNext/>
      <w:keepLines/>
      <w:spacing w:after="60" w:line="360" w:lineRule="auto"/>
      <w:outlineLvl w:val="3"/>
    </w:pPr>
    <w:rPr>
      <w:rFonts w:ascii="Times New Roman" w:hAnsi="Times New Roman" w:eastAsia="宋体"/>
      <w:b/>
    </w:rPr>
  </w:style>
  <w:style w:type="paragraph" w:styleId="7">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6">
    <w:name w:val="Default Paragraph Font"/>
    <w:semiHidden/>
    <w:qFormat/>
    <w:uiPriority w:val="0"/>
  </w:style>
  <w:style w:type="table" w:default="1" w:styleId="24">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customStyle="1" w:styleId="6">
    <w:name w:val="正文LTT"/>
    <w:basedOn w:val="1"/>
    <w:link w:val="48"/>
    <w:qFormat/>
    <w:uiPriority w:val="0"/>
    <w:pPr>
      <w:spacing w:line="360" w:lineRule="auto"/>
      <w:ind w:firstLine="440" w:firstLineChars="200"/>
    </w:pPr>
    <w:rPr>
      <w:rFonts w:ascii="Times New Roman" w:hAnsi="Times New Roman" w:eastAsia="宋体" w:cs="Times New Roman"/>
      <w:sz w:val="24"/>
    </w:rPr>
  </w:style>
  <w:style w:type="paragraph" w:styleId="9">
    <w:name w:val="Normal Indent"/>
    <w:basedOn w:val="1"/>
    <w:qFormat/>
    <w:uiPriority w:val="0"/>
    <w:pPr>
      <w:ind w:left="489" w:leftChars="204" w:firstLine="420"/>
    </w:pPr>
    <w:rPr>
      <w:rFonts w:ascii="Times New Roman" w:hAnsi="Times New Roman"/>
      <w:sz w:val="21"/>
      <w:szCs w:val="20"/>
    </w:rPr>
  </w:style>
  <w:style w:type="paragraph" w:styleId="10">
    <w:name w:val="caption"/>
    <w:basedOn w:val="1"/>
    <w:next w:val="1"/>
    <w:unhideWhenUsed/>
    <w:qFormat/>
    <w:uiPriority w:val="0"/>
    <w:rPr>
      <w:rFonts w:ascii="仿宋_GB2312" w:hAnsi="仿宋_GB2312" w:eastAsia="仿宋_GB2312" w:cs="Times New Roman"/>
      <w:sz w:val="28"/>
      <w:szCs w:val="20"/>
    </w:rPr>
  </w:style>
  <w:style w:type="paragraph" w:styleId="11">
    <w:name w:val="annotation text"/>
    <w:basedOn w:val="1"/>
    <w:qFormat/>
    <w:uiPriority w:val="0"/>
    <w:pPr>
      <w:jc w:val="left"/>
    </w:pPr>
  </w:style>
  <w:style w:type="paragraph" w:styleId="12">
    <w:name w:val="Body Text"/>
    <w:basedOn w:val="1"/>
    <w:next w:val="1"/>
    <w:qFormat/>
    <w:uiPriority w:val="0"/>
    <w:pPr>
      <w:spacing w:line="480" w:lineRule="exact"/>
    </w:pPr>
    <w:rPr>
      <w:sz w:val="28"/>
    </w:rPr>
  </w:style>
  <w:style w:type="paragraph" w:styleId="13">
    <w:name w:val="Body Text Indent"/>
    <w:basedOn w:val="1"/>
    <w:unhideWhenUsed/>
    <w:qFormat/>
    <w:uiPriority w:val="99"/>
    <w:pPr>
      <w:spacing w:after="120"/>
      <w:ind w:left="420" w:leftChars="200"/>
    </w:pPr>
  </w:style>
  <w:style w:type="paragraph" w:styleId="14">
    <w:name w:val="toc 3"/>
    <w:basedOn w:val="1"/>
    <w:next w:val="1"/>
    <w:qFormat/>
    <w:uiPriority w:val="0"/>
    <w:pPr>
      <w:ind w:left="480" w:leftChars="200"/>
    </w:pPr>
    <w:rPr>
      <w:rFonts w:ascii="Times New Roman" w:hAnsi="Times New Roman" w:eastAsia="宋体"/>
    </w:rPr>
  </w:style>
  <w:style w:type="paragraph" w:styleId="15">
    <w:name w:val="Plain Text"/>
    <w:basedOn w:val="1"/>
    <w:qFormat/>
    <w:uiPriority w:val="0"/>
    <w:rPr>
      <w:rFonts w:ascii="宋体" w:hAnsi="Courier New"/>
      <w:szCs w:val="20"/>
    </w:rPr>
  </w:style>
  <w:style w:type="paragraph" w:styleId="16">
    <w:name w:val="footer"/>
    <w:basedOn w:val="1"/>
    <w:unhideWhenUsed/>
    <w:qFormat/>
    <w:uiPriority w:val="99"/>
    <w:pPr>
      <w:tabs>
        <w:tab w:val="center" w:pos="4153"/>
        <w:tab w:val="right" w:pos="8306"/>
      </w:tabs>
      <w:snapToGrid w:val="0"/>
      <w:jc w:val="left"/>
    </w:pPr>
    <w:rPr>
      <w:sz w:val="18"/>
      <w:szCs w:val="18"/>
    </w:rPr>
  </w:style>
  <w:style w:type="paragraph" w:styleId="17">
    <w:name w:val="header"/>
    <w:basedOn w:val="1"/>
    <w:next w:val="1"/>
    <w:link w:val="5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qFormat/>
    <w:uiPriority w:val="39"/>
    <w:pPr>
      <w:spacing w:before="240" w:after="120"/>
      <w:jc w:val="left"/>
    </w:pPr>
    <w:rPr>
      <w:rFonts w:ascii="Times New Roman" w:hAnsi="Times New Roman" w:eastAsia="宋体"/>
      <w:b/>
      <w:bCs/>
      <w:caps/>
    </w:rPr>
  </w:style>
  <w:style w:type="paragraph" w:styleId="19">
    <w:name w:val="toc 2"/>
    <w:basedOn w:val="1"/>
    <w:next w:val="1"/>
    <w:qFormat/>
    <w:uiPriority w:val="0"/>
    <w:pPr>
      <w:ind w:left="240" w:leftChars="100"/>
    </w:pPr>
    <w:rPr>
      <w:rFonts w:ascii="Times New Roman" w:hAnsi="Times New Roman" w:eastAsia="宋体"/>
    </w:rPr>
  </w:style>
  <w:style w:type="paragraph" w:styleId="2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1">
    <w:name w:val="Title"/>
    <w:basedOn w:val="1"/>
    <w:qFormat/>
    <w:uiPriority w:val="0"/>
    <w:pPr>
      <w:spacing w:before="240" w:after="60"/>
      <w:jc w:val="center"/>
      <w:outlineLvl w:val="0"/>
    </w:pPr>
    <w:rPr>
      <w:rFonts w:ascii="Arial" w:hAnsi="Arial"/>
      <w:b/>
      <w:sz w:val="32"/>
    </w:rPr>
  </w:style>
  <w:style w:type="paragraph" w:styleId="22">
    <w:name w:val="Body Text First Indent"/>
    <w:basedOn w:val="12"/>
    <w:qFormat/>
    <w:uiPriority w:val="0"/>
    <w:pPr>
      <w:spacing w:line="360" w:lineRule="auto"/>
      <w:ind w:firstLine="200" w:firstLineChars="200"/>
    </w:pPr>
    <w:rPr>
      <w:sz w:val="24"/>
    </w:rPr>
  </w:style>
  <w:style w:type="paragraph" w:styleId="23">
    <w:name w:val="Body Text First Indent 2"/>
    <w:basedOn w:val="13"/>
    <w:unhideWhenUsed/>
    <w:qFormat/>
    <w:uiPriority w:val="99"/>
    <w:pPr>
      <w:ind w:firstLine="420" w:firstLineChars="200"/>
    </w:pPr>
  </w:style>
  <w:style w:type="table" w:styleId="25">
    <w:name w:val="Table Grid"/>
    <w:basedOn w:val="24"/>
    <w:qFormat/>
    <w:uiPriority w:val="0"/>
    <w:pPr>
      <w:widowControl w:val="0"/>
      <w:spacing w:line="276"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
    <w:name w:val="表格标题LTT"/>
    <w:basedOn w:val="1"/>
    <w:next w:val="6"/>
    <w:link w:val="45"/>
    <w:qFormat/>
    <w:uiPriority w:val="0"/>
    <w:pPr>
      <w:spacing w:before="120"/>
      <w:jc w:val="center"/>
    </w:pPr>
    <w:rPr>
      <w:rFonts w:ascii="Times New Roman" w:hAnsi="Times New Roman" w:eastAsia="宋体" w:cs="Times New Roman"/>
      <w:b/>
      <w:sz w:val="21"/>
    </w:rPr>
  </w:style>
  <w:style w:type="paragraph" w:customStyle="1" w:styleId="28">
    <w:name w:val="表格文字LTT"/>
    <w:basedOn w:val="1"/>
    <w:next w:val="1"/>
    <w:link w:val="49"/>
    <w:qFormat/>
    <w:uiPriority w:val="0"/>
    <w:pPr>
      <w:spacing w:before="40" w:after="40"/>
      <w:jc w:val="center"/>
    </w:pPr>
    <w:rPr>
      <w:rFonts w:ascii="Times New Roman" w:hAnsi="Times New Roman" w:eastAsia="宋体" w:cs="Times New Roman"/>
      <w:sz w:val="21"/>
    </w:rPr>
  </w:style>
  <w:style w:type="paragraph" w:customStyle="1" w:styleId="29">
    <w:name w:val="表格文字LTT0磅"/>
    <w:basedOn w:val="1"/>
    <w:qFormat/>
    <w:uiPriority w:val="0"/>
    <w:pPr>
      <w:spacing w:line="240" w:lineRule="auto"/>
      <w:jc w:val="center"/>
    </w:pPr>
    <w:rPr>
      <w:rFonts w:ascii="Times New Roman" w:hAnsi="Times New Roman" w:eastAsia="宋体" w:cs="Times New Roman"/>
      <w:sz w:val="21"/>
    </w:rPr>
  </w:style>
  <w:style w:type="paragraph" w:customStyle="1" w:styleId="30">
    <w:name w:val="Default"/>
    <w:unhideWhenUsed/>
    <w:qFormat/>
    <w:uiPriority w:val="99"/>
    <w:pPr>
      <w:widowControl w:val="0"/>
      <w:autoSpaceDE w:val="0"/>
      <w:autoSpaceDN w:val="0"/>
      <w:adjustRightInd w:val="0"/>
    </w:pPr>
    <w:rPr>
      <w:rFonts w:hint="eastAsia" w:ascii="仿宋....." w:hAnsi="仿宋....." w:eastAsia="仿宋....." w:cs="Times New Roman"/>
      <w:color w:val="000000"/>
      <w:sz w:val="24"/>
      <w:lang w:val="en-US" w:eastAsia="zh-CN" w:bidi="ar-SA"/>
    </w:rPr>
  </w:style>
  <w:style w:type="character" w:customStyle="1" w:styleId="31">
    <w:name w:val="fontstyle01"/>
    <w:basedOn w:val="26"/>
    <w:qFormat/>
    <w:uiPriority w:val="0"/>
    <w:rPr>
      <w:rFonts w:ascii="宋体" w:hAnsi="宋体" w:eastAsia="宋体" w:cs="宋体"/>
      <w:color w:val="000000"/>
      <w:sz w:val="26"/>
      <w:szCs w:val="26"/>
    </w:rPr>
  </w:style>
  <w:style w:type="character" w:customStyle="1" w:styleId="32">
    <w:name w:val="fontstyle21"/>
    <w:basedOn w:val="26"/>
    <w:qFormat/>
    <w:uiPriority w:val="0"/>
    <w:rPr>
      <w:rFonts w:ascii="TimesNewRomanPSMT" w:hAnsi="TimesNewRomanPSMT" w:eastAsia="TimesNewRomanPSMT" w:cs="TimesNewRomanPSMT"/>
      <w:color w:val="000000"/>
      <w:sz w:val="26"/>
      <w:szCs w:val="26"/>
    </w:rPr>
  </w:style>
  <w:style w:type="paragraph" w:customStyle="1" w:styleId="33">
    <w:name w:val="p16"/>
    <w:basedOn w:val="1"/>
    <w:qFormat/>
    <w:uiPriority w:val="0"/>
    <w:pPr>
      <w:widowControl/>
      <w:spacing w:after="120"/>
      <w:ind w:firstLine="210"/>
    </w:pPr>
    <w:rPr>
      <w:kern w:val="0"/>
      <w:szCs w:val="20"/>
    </w:rPr>
  </w:style>
  <w:style w:type="paragraph" w:customStyle="1" w:styleId="34">
    <w:name w:val="图题LTT"/>
    <w:basedOn w:val="1"/>
    <w:next w:val="6"/>
    <w:qFormat/>
    <w:uiPriority w:val="0"/>
    <w:pPr>
      <w:spacing w:after="120"/>
      <w:jc w:val="center"/>
    </w:pPr>
    <w:rPr>
      <w:b/>
      <w:sz w:val="21"/>
    </w:rPr>
  </w:style>
  <w:style w:type="character" w:customStyle="1" w:styleId="35">
    <w:name w:val="fontstyle11"/>
    <w:basedOn w:val="26"/>
    <w:qFormat/>
    <w:uiPriority w:val="0"/>
    <w:rPr>
      <w:rFonts w:ascii="宋体" w:hAnsi="宋体" w:eastAsia="宋体" w:cs="宋体"/>
      <w:color w:val="000000"/>
      <w:sz w:val="24"/>
      <w:szCs w:val="24"/>
    </w:rPr>
  </w:style>
  <w:style w:type="paragraph" w:customStyle="1" w:styleId="36">
    <w:name w:val="表内文"/>
    <w:basedOn w:val="1"/>
    <w:qFormat/>
    <w:uiPriority w:val="0"/>
    <w:pPr>
      <w:autoSpaceDE w:val="0"/>
      <w:autoSpaceDN w:val="0"/>
      <w:adjustRightInd w:val="0"/>
      <w:spacing w:line="240" w:lineRule="atLeast"/>
      <w:jc w:val="left"/>
    </w:pPr>
    <w:rPr>
      <w:rFonts w:ascii="Times New Roman" w:hAnsi="宋体"/>
      <w:szCs w:val="24"/>
    </w:rPr>
  </w:style>
  <w:style w:type="character" w:customStyle="1" w:styleId="37">
    <w:name w:val="fontstyle31"/>
    <w:basedOn w:val="26"/>
    <w:qFormat/>
    <w:uiPriority w:val="0"/>
    <w:rPr>
      <w:rFonts w:hint="default" w:ascii="Times New Roman" w:hAnsi="Times New Roman" w:cs="Times New Roman"/>
      <w:color w:val="000000"/>
      <w:sz w:val="22"/>
      <w:szCs w:val="22"/>
    </w:rPr>
  </w:style>
  <w:style w:type="character" w:customStyle="1" w:styleId="38">
    <w:name w:val="fontstyle41"/>
    <w:basedOn w:val="26"/>
    <w:qFormat/>
    <w:uiPriority w:val="0"/>
    <w:rPr>
      <w:rFonts w:ascii="仿宋" w:hAnsi="仿宋" w:eastAsia="仿宋" w:cs="仿宋"/>
      <w:color w:val="000000"/>
      <w:sz w:val="18"/>
      <w:szCs w:val="18"/>
    </w:rPr>
  </w:style>
  <w:style w:type="paragraph" w:customStyle="1" w:styleId="39">
    <w:name w:val="图表内容"/>
    <w:basedOn w:val="1"/>
    <w:qFormat/>
    <w:uiPriority w:val="0"/>
    <w:pPr>
      <w:spacing w:line="288" w:lineRule="auto"/>
      <w:jc w:val="center"/>
    </w:pPr>
  </w:style>
  <w:style w:type="character" w:customStyle="1" w:styleId="40">
    <w:name w:val="标题 2 Char"/>
    <w:link w:val="4"/>
    <w:qFormat/>
    <w:uiPriority w:val="0"/>
    <w:rPr>
      <w:rFonts w:ascii="Times New Roman" w:hAnsi="Times New Roman" w:eastAsia="黑体"/>
      <w:b/>
      <w:sz w:val="28"/>
    </w:rPr>
  </w:style>
  <w:style w:type="character" w:customStyle="1" w:styleId="41">
    <w:name w:val="标题 3 Char"/>
    <w:link w:val="5"/>
    <w:qFormat/>
    <w:uiPriority w:val="0"/>
    <w:rPr>
      <w:rFonts w:ascii="Times New Roman" w:hAnsi="Times New Roman" w:eastAsia="黑体"/>
      <w:b/>
      <w:sz w:val="24"/>
    </w:rPr>
  </w:style>
  <w:style w:type="character" w:customStyle="1" w:styleId="42">
    <w:name w:val="0表字"/>
    <w:basedOn w:val="26"/>
    <w:qFormat/>
    <w:uiPriority w:val="0"/>
    <w:rPr>
      <w:rFonts w:ascii="Times New Roman" w:hAnsi="Times New Roman" w:eastAsia="仿宋_GB2312"/>
      <w:sz w:val="24"/>
    </w:rPr>
  </w:style>
  <w:style w:type="paragraph" w:customStyle="1" w:styleId="43">
    <w:name w:val="0表头图头"/>
    <w:basedOn w:val="1"/>
    <w:qFormat/>
    <w:uiPriority w:val="0"/>
    <w:pPr>
      <w:jc w:val="center"/>
    </w:pPr>
    <w:rPr>
      <w:rFonts w:ascii="黑体" w:hAnsi="黑体" w:cs="Times New Roman"/>
      <w:sz w:val="24"/>
      <w:szCs w:val="18"/>
    </w:rPr>
  </w:style>
  <w:style w:type="paragraph" w:customStyle="1" w:styleId="44">
    <w:name w:val="0正文-四级"/>
    <w:basedOn w:val="1"/>
    <w:qFormat/>
    <w:uiPriority w:val="0"/>
    <w:pPr>
      <w:ind w:firstLine="200" w:firstLineChars="200"/>
    </w:pPr>
    <w:rPr>
      <w:rFonts w:ascii="Times New Roman" w:hAnsi="Times New Roman" w:eastAsia="仿宋_GB2312" w:cs="Times New Roman"/>
      <w:sz w:val="28"/>
      <w:szCs w:val="21"/>
    </w:rPr>
  </w:style>
  <w:style w:type="character" w:customStyle="1" w:styleId="45">
    <w:name w:val="表格标题LTT Char"/>
    <w:link w:val="27"/>
    <w:qFormat/>
    <w:uiPriority w:val="0"/>
    <w:rPr>
      <w:rFonts w:ascii="Times New Roman" w:hAnsi="Times New Roman" w:eastAsia="宋体" w:cs="Times New Roman"/>
      <w:b/>
      <w:sz w:val="21"/>
    </w:rPr>
  </w:style>
  <w:style w:type="paragraph" w:customStyle="1" w:styleId="46">
    <w:name w:val="Table Paragraph"/>
    <w:basedOn w:val="1"/>
    <w:qFormat/>
    <w:uiPriority w:val="1"/>
    <w:pPr>
      <w:widowControl/>
      <w:autoSpaceDE w:val="0"/>
      <w:autoSpaceDN w:val="0"/>
      <w:spacing w:line="276" w:lineRule="auto"/>
      <w:jc w:val="left"/>
    </w:pPr>
    <w:rPr>
      <w:rFonts w:ascii="Noto Sans CJK JP Regular" w:hAnsi="Noto Sans CJK JP Regular" w:eastAsia="Noto Sans CJK JP Regular" w:cs="Noto Sans CJK JP Regular"/>
      <w:kern w:val="0"/>
      <w:sz w:val="22"/>
      <w:lang w:val="zh-CN" w:bidi="zh-CN"/>
    </w:rPr>
  </w:style>
  <w:style w:type="paragraph" w:customStyle="1" w:styleId="47">
    <w:name w:val="省交通院"/>
    <w:basedOn w:val="1"/>
    <w:qFormat/>
    <w:uiPriority w:val="0"/>
    <w:pPr>
      <w:spacing w:line="360" w:lineRule="auto"/>
      <w:ind w:firstLine="480" w:firstLineChars="200"/>
    </w:pPr>
    <w:rPr>
      <w:sz w:val="24"/>
      <w:szCs w:val="24"/>
    </w:rPr>
  </w:style>
  <w:style w:type="character" w:customStyle="1" w:styleId="48">
    <w:name w:val="正文LTT Char"/>
    <w:link w:val="6"/>
    <w:qFormat/>
    <w:uiPriority w:val="0"/>
    <w:rPr>
      <w:rFonts w:ascii="Times New Roman" w:hAnsi="Times New Roman" w:eastAsia="宋体" w:cs="Times New Roman"/>
      <w:sz w:val="24"/>
    </w:rPr>
  </w:style>
  <w:style w:type="character" w:customStyle="1" w:styleId="49">
    <w:name w:val="表格文字LTT Char"/>
    <w:link w:val="28"/>
    <w:qFormat/>
    <w:uiPriority w:val="0"/>
    <w:rPr>
      <w:rFonts w:ascii="Times New Roman" w:hAnsi="Times New Roman" w:eastAsia="宋体" w:cs="Times New Roman"/>
      <w:sz w:val="21"/>
    </w:rPr>
  </w:style>
  <w:style w:type="table" w:customStyle="1" w:styleId="50">
    <w:name w:val="网格型430"/>
    <w:basedOn w:val="24"/>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网格型1"/>
    <w:basedOn w:val="24"/>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2">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53">
    <w:name w:val="页眉 Char"/>
    <w:link w:val="17"/>
    <w:qFormat/>
    <w:uiPriority w:val="0"/>
    <w:rPr>
      <w:sz w:val="18"/>
    </w:rPr>
  </w:style>
  <w:style w:type="paragraph" w:styleId="54">
    <w:name w:val="List Paragraph"/>
    <w:basedOn w:val="1"/>
    <w:qFormat/>
    <w:uiPriority w:val="34"/>
    <w:pPr>
      <w:widowControl/>
      <w:spacing w:line="276" w:lineRule="auto"/>
      <w:ind w:firstLine="420" w:firstLineChars="200"/>
      <w:jc w:val="left"/>
    </w:pPr>
    <w:rPr>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chart" Target="charts/chart1.xml"/><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spc="120" normalizeH="0" baseline="0">
                <a:solidFill>
                  <a:srgbClr val="595959">
                    <a:lumMod val="65000"/>
                    <a:lumOff val="35000"/>
                  </a:srgbClr>
                </a:solidFill>
                <a:latin typeface="+mn-lt"/>
                <a:ea typeface="+mn-ea"/>
                <a:cs typeface="+mn-cs"/>
              </a:defRPr>
            </a:pPr>
            <a:r>
              <a:rPr sz="1200"/>
              <a:t>污染因子年均浓度限值</a:t>
            </a:r>
            <a:endParaRPr sz="1200"/>
          </a:p>
        </c:rich>
      </c:tx>
      <c:layout/>
      <c:overlay val="0"/>
      <c:spPr>
        <a:noFill/>
        <a:ln>
          <a:noFill/>
        </a:ln>
        <a:effectLst/>
      </c:spPr>
    </c:title>
    <c:autoTitleDeleted val="0"/>
    <c:plotArea>
      <c:layout/>
      <c:lineChart>
        <c:grouping val="standard"/>
        <c:varyColors val="0"/>
        <c:ser>
          <c:idx val="0"/>
          <c:order val="0"/>
          <c:tx>
            <c:strRef>
              <c:f>[工作簿1]Sheet1!$D$2</c:f>
              <c:strCache>
                <c:ptCount val="1"/>
                <c:pt idx="0">
                  <c:v>SO2</c:v>
                </c:pt>
              </c:strCache>
            </c:strRef>
          </c:tx>
          <c:spPr>
            <a:ln w="22225" cap="rnd">
              <a:solidFill>
                <a:srgbClr val="4F81BD"/>
              </a:solidFill>
              <a:round/>
            </a:ln>
            <a:effectLst/>
          </c:spPr>
          <c:marker>
            <c:symbol val="diamond"/>
            <c:size val="6"/>
            <c:spPr>
              <a:solidFill>
                <a:srgbClr val="4F81BD"/>
              </a:solidFill>
              <a:ln w="9525">
                <a:solidFill>
                  <a:srgbClr val="4F81BD"/>
                </a:solidFill>
                <a:round/>
              </a:ln>
              <a:effectLst/>
            </c:spPr>
          </c:marker>
          <c:dLbls>
            <c:delete val="1"/>
          </c:dLbls>
          <c:cat>
            <c:strRef>
              <c:f>[工作簿1]Sheet1!$C$3:$C$7</c:f>
              <c:strCache>
                <c:ptCount val="5"/>
                <c:pt idx="0">
                  <c:v>2016年</c:v>
                </c:pt>
                <c:pt idx="1">
                  <c:v>2017年</c:v>
                </c:pt>
                <c:pt idx="2">
                  <c:v>2018年</c:v>
                </c:pt>
                <c:pt idx="3">
                  <c:v>2019年</c:v>
                </c:pt>
                <c:pt idx="4">
                  <c:v>2020年</c:v>
                </c:pt>
              </c:strCache>
            </c:strRef>
          </c:cat>
          <c:val>
            <c:numRef>
              <c:f>[工作簿1]Sheet1!$D$3:$D$7</c:f>
              <c:numCache>
                <c:formatCode>General</c:formatCode>
                <c:ptCount val="5"/>
                <c:pt idx="0">
                  <c:v>6</c:v>
                </c:pt>
                <c:pt idx="1">
                  <c:v>4</c:v>
                </c:pt>
                <c:pt idx="2">
                  <c:v>4</c:v>
                </c:pt>
                <c:pt idx="3">
                  <c:v>6</c:v>
                </c:pt>
                <c:pt idx="4">
                  <c:v>8</c:v>
                </c:pt>
              </c:numCache>
            </c:numRef>
          </c:val>
          <c:smooth val="0"/>
        </c:ser>
        <c:ser>
          <c:idx val="1"/>
          <c:order val="1"/>
          <c:tx>
            <c:strRef>
              <c:f>[工作簿1]Sheet1!$E$2</c:f>
              <c:strCache>
                <c:ptCount val="1"/>
                <c:pt idx="0">
                  <c:v>NO2</c:v>
                </c:pt>
              </c:strCache>
            </c:strRef>
          </c:tx>
          <c:spPr>
            <a:ln w="22225" cap="rnd">
              <a:solidFill>
                <a:srgbClr val="C0504D"/>
              </a:solidFill>
              <a:round/>
            </a:ln>
            <a:effectLst/>
          </c:spPr>
          <c:marker>
            <c:symbol val="square"/>
            <c:size val="6"/>
            <c:spPr>
              <a:solidFill>
                <a:srgbClr val="C0504D"/>
              </a:solidFill>
              <a:ln w="9525">
                <a:solidFill>
                  <a:srgbClr val="C0504D"/>
                </a:solidFill>
                <a:round/>
              </a:ln>
              <a:effectLst/>
            </c:spPr>
          </c:marker>
          <c:dLbls>
            <c:delete val="1"/>
          </c:dLbls>
          <c:cat>
            <c:strRef>
              <c:f>[工作簿1]Sheet1!$C$3:$C$7</c:f>
              <c:strCache>
                <c:ptCount val="5"/>
                <c:pt idx="0">
                  <c:v>2016年</c:v>
                </c:pt>
                <c:pt idx="1">
                  <c:v>2017年</c:v>
                </c:pt>
                <c:pt idx="2">
                  <c:v>2018年</c:v>
                </c:pt>
                <c:pt idx="3">
                  <c:v>2019年</c:v>
                </c:pt>
                <c:pt idx="4">
                  <c:v>2020年</c:v>
                </c:pt>
              </c:strCache>
            </c:strRef>
          </c:cat>
          <c:val>
            <c:numRef>
              <c:f>[工作簿1]Sheet1!$E$3:$E$7</c:f>
              <c:numCache>
                <c:formatCode>General</c:formatCode>
                <c:ptCount val="5"/>
                <c:pt idx="0">
                  <c:v>9</c:v>
                </c:pt>
                <c:pt idx="1">
                  <c:v>10</c:v>
                </c:pt>
                <c:pt idx="2">
                  <c:v>7</c:v>
                </c:pt>
                <c:pt idx="3">
                  <c:v>6</c:v>
                </c:pt>
                <c:pt idx="4">
                  <c:v>6</c:v>
                </c:pt>
              </c:numCache>
            </c:numRef>
          </c:val>
          <c:smooth val="0"/>
        </c:ser>
        <c:ser>
          <c:idx val="2"/>
          <c:order val="2"/>
          <c:tx>
            <c:strRef>
              <c:f>[工作簿1]Sheet1!$F$2</c:f>
              <c:strCache>
                <c:ptCount val="1"/>
                <c:pt idx="0">
                  <c:v>PM10</c:v>
                </c:pt>
              </c:strCache>
            </c:strRef>
          </c:tx>
          <c:spPr>
            <a:ln w="22225" cap="rnd">
              <a:solidFill>
                <a:srgbClr val="9BBB59"/>
              </a:solidFill>
              <a:round/>
            </a:ln>
            <a:effectLst/>
          </c:spPr>
          <c:marker>
            <c:symbol val="triangle"/>
            <c:size val="6"/>
            <c:spPr>
              <a:solidFill>
                <a:srgbClr val="9BBB59"/>
              </a:solidFill>
              <a:ln w="9525">
                <a:solidFill>
                  <a:srgbClr val="9BBB59"/>
                </a:solidFill>
                <a:round/>
              </a:ln>
              <a:effectLst/>
            </c:spPr>
          </c:marker>
          <c:dLbls>
            <c:delete val="1"/>
          </c:dLbls>
          <c:cat>
            <c:strRef>
              <c:f>[工作簿1]Sheet1!$C$3:$C$7</c:f>
              <c:strCache>
                <c:ptCount val="5"/>
                <c:pt idx="0">
                  <c:v>2016年</c:v>
                </c:pt>
                <c:pt idx="1">
                  <c:v>2017年</c:v>
                </c:pt>
                <c:pt idx="2">
                  <c:v>2018年</c:v>
                </c:pt>
                <c:pt idx="3">
                  <c:v>2019年</c:v>
                </c:pt>
                <c:pt idx="4">
                  <c:v>2020年</c:v>
                </c:pt>
              </c:strCache>
            </c:strRef>
          </c:cat>
          <c:val>
            <c:numRef>
              <c:f>[工作簿1]Sheet1!$F$3:$F$7</c:f>
              <c:numCache>
                <c:formatCode>General</c:formatCode>
                <c:ptCount val="5"/>
                <c:pt idx="0">
                  <c:v>24</c:v>
                </c:pt>
                <c:pt idx="1">
                  <c:v>30</c:v>
                </c:pt>
                <c:pt idx="2">
                  <c:v>21</c:v>
                </c:pt>
                <c:pt idx="3">
                  <c:v>13</c:v>
                </c:pt>
                <c:pt idx="4">
                  <c:v>18</c:v>
                </c:pt>
              </c:numCache>
            </c:numRef>
          </c:val>
          <c:smooth val="0"/>
        </c:ser>
        <c:ser>
          <c:idx val="3"/>
          <c:order val="3"/>
          <c:tx>
            <c:strRef>
              <c:f>[工作簿1]Sheet1!$G$2</c:f>
              <c:strCache>
                <c:ptCount val="1"/>
                <c:pt idx="0">
                  <c:v>PM2.5</c:v>
                </c:pt>
              </c:strCache>
            </c:strRef>
          </c:tx>
          <c:spPr>
            <a:ln w="22225" cap="rnd">
              <a:solidFill>
                <a:srgbClr val="8064A2"/>
              </a:solidFill>
              <a:round/>
            </a:ln>
            <a:effectLst/>
          </c:spPr>
          <c:marker>
            <c:symbol val="x"/>
            <c:size val="6"/>
            <c:spPr>
              <a:noFill/>
              <a:ln w="9525">
                <a:solidFill>
                  <a:srgbClr val="8064A2"/>
                </a:solidFill>
                <a:round/>
              </a:ln>
              <a:effectLst/>
            </c:spPr>
          </c:marker>
          <c:dLbls>
            <c:delete val="1"/>
          </c:dLbls>
          <c:cat>
            <c:strRef>
              <c:f>[工作簿1]Sheet1!$C$3:$C$7</c:f>
              <c:strCache>
                <c:ptCount val="5"/>
                <c:pt idx="0">
                  <c:v>2016年</c:v>
                </c:pt>
                <c:pt idx="1">
                  <c:v>2017年</c:v>
                </c:pt>
                <c:pt idx="2">
                  <c:v>2018年</c:v>
                </c:pt>
                <c:pt idx="3">
                  <c:v>2019年</c:v>
                </c:pt>
                <c:pt idx="4">
                  <c:v>2020年</c:v>
                </c:pt>
              </c:strCache>
            </c:strRef>
          </c:cat>
          <c:val>
            <c:numRef>
              <c:f>[工作簿1]Sheet1!$G$3:$G$7</c:f>
              <c:numCache>
                <c:formatCode>General</c:formatCode>
                <c:ptCount val="5"/>
                <c:pt idx="0">
                  <c:v>12</c:v>
                </c:pt>
                <c:pt idx="1">
                  <c:v>11</c:v>
                </c:pt>
                <c:pt idx="2">
                  <c:v>10</c:v>
                </c:pt>
                <c:pt idx="3">
                  <c:v>7</c:v>
                </c:pt>
                <c:pt idx="4">
                  <c:v>9</c:v>
                </c:pt>
              </c:numCache>
            </c:numRef>
          </c:val>
          <c:smooth val="0"/>
        </c:ser>
        <c:ser>
          <c:idx val="4"/>
          <c:order val="4"/>
          <c:tx>
            <c:strRef>
              <c:f>[工作簿1]Sheet1!$H$2</c:f>
              <c:strCache>
                <c:ptCount val="1"/>
                <c:pt idx="0">
                  <c:v>O3-8h</c:v>
                </c:pt>
              </c:strCache>
            </c:strRef>
          </c:tx>
          <c:spPr>
            <a:ln w="22225" cap="rnd">
              <a:solidFill>
                <a:srgbClr val="4BACC6"/>
              </a:solidFill>
              <a:round/>
            </a:ln>
            <a:effectLst/>
          </c:spPr>
          <c:marker>
            <c:symbol val="star"/>
            <c:size val="6"/>
            <c:spPr>
              <a:noFill/>
              <a:ln w="9525">
                <a:solidFill>
                  <a:srgbClr val="4BACC6"/>
                </a:solidFill>
                <a:round/>
              </a:ln>
              <a:effectLst/>
            </c:spPr>
          </c:marker>
          <c:dLbls>
            <c:delete val="1"/>
          </c:dLbls>
          <c:cat>
            <c:strRef>
              <c:f>[工作簿1]Sheet1!$C$3:$C$7</c:f>
              <c:strCache>
                <c:ptCount val="5"/>
                <c:pt idx="0">
                  <c:v>2016年</c:v>
                </c:pt>
                <c:pt idx="1">
                  <c:v>2017年</c:v>
                </c:pt>
                <c:pt idx="2">
                  <c:v>2018年</c:v>
                </c:pt>
                <c:pt idx="3">
                  <c:v>2019年</c:v>
                </c:pt>
                <c:pt idx="4">
                  <c:v>2020年</c:v>
                </c:pt>
              </c:strCache>
            </c:strRef>
          </c:cat>
          <c:val>
            <c:numRef>
              <c:f>[工作簿1]Sheet1!$H$3:$H$7</c:f>
              <c:numCache>
                <c:formatCode>General</c:formatCode>
                <c:ptCount val="5"/>
                <c:pt idx="0">
                  <c:v>108</c:v>
                </c:pt>
                <c:pt idx="1">
                  <c:v>116</c:v>
                </c:pt>
                <c:pt idx="2">
                  <c:v>128</c:v>
                </c:pt>
                <c:pt idx="3">
                  <c:v>100</c:v>
                </c:pt>
                <c:pt idx="4">
                  <c:v>80</c:v>
                </c:pt>
              </c:numCache>
            </c:numRef>
          </c:val>
          <c:smooth val="0"/>
        </c:ser>
        <c:dLbls>
          <c:showLegendKey val="0"/>
          <c:showVal val="0"/>
          <c:showCatName val="0"/>
          <c:showSerName val="0"/>
          <c:showPercent val="0"/>
          <c:showBubbleSize val="0"/>
        </c:dLbls>
        <c:marker val="1"/>
        <c:smooth val="0"/>
        <c:axId val="327274807"/>
        <c:axId val="561886131"/>
      </c:lineChart>
      <c:catAx>
        <c:axId val="327274807"/>
        <c:scaling>
          <c:orientation val="minMax"/>
        </c:scaling>
        <c:delete val="0"/>
        <c:axPos val="b"/>
        <c:majorGridlines>
          <c:spPr>
            <a:ln w="9525" cap="flat" cmpd="sng" algn="ctr">
              <a:solidFill>
                <a:srgbClr val="D9D9D9">
                  <a:lumMod val="15000"/>
                  <a:lumOff val="85000"/>
                </a:srgbClr>
              </a:solidFill>
              <a:round/>
            </a:ln>
            <a:effectLst/>
          </c:spPr>
        </c:majorGridlines>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800" b="0" i="0" u="none" strike="noStrike" kern="1200" cap="all" spc="120" normalizeH="0" baseline="0">
                <a:solidFill>
                  <a:srgbClr val="595959">
                    <a:lumMod val="65000"/>
                    <a:lumOff val="35000"/>
                  </a:srgbClr>
                </a:solidFill>
                <a:latin typeface="+mn-lt"/>
                <a:ea typeface="+mn-ea"/>
                <a:cs typeface="+mn-cs"/>
              </a:defRPr>
            </a:pPr>
          </a:p>
        </c:txPr>
        <c:crossAx val="561886131"/>
        <c:crosses val="autoZero"/>
        <c:auto val="1"/>
        <c:lblAlgn val="ctr"/>
        <c:lblOffset val="100"/>
        <c:noMultiLvlLbl val="0"/>
      </c:catAx>
      <c:valAx>
        <c:axId val="561886131"/>
        <c:scaling>
          <c:orientation val="minMax"/>
          <c:min val="0"/>
        </c:scaling>
        <c:delete val="0"/>
        <c:axPos val="l"/>
        <c:numFmt formatCode="General" sourceLinked="1"/>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27274807"/>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rgbClr val="595959">
        <a:lumMod val="65000"/>
        <a:lumOff val="35000"/>
      </a:srgbClr>
    </cs:fontRef>
    <cs:defRPr sz="900" kern="1200" cap="all"/>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800" kern="1200" cap="all" spc="120" normalizeH="0" baseline="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808080">
        <a:lumMod val="50000"/>
        <a:lumOff val="50000"/>
      </a:srgbClr>
    </cs:fontRef>
    <cs:defRPr sz="900" b="0" i="0" u="none" strike="noStrike" kern="1200" baseline="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solidFill>
        <a:srgbClr val="FFFFFF"/>
      </a:solidFill>
    </cs:spPr>
  </cs:dataPoint>
  <cs:dataPoint3D>
    <cs:lnRef idx="0"/>
    <cs:fillRef idx="0">
      <cs:styleClr val="auto"/>
    </cs:fillRef>
    <cs:effectRef idx="0"/>
    <cs:fontRef idx="minor">
      <a:srgbClr val="000000"/>
    </cs:fontRef>
    <cs:spPr>
      <a:solidFill>
        <a:srgbClr val="FFFFFF"/>
      </a:solidFill>
    </cs:spPr>
  </cs:dataPoint3D>
  <cs:dataPointLine>
    <cs:lnRef idx="0">
      <cs:styleClr val="auto"/>
    </cs:lnRef>
    <cs:fillRef idx="0"/>
    <cs:effectRef idx="0"/>
    <cs:fontRef idx="minor">
      <a:srgbClr val="000000"/>
    </cs:fontRef>
    <cs:spPr>
      <a:ln w="22225" cap="rnd">
        <a:solidFill>
          <a:srgbClr val="FFFFFF"/>
        </a:solidFill>
        <a:round/>
      </a:ln>
    </cs:spPr>
  </cs:dataPointLine>
  <cs:dataPointMarker>
    <cs:lnRef idx="0">
      <cs:styleClr val="auto"/>
    </cs:lnRef>
    <cs:fillRef idx="0">
      <cs:styleClr val="auto"/>
    </cs:fillRef>
    <cs:effectRef idx="0"/>
    <cs:fontRef idx="minor">
      <a:srgbClr val="000000"/>
    </cs:fontRef>
    <cs:spPr>
      <a:solidFill>
        <a:srgbClr val="FFFFFF"/>
      </a:solidFill>
      <a:ln w="9525">
        <a:solidFill>
          <a:srgbClr val="FFFFFF"/>
        </a:solidFill>
        <a:round/>
      </a:ln>
    </cs:spPr>
  </cs:dataPointMarker>
  <cs:dataPointMarkerLayout size="6"/>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ln w="9525">
        <a:solidFill>
          <a:srgbClr val="D9D9D9">
            <a:lumMod val="15000"/>
            <a:lumOff val="85000"/>
          </a:srgbClr>
        </a:solidFill>
      </a:ln>
    </cs:spPr>
    <cs:defRPr sz="900" kern="1200"/>
  </cs:dataTable>
  <cs:downBar>
    <cs:lnRef idx="0"/>
    <cs:fillRef idx="0"/>
    <cs:effectRef idx="0"/>
    <cs:fontRef idx="minor">
      <a:srgbClr val="000000"/>
    </cs:fontRef>
    <cs:spPr>
      <a:solidFill>
        <a:srgbClr val="404040">
          <a:lumMod val="75000"/>
          <a:lumOff val="25000"/>
        </a:srgbClr>
      </a:solidFill>
      <a:ln w="9525">
        <a:solidFill>
          <a:srgbClr val="D9D9D9">
            <a:lumMod val="15000"/>
            <a:lumOff val="85000"/>
          </a:srgbClr>
        </a:solidFill>
      </a:ln>
    </cs:spPr>
  </cs:downBar>
  <cs:dropLine>
    <cs:lnRef idx="0"/>
    <cs:fillRef idx="0"/>
    <cs:effectRef idx="0"/>
    <cs:fontRef idx="minor">
      <a:srgbClr val="000000"/>
    </cs:fontRef>
    <cs:spPr>
      <a:ln w="9525">
        <a:solidFill>
          <a:srgbClr val="A6A6A6">
            <a:lumMod val="35000"/>
            <a:lumOff val="65000"/>
          </a:srgbClr>
        </a:solidFill>
      </a:ln>
    </cs:spPr>
  </cs:dropLine>
  <cs:errorBar>
    <cs:lnRef idx="0"/>
    <cs:fillRef idx="0"/>
    <cs:effectRef idx="0"/>
    <cs:fontRef idx="minor">
      <a:srgbClr val="000000"/>
    </cs:fontRef>
    <cs:spPr>
      <a:ln w="9525">
        <a:solidFill>
          <a:srgbClr val="595959">
            <a:lumMod val="65000"/>
            <a:lumOff val="35000"/>
          </a:srgbClr>
        </a:solidFill>
        <a:round/>
      </a:ln>
    </cs:spPr>
  </cs:errorBar>
  <cs:floor>
    <cs:lnRef idx="0"/>
    <cs:fillRef idx="0"/>
    <cs:effectRef idx="0"/>
    <cs:fontRef idx="minor">
      <a:srgbClr val="000000"/>
    </cs:fontRef>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a:solidFill>
          <a:srgbClr val="F2F2F2">
            <a:lumMod val="5000"/>
            <a:lumOff val="95000"/>
          </a:srgbClr>
        </a:solidFill>
      </a:ln>
    </cs:spPr>
  </cs:gridlineMinor>
  <cs:hiLoLine>
    <cs:lnRef idx="0"/>
    <cs:fillRef idx="0"/>
    <cs:effectRef idx="0"/>
    <cs:fontRef idx="minor">
      <a:srgbClr val="000000"/>
    </cs:fontRef>
    <cs:spPr>
      <a:ln w="9525">
        <a:solidFill>
          <a:srgbClr val="808080">
            <a:lumMod val="50000"/>
            <a:lumOff val="50000"/>
          </a:srgbClr>
        </a:solidFill>
      </a:ln>
    </cs:spPr>
  </cs:hiLoLine>
  <cs:leaderLine>
    <cs:lnRef idx="0"/>
    <cs:fillRef idx="0"/>
    <cs:effectRef idx="0"/>
    <cs:fontRef idx="minor">
      <a:srgbClr val="000000"/>
    </cs:fontRef>
    <cs:spPr>
      <a:ln w="9525">
        <a:solidFill>
          <a:srgbClr val="A6A6A6">
            <a:lumMod val="35000"/>
            <a:lumOff val="65000"/>
          </a:srgbClr>
        </a:solidFill>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seriesAxis>
  <cs:seriesLine>
    <cs:lnRef idx="0"/>
    <cs:fillRef idx="0"/>
    <cs:effectRef idx="0"/>
    <cs:fontRef idx="minor">
      <a:srgbClr val="000000"/>
    </cs:fontRef>
    <cs:spPr>
      <a:ln w="9525">
        <a:solidFill>
          <a:srgbClr val="A6A6A6">
            <a:lumMod val="35000"/>
            <a:lumOff val="65000"/>
          </a:srgbClr>
        </a:solidFill>
        <a:round/>
      </a:ln>
    </cs:spPr>
  </cs:seriesLine>
  <cs:title>
    <cs:lnRef idx="0"/>
    <cs:fillRef idx="0"/>
    <cs:effectRef idx="0"/>
    <cs:fontRef idx="minor">
      <a:srgbClr val="595959">
        <a:lumMod val="65000"/>
        <a:lumOff val="35000"/>
      </a:srgbClr>
    </cs:fontRef>
    <cs:defRPr sz="1600" b="1" kern="1200" cap="all" spc="120" normalizeH="0" baseline="0"/>
  </cs:title>
  <cs:trendline>
    <cs:lnRef idx="0">
      <cs:styleClr val="auto"/>
    </cs:lnRef>
    <cs:fillRef idx="0"/>
    <cs:effectRef idx="0"/>
    <cs:fontRef idx="minor">
      <a:srgbClr val="000000"/>
    </cs:fontRef>
    <cs:spPr>
      <a:ln w="19050" cap="rnd">
        <a:solidFill>
          <a:srgbClr val="FFFFFF"/>
        </a:solidFill>
        <a:prstDash val="sysDash"/>
      </a:ln>
    </cs:spPr>
  </cs:trendline>
  <cs:trendlineLabel>
    <cs:lnRef idx="0"/>
    <cs:fillRef idx="0"/>
    <cs:effectRef idx="0"/>
    <cs:fontRef idx="minor">
      <a:srgbClr val="595959">
        <a:lumMod val="65000"/>
        <a:lumOff val="35000"/>
      </a:srgbClr>
    </cs:fontRef>
    <cs:defRPr sz="800" kern="1200"/>
  </cs:trendlineLabel>
  <cs:upBar>
    <cs:lnRef idx="0"/>
    <cs:fillRef idx="0"/>
    <cs:effectRef idx="0"/>
    <cs:fontRef idx="minor">
      <a:srgbClr val="000000"/>
    </cs:fontRef>
    <cs:spPr>
      <a:solidFill>
        <a:srgbClr val="FFFFFF"/>
      </a:solidFill>
      <a:ln w="9525">
        <a:solidFill>
          <a:srgbClr val="595959">
            <a:lumMod val="65000"/>
            <a:lumOff val="35000"/>
          </a:srgbClr>
        </a:solidFill>
      </a:ln>
    </cs:spPr>
  </cs:upBar>
  <cs:value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valueAxis>
  <cs:wall>
    <cs:lnRef idx="0"/>
    <cs:fillRef idx="0"/>
    <cs:effectRef idx="0"/>
    <cs:fontRef idx="minor">
      <a:srgbClr val="000000"/>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298</Pages>
  <Words>198497</Words>
  <Characters>215990</Characters>
  <Lines>0</Lines>
  <Paragraphs>0</Paragraphs>
  <TotalTime>1</TotalTime>
  <ScaleCrop>false</ScaleCrop>
  <LinksUpToDate>false</LinksUpToDate>
  <CharactersWithSpaces>217663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2022-06-19T02:16:00Z</dcterms:created>
  <dc:creator>LTT</dc:creator>
  <cp:lastModifiedBy>Administrator</cp:lastModifiedBy>
  <dcterms:modified xsi:type="dcterms:W3CDTF">2022-09-20T10:26:41Z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A5A3BEECF16D458AAA5AEE7419F75499</vt:lpwstr>
  </property>
</Properties>
</file>